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9f781b864f14e0aac946bca97aae761"/>
        <w:lock w:val="sdtLocked"/>
        <w:richText/>
      </w:sdtPr>
      <w:sdtContent>
        <w:p w14:paraId="1379AD2D" w14:textId="77777777">
          <w:pPr>
            <w:widowControl w:val="0"/>
            <w:tabs>
              <w:tab w:val="center" w:pos="4819"/>
              <w:tab w:val="right" w:pos="9638"/>
            </w:tabs>
            <w:suppressAutoHyphens/>
            <w:rPr>
              <w:rFonts w:ascii="Thorndale" w:eastAsia="HG Mincho Light J" w:hAnsi="Thorndale" w:cs="Calibri"/>
              <w:color w:val="000000"/>
              <w:kern w:val="1"/>
              <w:lang w:eastAsia="ar-SA"/>
            </w:rPr>
          </w:pPr>
        </w:p>
        <w:p w14:paraId="62471B14" w14:textId="77777777">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1196354f7153477cb0ebcb60ada136b2"/>
            <w:lock w:val="sdtLocked"/>
            <w:richText/>
          </w:sdtPr>
          <w:sdtContent>
            <w:p w14:paraId="62471B17" w14:textId="4019FD7A">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14:paraId="401DFFD8" w14:textId="77777777">
              <w:pPr>
                <w:widowControl w:val="0"/>
                <w:suppressAutoHyphens/>
                <w:jc w:val="center"/>
                <w:rPr>
                  <w:rFonts w:eastAsia="HG Mincho Light J"/>
                  <w:b/>
                  <w:bCs/>
                  <w:color w:val="000000"/>
                  <w:kern w:val="1"/>
                  <w:szCs w:val="24"/>
                  <w:lang w:eastAsia="ar-SA"/>
                </w:rPr>
              </w:pPr>
            </w:p>
            <w:sdt>
              <w:sdtPr>
                <w:alias w:val="Pavadinimas"/>
                <w:tag w:val="title_1196354f7153477cb0ebcb60ada136b2"/>
                <w:lock w:val="sdtLocked"/>
                <w:richText/>
              </w:sdtPr>
              <w:sdtContent>
                <w:p w14:paraId="3C432CC9" w14:textId="77777777">
                  <w:pPr>
                    <w:widowControl w:val="0"/>
                    <w:suppressAutoHyphens/>
                    <w:jc w:val="center"/>
                    <w:rPr>
                      <w:rFonts w:eastAsia="HG Mincho Light J"/>
                      <w:b/>
                      <w:color w:val="000000"/>
                      <w:kern w:val="1"/>
                      <w:szCs w:val="24"/>
                      <w:lang w:eastAsia="ar-SA"/>
                    </w:rPr>
                  </w:pPr>
                  <w:r>
                    <w:rPr>
                      <w:rFonts w:eastAsia="HG Mincho Light J"/>
                      <w:b/>
                      <w:color w:val="000000"/>
                      <w:kern w:val="1"/>
                      <w:szCs w:val="24"/>
                      <w:lang w:eastAsia="ar-SA"/>
                    </w:rPr>
                    <w:t>SPRENDIMO</w:t>
                  </w:r>
                </w:p>
                <w:p w14:paraId="17083DCF" w14:textId="3C7C4246">
                  <w:pPr>
                    <w:widowControl w:val="0"/>
                    <w:suppressAutoHyphens/>
                    <w:jc w:val="center"/>
                    <w:rPr>
                      <w:rFonts w:eastAsia="HG Mincho Light J"/>
                      <w:color w:val="000000"/>
                      <w:kern w:val="1"/>
                      <w:szCs w:val="24"/>
                      <w:lang w:eastAsia="ar-SA"/>
                    </w:rPr>
                  </w:pPr>
                  <w:r>
                    <w:rPr>
                      <w:rFonts w:eastAsia="HG Mincho Light J"/>
                      <w:b/>
                      <w:color w:val="000000"/>
                      <w:kern w:val="1"/>
                      <w:szCs w:val="24"/>
                      <w:lang w:eastAsia="ar-SA"/>
                    </w:rPr>
                    <w:t>DĖL BIUDŽETINĖS ĮSTAIGOS ŠIAULIŲ APSKAITOS CENTRO NUOSTATŲ PATVIRTINIMO PROJEKTO</w:t>
                  </w:r>
                </w:p>
                <w:p w14:paraId="62471B18" w14:textId="39D0B6F9">
                  <w:pPr>
                    <w:widowControl w:val="0"/>
                    <w:suppressAutoHyphens/>
                    <w:jc w:val="center"/>
                    <w:rPr>
                      <w:rFonts w:eastAsia="HG Mincho Light J"/>
                      <w:b/>
                      <w:color w:val="000000"/>
                      <w:kern w:val="1"/>
                      <w:szCs w:val="24"/>
                      <w:lang w:eastAsia="ar-SA"/>
                    </w:rPr>
                  </w:pPr>
                  <w:r>
                    <w:rPr>
                      <w:rFonts w:eastAsia="HG Mincho Light J"/>
                      <w:b/>
                      <w:color w:val="000000"/>
                      <w:kern w:val="1"/>
                      <w:szCs w:val="24"/>
                      <w:lang w:eastAsia="ar-SA"/>
                    </w:rPr>
                    <w:t>AIŠKINAMASIS RAŠTAS</w:t>
                  </w:r>
                </w:p>
              </w:sdtContent>
            </w:sdt>
            <w:p w14:paraId="62471B19" w14:textId="77777777">
              <w:pPr>
                <w:widowControl w:val="0"/>
                <w:rPr>
                  <w:rFonts w:eastAsia="Lucida Sans Unicode"/>
                  <w:bCs/>
                  <w:color w:val="000000"/>
                  <w:kern w:val="1"/>
                  <w:szCs w:val="24"/>
                  <w:lang w:eastAsia="ar-SA"/>
                </w:rPr>
              </w:pPr>
            </w:p>
            <w:p w14:paraId="62471B1A" w14:textId="25DEC4F2">
              <w:pPr>
                <w:widowControl w:val="0"/>
                <w:jc w:val="center"/>
                <w:rPr>
                  <w:rFonts w:eastAsia="Lucida Sans Unicode"/>
                  <w:color w:val="000000"/>
                  <w:kern w:val="1"/>
                  <w:szCs w:val="24"/>
                  <w:lang w:eastAsia="ar-SA"/>
                </w:rPr>
              </w:pPr>
              <w:r>
                <w:rPr>
                  <w:rFonts w:eastAsia="Lucida Sans Unicode"/>
                  <w:color w:val="000000"/>
                  <w:kern w:val="1"/>
                  <w:szCs w:val="24"/>
                  <w:lang w:eastAsia="ar-SA"/>
                </w:rPr>
                <w:t>2024 m. kovo 7 d.</w:t>
              </w:r>
            </w:p>
            <w:p w14:paraId="62471B1B" w14:textId="77777777">
              <w:pPr>
                <w:widowControl w:val="0"/>
                <w:jc w:val="center"/>
                <w:rPr>
                  <w:rFonts w:eastAsia="Lucida Sans Unicode"/>
                  <w:color w:val="000000"/>
                  <w:kern w:val="1"/>
                  <w:szCs w:val="24"/>
                  <w:lang w:eastAsia="ar-SA"/>
                </w:rPr>
              </w:pPr>
              <w:r>
                <w:rPr>
                  <w:rFonts w:eastAsia="Lucida Sans Unicode"/>
                  <w:color w:val="000000"/>
                  <w:kern w:val="1"/>
                  <w:szCs w:val="24"/>
                  <w:lang w:eastAsia="ar-SA"/>
                </w:rPr>
                <w:t>Šiauliai</w:t>
              </w:r>
            </w:p>
            <w:p w14:paraId="62471B1C" w14:textId="77777777">
              <w:pPr>
                <w:widowControl w:val="0"/>
                <w:jc w:val="center"/>
                <w:rPr>
                  <w:rFonts w:eastAsia="Lucida Sans Unicode"/>
                  <w:color w:val="000000"/>
                  <w:kern w:val="1"/>
                  <w:szCs w:val="24"/>
                  <w:lang w:eastAsia="ar-SA"/>
                </w:rPr>
              </w:pPr>
            </w:p>
            <w:sdt>
              <w:sdtPr>
                <w:alias w:val="poskyris"/>
                <w:tag w:val="part_f9770b498ad74f8982e3a2ba7ce9bafc"/>
                <w:lock w:val="sdtLocked"/>
                <w:richText/>
              </w:sdtPr>
              <w:sdtContent>
                <w:p w14:paraId="62471B1D" w14:textId="77777777">
                  <w:pPr>
                    <w:widowControl w:val="0"/>
                    <w:ind w:firstLine="680"/>
                    <w:jc w:val="both"/>
                    <w:rPr>
                      <w:rFonts w:eastAsia="Lucida Sans Unicode"/>
                      <w:color w:val="000000"/>
                      <w:kern w:val="1"/>
                      <w:szCs w:val="24"/>
                      <w:lang w:eastAsia="ar-SA"/>
                    </w:rPr>
                  </w:pPr>
                  <w:sdt>
                    <w:sdtPr>
                      <w:alias w:val="Pavadinimas"/>
                      <w:tag w:val="title_f9770b498ad74f8982e3a2ba7ce9bafc"/>
                      <w:lock w:val="sdtLocked"/>
                      <w:richText/>
                    </w:sdtPr>
                    <w:sdtContent>
                      <w:r>
                        <w:rPr>
                          <w:rFonts w:eastAsia="Lucida Sans Unicode"/>
                          <w:b/>
                          <w:color w:val="000000"/>
                          <w:kern w:val="1"/>
                          <w:szCs w:val="24"/>
                          <w:lang w:eastAsia="ar-SA"/>
                        </w:rPr>
                        <w:t>Parengto sprendimo projekto tikslai ir uždaviniai.</w:t>
                      </w:r>
                    </w:sdtContent>
                  </w:sdt>
                </w:p>
                <w:p w14:paraId="458FE24F" w14:textId="77777777">
                  <w:pPr>
                    <w:widowControl w:val="0"/>
                    <w:tabs>
                      <w:tab w:val="left" w:pos="851"/>
                      <w:tab w:val="left" w:pos="993"/>
                    </w:tabs>
                    <w:suppressAutoHyphens/>
                    <w:ind w:firstLine="680"/>
                    <w:jc w:val="both"/>
                    <w:rPr>
                      <w:rFonts w:eastAsia="HG Mincho Light J"/>
                      <w:color w:val="000000"/>
                      <w:kern w:val="1"/>
                      <w:szCs w:val="24"/>
                      <w:lang w:eastAsia="ar-SA"/>
                    </w:rPr>
                  </w:pPr>
                  <w:r>
                    <w:rPr>
                      <w:rFonts w:eastAsia="HG Mincho Light J"/>
                      <w:color w:val="000000"/>
                      <w:kern w:val="1"/>
                      <w:szCs w:val="24"/>
                      <w:lang w:eastAsia="ar-SA"/>
                    </w:rPr>
                    <w:t xml:space="preserve">Parengto sprendimo projekto tikslai: </w:t>
                  </w:r>
                </w:p>
                <w:sdt>
                  <w:sdtPr>
                    <w:alias w:val="1 p."/>
                    <w:tag w:val="part_d633be4ae6c449e7b85677a3bc7b888c"/>
                    <w:lock w:val="sdtLocked"/>
                    <w:richText/>
                  </w:sdtPr>
                  <w:sdtContent>
                    <w:p w14:paraId="4FCAD411" w14:textId="0F2023D1">
                      <w:pPr>
                        <w:widowControl w:val="0"/>
                        <w:tabs>
                          <w:tab w:val="left" w:pos="851"/>
                          <w:tab w:val="left" w:pos="993"/>
                        </w:tabs>
                        <w:suppressAutoHyphens/>
                        <w:ind w:firstLine="680"/>
                        <w:jc w:val="both"/>
                        <w:rPr>
                          <w:rFonts w:eastAsia="HG Mincho Light J"/>
                          <w:color w:val="000000"/>
                          <w:kern w:val="1"/>
                          <w:szCs w:val="24"/>
                          <w:lang w:eastAsia="ar-SA"/>
                        </w:rPr>
                      </w:pPr>
                      <w:sdt>
                        <w:sdtPr>
                          <w:alias w:val="Numeris"/>
                          <w:tag w:val="nr_d633be4ae6c449e7b85677a3bc7b888c"/>
                          <w:lock w:val="sdtLocked"/>
                          <w:richText/>
                        </w:sdtPr>
                        <w:sdtContent>
                          <w:r>
                            <w:rPr>
                              <w:rFonts w:eastAsia="HG Mincho Light J"/>
                              <w:color w:val="000000"/>
                              <w:kern w:val="1"/>
                              <w:szCs w:val="24"/>
                              <w:lang w:eastAsia="ar-SA"/>
                            </w:rPr>
                            <w:t>1</w:t>
                          </w:r>
                        </w:sdtContent>
                      </w:sdt>
                      <w:r>
                        <w:rPr>
                          <w:rFonts w:eastAsia="HG Mincho Light J"/>
                          <w:color w:val="000000"/>
                          <w:kern w:val="1"/>
                          <w:szCs w:val="24"/>
                          <w:lang w:eastAsia="ar-SA"/>
                        </w:rPr>
                        <w:t>. patvirtinti biudžetinės įstaigos Šiaulių apskaitos centro nuostatus (toliau -Nuostatai);</w:t>
                      </w:r>
                    </w:p>
                  </w:sdtContent>
                </w:sdt>
                <w:sdt>
                  <w:sdtPr>
                    <w:alias w:val="2 p."/>
                    <w:tag w:val="part_881c136c4afe4b13b5e9cc7df44035f5"/>
                    <w:lock w:val="sdtLocked"/>
                    <w:richText/>
                  </w:sdtPr>
                  <w:sdtContent>
                    <w:p w14:paraId="311B5B66" w14:textId="77777777">
                      <w:pPr>
                        <w:tabs>
                          <w:tab w:val="left" w:pos="851"/>
                          <w:tab w:val="left" w:pos="993"/>
                          <w:tab w:val="left" w:pos="1134"/>
                        </w:tabs>
                        <w:ind w:left="360" w:firstLine="310"/>
                        <w:jc w:val="both"/>
                        <w:rPr>
                          <w:rFonts w:eastAsia="HG Mincho Light J"/>
                          <w:color w:val="000000"/>
                          <w:kern w:val="1"/>
                          <w:szCs w:val="24"/>
                          <w:lang w:eastAsia="ar-SA"/>
                        </w:rPr>
                      </w:pPr>
                      <w:sdt>
                        <w:sdtPr>
                          <w:alias w:val="Numeris"/>
                          <w:tag w:val="nr_881c136c4afe4b13b5e9cc7df44035f5"/>
                          <w:lock w:val="sdtLocked"/>
                          <w:richText/>
                        </w:sdtPr>
                        <w:sdtContent>
                          <w:r>
                            <w:rPr>
                              <w:rFonts w:eastAsia="HG Mincho Light J"/>
                              <w:color w:val="000000"/>
                              <w:kern w:val="1"/>
                              <w:szCs w:val="24"/>
                              <w:lang w:eastAsia="ar-SA"/>
                            </w:rPr>
                            <w:t>2</w:t>
                          </w:r>
                        </w:sdtContent>
                      </w:sdt>
                      <w:r>
                        <w:rPr>
                          <w:rFonts w:eastAsia="HG Mincho Light J"/>
                          <w:color w:val="000000"/>
                          <w:kern w:val="1"/>
                          <w:szCs w:val="24"/>
                          <w:lang w:eastAsia="ar-SA"/>
                        </w:rPr>
                        <w:t>. įpareigoti biudžetinės įstaigos Šiaulių apskaitos centro direktorių pasirašyti Nuostatus ir teisės aktų nustatyta tvarka ir terminais juos įregistruoti Juridinių asmenų registre.</w:t>
                      </w:r>
                    </w:p>
                  </w:sdtContent>
                </w:sdt>
                <w:sdt>
                  <w:sdtPr>
                    <w:alias w:val="3 p."/>
                    <w:tag w:val="part_6ffcb1694c5a44c1a45ae4da6efa74f9"/>
                    <w:lock w:val="sdtLocked"/>
                    <w:richText/>
                  </w:sdtPr>
                  <w:sdtContent>
                    <w:p w14:paraId="55205471" w14:textId="12EC7FC1">
                      <w:pPr>
                        <w:tabs>
                          <w:tab w:val="left" w:pos="851"/>
                          <w:tab w:val="left" w:pos="993"/>
                          <w:tab w:val="left" w:pos="1134"/>
                        </w:tabs>
                        <w:ind w:left="360" w:firstLine="310"/>
                        <w:jc w:val="both"/>
                        <w:rPr>
                          <w:rFonts w:eastAsia="HG Mincho Light J"/>
                          <w:color w:val="000000"/>
                          <w:kern w:val="1"/>
                          <w:szCs w:val="24"/>
                          <w:lang w:eastAsia="ar-SA"/>
                        </w:rPr>
                      </w:pPr>
                      <w:sdt>
                        <w:sdtPr>
                          <w:alias w:val="Numeris"/>
                          <w:tag w:val="nr_6ffcb1694c5a44c1a45ae4da6efa74f9"/>
                          <w:lock w:val="sdtLocked"/>
                          <w:richText/>
                        </w:sdtPr>
                        <w:sdtContent>
                          <w:r>
                            <w:rPr>
                              <w:rFonts w:eastAsia="HG Mincho Light J"/>
                              <w:color w:val="000000"/>
                              <w:kern w:val="1"/>
                              <w:szCs w:val="24"/>
                              <w:lang w:eastAsia="ar-SA"/>
                            </w:rPr>
                            <w:t>3</w:t>
                          </w:r>
                        </w:sdtContent>
                      </w:sdt>
                      <w:r>
                        <w:rPr>
                          <w:rFonts w:eastAsia="HG Mincho Light J"/>
                          <w:color w:val="000000"/>
                          <w:kern w:val="1"/>
                          <w:szCs w:val="24"/>
                          <w:lang w:eastAsia="ar-SA"/>
                        </w:rPr>
                        <w:t xml:space="preserve">. pripažinti netekusiais galios biudžetinės įstaigos Šiaulių apskaitos centro nuostatus, patvirtintus Šiaulių miesto savivaldybės tarybos 2021 m. liepos 1 d. sprendimo Nr. T-323 „Dėl biudžetinės įstaigos Šiaulių apskaitos centro steigimo ir nuostatų patvirtinimo“ 3 punktu. </w:t>
                      </w:r>
                    </w:p>
                  </w:sdtContent>
                </w:sdt>
                <w:sdt>
                  <w:sdtPr>
                    <w:alias w:val="4 p."/>
                    <w:tag w:val="part_df819a6a23cf46358e61b90641b69ac3"/>
                    <w:lock w:val="sdtLocked"/>
                    <w:richText/>
                  </w:sdtPr>
                  <w:sdtContent>
                    <w:p w14:paraId="5714D9A7" w14:textId="3AF5869B">
                      <w:pPr>
                        <w:widowControl w:val="0"/>
                        <w:suppressAutoHyphens/>
                        <w:ind w:firstLine="620"/>
                        <w:jc w:val="both"/>
                        <w:rPr>
                          <w:rFonts w:eastAsia="HG Mincho Light J"/>
                          <w:color w:val="000000"/>
                          <w:kern w:val="1"/>
                          <w:szCs w:val="24"/>
                          <w:lang w:eastAsia="ar-SA"/>
                        </w:rPr>
                      </w:pPr>
                      <w:sdt>
                        <w:sdtPr>
                          <w:alias w:val="Numeris"/>
                          <w:tag w:val="nr_df819a6a23cf46358e61b90641b69ac3"/>
                          <w:lock w:val="sdtLocked"/>
                          <w:richText/>
                        </w:sdtPr>
                        <w:sdtContent>
                          <w:r>
                            <w:rPr>
                              <w:rFonts w:eastAsia="HG Mincho Light J"/>
                              <w:color w:val="000000"/>
                              <w:kern w:val="1"/>
                              <w:szCs w:val="24"/>
                              <w:lang w:eastAsia="ar-SA"/>
                            </w:rPr>
                            <w:t>4</w:t>
                          </w:r>
                        </w:sdtContent>
                      </w:sdt>
                      <w:r>
                        <w:rPr>
                          <w:rFonts w:eastAsia="HG Mincho Light J"/>
                          <w:color w:val="000000"/>
                          <w:kern w:val="1"/>
                          <w:szCs w:val="24"/>
                          <w:lang w:eastAsia="ar-SA"/>
                        </w:rPr>
                        <w:t>. nustatyti, kad šio sprendimo 3 punktas įsigalioja nuo Nuostatų įregistravimo Juridinių asmenų registre dienos.</w:t>
                      </w:r>
                    </w:p>
                  </w:sdtContent>
                </w:sdt>
              </w:sdtContent>
            </w:sdt>
            <w:sdt>
              <w:sdtPr>
                <w:alias w:val="poskyris"/>
                <w:tag w:val="part_bd303adaf8e24732a947e4db7dcfae62"/>
                <w:lock w:val="sdtLocked"/>
                <w:richText/>
              </w:sdtPr>
              <w:sdtContent>
                <w:p w14:paraId="62471B1F" w14:textId="3AD13AA2">
                  <w:pPr>
                    <w:widowControl w:val="0"/>
                    <w:ind w:firstLine="680"/>
                    <w:jc w:val="both"/>
                    <w:rPr>
                      <w:rFonts w:eastAsia="Lucida Sans Unicode"/>
                      <w:color w:val="000000"/>
                      <w:kern w:val="1"/>
                      <w:szCs w:val="24"/>
                      <w:lang w:eastAsia="ar-SA"/>
                    </w:rPr>
                  </w:pPr>
                  <w:sdt>
                    <w:sdtPr>
                      <w:alias w:val="Pavadinimas"/>
                      <w:tag w:val="title_bd303adaf8e24732a947e4db7dcfae62"/>
                      <w:lock w:val="sdtLocked"/>
                      <w:richText/>
                    </w:sdtPr>
                    <w:sdtContent>
                      <w:r>
                        <w:rPr>
                          <w:rFonts w:eastAsia="Lucida Sans Unicode"/>
                          <w:b/>
                          <w:color w:val="000000"/>
                          <w:kern w:val="1"/>
                          <w:szCs w:val="24"/>
                          <w:lang w:eastAsia="ar-SA"/>
                        </w:rPr>
                        <w:t>Dabartinis sprendimo projekte aptariamų klausimų reguliavimas.</w:t>
                      </w:r>
                    </w:sdtContent>
                  </w:sdt>
                </w:p>
                <w:p w14:paraId="7D5D8F76" w14:textId="36A29FFC">
                  <w:pPr>
                    <w:tabs>
                      <w:tab w:val="left" w:pos="0"/>
                      <w:tab w:val="right" w:pos="9360"/>
                    </w:tabs>
                    <w:ind w:firstLine="680"/>
                    <w:jc w:val="both"/>
                    <w:rPr>
                      <w:rFonts w:eastAsia="HG Mincho Light J"/>
                      <w:color w:val="000000"/>
                      <w:kern w:val="1"/>
                      <w:szCs w:val="24"/>
                      <w:lang w:eastAsia="ar-SA"/>
                    </w:rPr>
                  </w:pPr>
                  <w:r>
                    <w:rPr>
                      <w:color w:val="000000"/>
                      <w:kern w:val="1"/>
                      <w:szCs w:val="24"/>
                      <w:lang w:eastAsia="ar-SA"/>
                    </w:rPr>
                    <w:t xml:space="preserve">Dabartiniai biudžetinės įstaigos Šiaulių apskaitos centro  (toliau – Įstaiga) nuostatai patvirtinti Šiaulių miesto savivaldybės tarybos </w:t>
                  </w:r>
                  <w:r>
                    <w:rPr>
                      <w:rFonts w:eastAsia="HG Mincho Light J"/>
                      <w:color w:val="000000"/>
                      <w:kern w:val="1"/>
                      <w:szCs w:val="24"/>
                      <w:lang w:eastAsia="ar-SA"/>
                    </w:rPr>
                    <w:t>2021 m. liepos 1 d. sprendimu Nr. T-323 „Dėl biudžetinės įstaigos Šiaulių apskaitos centro steigimo ir nuostatų patvirtinimo“ (aktuali redakcija 2023-07-13, sprendimas Nr. T-303).</w:t>
                  </w:r>
                </w:p>
              </w:sdtContent>
            </w:sdt>
            <w:sdt>
              <w:sdtPr>
                <w:alias w:val="poskyris"/>
                <w:tag w:val="part_1bbb9d2c56a441088ae8809ccf336c5e"/>
                <w:lock w:val="sdtLocked"/>
                <w:richText/>
              </w:sdtPr>
              <w:sdtContent>
                <w:p w14:paraId="5481E5B6" w14:textId="30F82C17">
                  <w:pPr>
                    <w:tabs>
                      <w:tab w:val="left" w:pos="0"/>
                      <w:tab w:val="right" w:pos="9360"/>
                    </w:tabs>
                    <w:ind w:firstLine="680"/>
                    <w:jc w:val="both"/>
                    <w:rPr>
                      <w:rFonts w:eastAsia="HG Mincho Light J"/>
                      <w:b/>
                      <w:color w:val="000000"/>
                      <w:kern w:val="1"/>
                      <w:szCs w:val="24"/>
                      <w:lang w:eastAsia="ar-SA"/>
                    </w:rPr>
                  </w:pPr>
                  <w:sdt>
                    <w:sdtPr>
                      <w:alias w:val="Pavadinimas"/>
                      <w:tag w:val="title_1bbb9d2c56a441088ae8809ccf336c5e"/>
                      <w:lock w:val="sdtLocked"/>
                      <w:richText/>
                    </w:sdtPr>
                    <w:sdtContent>
                      <w:r>
                        <w:rPr>
                          <w:rFonts w:eastAsia="HG Mincho Light J"/>
                          <w:b/>
                          <w:color w:val="000000"/>
                          <w:kern w:val="1"/>
                          <w:szCs w:val="24"/>
                          <w:lang w:eastAsia="ar-SA"/>
                        </w:rPr>
                        <w:t>Sprendimo projekte numatytos naujos teisinio reglamentavimo nuostatos.</w:t>
                      </w:r>
                    </w:sdtContent>
                  </w:sdt>
                </w:p>
                <w:p w14:paraId="14F1EBAE" w14:textId="4ED710C4">
                  <w:pPr>
                    <w:widowControl w:val="0"/>
                    <w:suppressAutoHyphens/>
                    <w:ind w:firstLine="680"/>
                    <w:jc w:val="both"/>
                    <w:rPr>
                      <w:color w:val="000000"/>
                      <w:kern w:val="1"/>
                      <w:szCs w:val="24"/>
                      <w:highlight w:val="white"/>
                      <w:lang w:eastAsia="lt-LT"/>
                    </w:rPr>
                  </w:pPr>
                  <w:r>
                    <w:rPr>
                      <w:rFonts w:eastAsia="HG Mincho Light J"/>
                      <w:color w:val="000000"/>
                      <w:kern w:val="1"/>
                      <w:szCs w:val="24"/>
                      <w:lang w:eastAsia="ar-SA"/>
                    </w:rPr>
                    <w:t xml:space="preserve">Sprendimo projektas parengtas, vadovaujantis Lietuvos Respublikos biudžetinių įstaigų įstatymu (toliau – įstatymas). 2024-01-01 pasikeitus įstatymui, Tarybai nebėra numatyta kompetencija nustatyti didžiausią leistiną darbuotojų skaičių biudžetinėse įstaigose. Siekiant palikti savivaldybei, kaip savininkui, kompetenciją nustatyti didžiausią leistiną etatų skaičių įstaigose, Nuostatuose įrašoma papildoma įstaigos savininko teises ir pareigas įgyvendinančios institucijos (mero) kompetencija – nustatyti didžiausią leistiną etatų skaičių, o biudžetinės įstaigos struktūrą ir darbuotojų pareigybių sąrašą nustato Įstaigos vadovas. Nuostatai koreguoti atsižvelgiant ir į kitus  įstatymo pasikeitimus t. y. patikslintos Įstaigos teisės ir pareigos, Į</w:t>
                  </w:r>
                  <w:r>
                    <w:rPr>
                      <w:rFonts w:eastAsia="Lucida Sans Unicode"/>
                      <w:color w:val="000000"/>
                      <w:kern w:val="1"/>
                      <w:szCs w:val="24"/>
                      <w:lang w:eastAsia="ar-SA"/>
                    </w:rPr>
                    <w:t>staigos vadovo kompetencija, priėmimo į pareigas ir atleidimo iš jų tvarka, Nuostatų keitimo tvarka ir kt.</w:t>
                  </w:r>
                </w:p>
                <w:p w14:paraId="62471B28" w14:textId="7EA8D36B">
                  <w:pPr>
                    <w:widowControl w:val="0"/>
                    <w:ind w:firstLine="680"/>
                    <w:jc w:val="both"/>
                    <w:rPr>
                      <w:rFonts w:eastAsia="Lucida Sans Unicode"/>
                      <w:color w:val="000000"/>
                      <w:kern w:val="1"/>
                      <w:szCs w:val="24"/>
                      <w:lang w:eastAsia="ar-SA"/>
                    </w:rPr>
                  </w:pPr>
                  <w:r>
                    <w:rPr>
                      <w:rFonts w:eastAsia="Lucida Sans Unicode"/>
                      <w:b/>
                      <w:color w:val="000000"/>
                      <w:kern w:val="1"/>
                      <w:szCs w:val="24"/>
                      <w:lang w:eastAsia="ar-SA"/>
                    </w:rPr>
                    <w:t xml:space="preserve">Priėmus sprendimą, galimos pasekmės </w:t>
                  </w:r>
                  <w:r>
                    <w:rPr>
                      <w:rFonts w:eastAsia="Lucida Sans Unicode"/>
                      <w:i/>
                      <w:color w:val="000000"/>
                      <w:kern w:val="1"/>
                      <w:szCs w:val="24"/>
                      <w:lang w:eastAsia="ar-SA"/>
                    </w:rPr>
                    <w:t>(tiek teigiamos, tiek neigiamos)</w:t>
                  </w:r>
                  <w:r>
                    <w:rPr>
                      <w:rFonts w:eastAsia="Lucida Sans Unicode"/>
                      <w:b/>
                      <w:color w:val="000000"/>
                      <w:kern w:val="1"/>
                      <w:szCs w:val="24"/>
                      <w:lang w:eastAsia="ar-SA"/>
                    </w:rPr>
                    <w:t>.</w:t>
                  </w:r>
                </w:p>
                <w:p w14:paraId="0F8F7363" w14:textId="02478D58">
                  <w:pPr>
                    <w:widowControl w:val="0"/>
                    <w:suppressAutoHyphens/>
                    <w:ind w:firstLine="680"/>
                    <w:jc w:val="both"/>
                    <w:rPr>
                      <w:rFonts w:eastAsia="HG Mincho Light J"/>
                      <w:color w:val="000000"/>
                      <w:kern w:val="1"/>
                      <w:szCs w:val="24"/>
                      <w:lang w:eastAsia="ar-SA"/>
                    </w:rPr>
                  </w:pPr>
                  <w:r>
                    <w:rPr>
                      <w:rFonts w:eastAsia="HG Mincho Light J"/>
                      <w:color w:val="000000"/>
                      <w:kern w:val="1"/>
                      <w:szCs w:val="24"/>
                      <w:shd w:val="clear" w:color="auto" w:fill="FFFFFF"/>
                      <w:lang w:eastAsia="ar-SA"/>
                    </w:rPr>
                    <w:t xml:space="preserve">Patvirtinti Įstaigos Nuostatai atitiks reikalavimus, numatytus Lietuvos Respublikos biudžetinių įstaigų įstatyme. Bus patikslintos Įstaigos Nuostatuose  numatytos savininko teises ir pareigas įgyvendinančios institucijos kompetencijos, atsižvelgiant į Lietuvos Respublikos vietos savivaldos įstatymo</w:t>
                  </w:r>
                  <w:r>
                    <w:rPr>
                      <w:rFonts w:eastAsia="HG Mincho Light J"/>
                      <w:color w:val="000000"/>
                      <w:kern w:val="1"/>
                      <w:szCs w:val="24"/>
                      <w:lang w:eastAsia="ar-SA"/>
                    </w:rPr>
                    <w:t xml:space="preserve"> nuostatas.</w:t>
                  </w:r>
                </w:p>
                <w:p w14:paraId="2373155E" w14:textId="3E3A797C">
                  <w:pPr>
                    <w:suppressAutoHyphens/>
                    <w:ind w:firstLine="680"/>
                    <w:jc w:val="both"/>
                    <w:rPr>
                      <w:color w:val="000000"/>
                      <w:szCs w:val="24"/>
                      <w:shd w:val="clear" w:color="auto" w:fill="FFFFFF"/>
                      <w:lang w:eastAsia="ar-SA"/>
                    </w:rPr>
                  </w:pPr>
                  <w:r>
                    <w:rPr>
                      <w:color w:val="000000"/>
                      <w:szCs w:val="24"/>
                      <w:shd w:val="clear" w:color="auto" w:fill="FFFFFF"/>
                      <w:lang w:eastAsia="ar-SA"/>
                    </w:rPr>
                    <w:t>Neigiamų pasekmių nenumatyta.</w:t>
                  </w:r>
                </w:p>
              </w:sdtContent>
            </w:sdt>
            <w:sdt>
              <w:sdtPr>
                <w:alias w:val="poskyris"/>
                <w:tag w:val="part_215728a23fe34645890f0241fe9a4710"/>
                <w:lock w:val="sdtLocked"/>
                <w:richText/>
              </w:sdtPr>
              <w:sdtContent>
                <w:p w14:paraId="3E8DC702" w14:textId="77777777">
                  <w:pPr>
                    <w:widowControl w:val="0"/>
                    <w:suppressAutoHyphens/>
                    <w:ind w:firstLine="680"/>
                    <w:jc w:val="both"/>
                    <w:rPr>
                      <w:rFonts w:eastAsia="HG Mincho Light J"/>
                      <w:color w:val="000000"/>
                      <w:kern w:val="1"/>
                      <w:szCs w:val="24"/>
                      <w:shd w:val="clear" w:color="auto" w:fill="FFFFFF"/>
                      <w:lang w:eastAsia="ar-SA"/>
                    </w:rPr>
                  </w:pPr>
                  <w:sdt>
                    <w:sdtPr>
                      <w:alias w:val="Pavadinimas"/>
                      <w:tag w:val="title_215728a23fe34645890f0241fe9a4710"/>
                      <w:lock w:val="sdtLocked"/>
                      <w:richText/>
                    </w:sdtPr>
                    <w:sdtContent>
                      <w:r>
                        <w:rPr>
                          <w:rFonts w:eastAsia="HG Mincho Light J"/>
                          <w:b/>
                          <w:color w:val="000000"/>
                          <w:kern w:val="1"/>
                          <w:szCs w:val="24"/>
                          <w:shd w:val="clear" w:color="auto" w:fill="FFFFFF"/>
                          <w:lang w:eastAsia="ar-SA"/>
                        </w:rPr>
                        <w:t>Priėmus sprendimą, keičiami ar pripažįstami negaliojančiais teisės aktai</w:t>
                      </w:r>
                      <w:r>
                        <w:rPr>
                          <w:rFonts w:eastAsia="HG Mincho Light J"/>
                          <w:b/>
                          <w:color w:val="000000"/>
                          <w:kern w:val="1"/>
                          <w:szCs w:val="24"/>
                          <w:lang w:eastAsia="ar-SA"/>
                        </w:rPr>
                        <w:t xml:space="preserve">. </w:t>
                      </w:r>
                    </w:sdtContent>
                  </w:sdt>
                </w:p>
                <w:p w14:paraId="79BB362C" w14:textId="57B621A9">
                  <w:pPr>
                    <w:suppressAutoHyphens/>
                    <w:ind w:firstLine="680"/>
                    <w:jc w:val="both"/>
                    <w:rPr>
                      <w:color w:val="000000"/>
                      <w:szCs w:val="24"/>
                      <w:lang w:eastAsia="ar-SA"/>
                    </w:rPr>
                  </w:pPr>
                  <w:r>
                    <w:rPr>
                      <w:color w:val="000000"/>
                      <w:szCs w:val="24"/>
                      <w:lang w:eastAsia="ar-SA"/>
                    </w:rPr>
                    <w:t>Priėmus sprendimą, bu pripažinti netekusiais galios biudžetinės įstaigos Šiaulių apskaitos centro nuostatai, patvirtinti Šiaulių miesto savivaldybės tarybos 2021 m. liepos 1 d. sprendimo Nr. T-323 „Dėl biudžetinės įstaigos Šiaulių apskaitos centro steigimo ir nuostatų patvirtinimo“ 3 punktu.</w:t>
                  </w:r>
                </w:p>
              </w:sdtContent>
            </w:sdt>
            <w:sdt>
              <w:sdtPr>
                <w:alias w:val="poskyris"/>
                <w:tag w:val="part_afa6455da78945969669adf6287d5f1e"/>
                <w:lock w:val="sdtLocked"/>
                <w:richText/>
              </w:sdtPr>
              <w:sdtContent>
                <w:p w14:paraId="62471B2C" w14:textId="3507E779">
                  <w:pPr>
                    <w:widowControl w:val="0"/>
                    <w:ind w:firstLine="680"/>
                    <w:jc w:val="both"/>
                    <w:rPr>
                      <w:rFonts w:eastAsia="Lucida Sans Unicode"/>
                      <w:b/>
                      <w:color w:val="000000"/>
                      <w:kern w:val="1"/>
                      <w:szCs w:val="24"/>
                      <w:lang w:eastAsia="ar-SA"/>
                    </w:rPr>
                  </w:pPr>
                  <w:sdt>
                    <w:sdtPr>
                      <w:alias w:val="Pavadinimas"/>
                      <w:tag w:val="title_afa6455da78945969669adf6287d5f1e"/>
                      <w:lock w:val="sdtLocked"/>
                      <w:richText/>
                    </w:sdtPr>
                    <w:sdtContent>
                      <w:r>
                        <w:rPr>
                          <w:rFonts w:eastAsia="Lucida Sans Unicode"/>
                          <w:b/>
                          <w:color w:val="000000"/>
                          <w:kern w:val="1"/>
                          <w:szCs w:val="24"/>
                          <w:lang w:eastAsia="ar-SA"/>
                        </w:rPr>
                        <w:t>Sprendimui įgyvendinti reikalingi priimti papildomi teisės aktai.</w:t>
                      </w:r>
                    </w:sdtContent>
                  </w:sdt>
                </w:p>
                <w:p w14:paraId="0B47E1B4" w14:textId="24C2CFCC">
                  <w:pPr>
                    <w:widowControl w:val="0"/>
                    <w:suppressAutoHyphens/>
                    <w:ind w:firstLine="680"/>
                    <w:jc w:val="both"/>
                    <w:rPr>
                      <w:rFonts w:eastAsia="HG Mincho Light J"/>
                      <w:color w:val="000000"/>
                      <w:kern w:val="1"/>
                      <w:szCs w:val="24"/>
                      <w:lang w:eastAsia="ar-SA"/>
                    </w:rPr>
                  </w:pPr>
                  <w:r>
                    <w:rPr>
                      <w:rFonts w:eastAsia="HG Mincho Light J"/>
                      <w:color w:val="000000"/>
                      <w:kern w:val="1"/>
                      <w:szCs w:val="24"/>
                      <w:lang w:eastAsia="ar-SA"/>
                    </w:rPr>
                    <w:t>Papildomų teisės aktų sprendimo įgyvendinimui priimti nereikia.</w:t>
                  </w:r>
                </w:p>
              </w:sdtContent>
            </w:sdt>
            <w:sdt>
              <w:sdtPr>
                <w:alias w:val="poskyris"/>
                <w:tag w:val="part_b7feb0e0c4984e00a0339fe56286470b"/>
                <w:lock w:val="sdtLocked"/>
                <w:richText/>
              </w:sdtPr>
              <w:sdtContent>
                <w:p w14:paraId="47B75030" w14:textId="77777777">
                  <w:pPr>
                    <w:widowControl w:val="0"/>
                    <w:suppressAutoHyphens/>
                    <w:ind w:firstLine="680"/>
                    <w:jc w:val="both"/>
                    <w:rPr>
                      <w:rFonts w:eastAsia="HG Mincho Light J"/>
                      <w:b/>
                      <w:color w:val="000000"/>
                      <w:kern w:val="1"/>
                      <w:szCs w:val="24"/>
                      <w:lang w:eastAsia="ar-SA"/>
                    </w:rPr>
                  </w:pPr>
                  <w:sdt>
                    <w:sdtPr>
                      <w:alias w:val="Pavadinimas"/>
                      <w:tag w:val="title_b7feb0e0c4984e00a0339fe56286470b"/>
                      <w:lock w:val="sdtLocked"/>
                      <w:richText/>
                    </w:sdtPr>
                    <w:sdtContent>
                      <w:r>
                        <w:rPr>
                          <w:rFonts w:eastAsia="HG Mincho Light J"/>
                          <w:b/>
                          <w:color w:val="000000"/>
                          <w:kern w:val="1"/>
                          <w:szCs w:val="24"/>
                          <w:lang w:eastAsia="ar-SA"/>
                        </w:rPr>
                        <w:t>Sprendimui įgyvendinti reikalingos lėšos.</w:t>
                      </w:r>
                    </w:sdtContent>
                  </w:sdt>
                </w:p>
                <w:p w14:paraId="4D9D1947" w14:textId="7A731924">
                  <w:pPr>
                    <w:widowControl w:val="0"/>
                    <w:suppressAutoHyphens/>
                    <w:ind w:firstLine="680"/>
                    <w:jc w:val="both"/>
                    <w:rPr>
                      <w:rFonts w:eastAsia="HG Mincho Light J"/>
                      <w:color w:val="000000"/>
                      <w:kern w:val="1"/>
                      <w:szCs w:val="24"/>
                      <w:lang w:eastAsia="ar-SA"/>
                    </w:rPr>
                  </w:pPr>
                  <w:r>
                    <w:rPr>
                      <w:rFonts w:eastAsia="HG Mincho Light J"/>
                      <w:color w:val="000000"/>
                      <w:kern w:val="1"/>
                      <w:szCs w:val="24"/>
                      <w:lang w:eastAsia="ar-SA"/>
                    </w:rPr>
                    <w:t>Sprendimui įgyvendinti papildomos lėšos nebus reikalingos.</w:t>
                  </w:r>
                </w:p>
                <w:p w14:paraId="6340AAF9" w14:textId="77777777">
                  <w:pPr>
                    <w:widowControl w:val="0"/>
                    <w:suppressAutoHyphens/>
                    <w:ind w:firstLine="680"/>
                    <w:jc w:val="both"/>
                    <w:rPr>
                      <w:rFonts w:eastAsia="HG Mincho Light J"/>
                      <w:color w:val="000000"/>
                      <w:kern w:val="1"/>
                      <w:szCs w:val="24"/>
                      <w:shd w:val="clear" w:color="auto" w:fill="FFFFFF"/>
                      <w:lang w:eastAsia="ar-SA"/>
                    </w:rPr>
                  </w:pPr>
                  <w:r>
                    <w:rPr>
                      <w:rFonts w:eastAsia="HG Mincho Light J"/>
                      <w:b/>
                      <w:color w:val="000000"/>
                      <w:kern w:val="1"/>
                      <w:szCs w:val="24"/>
                      <w:shd w:val="clear" w:color="auto" w:fill="FFFFFF"/>
                      <w:lang w:eastAsia="ar-SA"/>
                    </w:rPr>
                    <w:t xml:space="preserve">Sprendimo projekto antikorupcinis vertinimas </w:t>
                  </w:r>
                  <w:r>
                    <w:rPr>
                      <w:rFonts w:eastAsia="HG Mincho Light J"/>
                      <w:i/>
                      <w:color w:val="000000"/>
                      <w:kern w:val="1"/>
                      <w:szCs w:val="24"/>
                      <w:shd w:val="clear" w:color="auto" w:fill="FFFFFF"/>
                      <w:lang w:eastAsia="ar-SA"/>
                    </w:rPr>
                    <w:t>(jei tokį vertinimą reikia atlikti, nurodoma, kad pridedama Antikorupcinio vertinimo pažyma)</w:t>
                  </w:r>
                  <w:r>
                    <w:rPr>
                      <w:rFonts w:eastAsia="HG Mincho Light J"/>
                      <w:color w:val="000000"/>
                      <w:kern w:val="1"/>
                      <w:szCs w:val="24"/>
                      <w:shd w:val="clear" w:color="auto" w:fill="FFFFFF"/>
                      <w:lang w:eastAsia="ar-SA"/>
                    </w:rPr>
                    <w:t>.</w:t>
                  </w:r>
                </w:p>
                <w:p w14:paraId="3C08CD52" w14:textId="155723AA">
                  <w:pPr>
                    <w:widowControl w:val="0"/>
                    <w:suppressAutoHyphens/>
                    <w:ind w:firstLine="680"/>
                    <w:jc w:val="both"/>
                    <w:rPr>
                      <w:rFonts w:eastAsia="HG Mincho Light J"/>
                      <w:color w:val="000000"/>
                      <w:kern w:val="2"/>
                      <w:szCs w:val="24"/>
                      <w:shd w:val="clear" w:color="auto" w:fill="FFFFFF"/>
                      <w:lang w:eastAsia="ar-SA"/>
                    </w:rPr>
                  </w:pPr>
                  <w:r>
                    <w:rPr>
                      <w:rFonts w:eastAsia="HG Mincho Light J"/>
                      <w:color w:val="000000"/>
                      <w:kern w:val="1"/>
                      <w:szCs w:val="24"/>
                      <w:shd w:val="clear" w:color="auto" w:fill="FFFFFF"/>
                      <w:lang w:eastAsia="ar-SA"/>
                    </w:rPr>
                    <w:t>Sprendimo projekto antikorupcinis vertinimas nebuvo atliekamas, nes šis projektas nėra susiję nė su vienu atveju, nurodytu Lietuvos Respublikos korupcijos prevencijos įstatymo 8 straipsnio 1 dalyje.</w:t>
                  </w:r>
                </w:p>
                <w:p w14:paraId="1626A169" w14:textId="4EA6F23F">
                  <w:pPr>
                    <w:widowControl w:val="0"/>
                    <w:tabs>
                      <w:tab w:val="left" w:pos="855"/>
                    </w:tabs>
                    <w:suppressAutoHyphens/>
                    <w:ind w:firstLine="680"/>
                    <w:jc w:val="both"/>
                    <w:rPr>
                      <w:rFonts w:eastAsia="HG Mincho Light J"/>
                      <w:color w:val="000000"/>
                      <w:kern w:val="1"/>
                      <w:szCs w:val="24"/>
                      <w:shd w:val="clear" w:color="auto" w:fill="FFFFFF"/>
                      <w:lang w:eastAsia="ar-SA"/>
                    </w:rPr>
                  </w:pPr>
                  <w:r>
                    <w:rPr>
                      <w:rFonts w:eastAsia="HG Mincho Light J"/>
                      <w:b/>
                      <w:color w:val="000000"/>
                      <w:kern w:val="1"/>
                      <w:szCs w:val="24"/>
                      <w:shd w:val="clear" w:color="auto" w:fill="FFFFFF"/>
                      <w:lang w:eastAsia="ar-SA"/>
                    </w:rPr>
                    <w:t>Sprendimo projektą parengė</w:t>
                  </w:r>
                  <w:r>
                    <w:rPr>
                      <w:rFonts w:eastAsia="HG Mincho Light J"/>
                      <w:color w:val="000000"/>
                      <w:kern w:val="1"/>
                      <w:szCs w:val="24"/>
                      <w:shd w:val="clear" w:color="auto" w:fill="FFFFFF"/>
                      <w:lang w:eastAsia="ar-SA"/>
                    </w:rPr>
                    <w:t xml:space="preserve"> Šiaulių miesto savivaldybės administracijos Ekonomikos ir investicijų skyrius. Ekonomikos ir investicijų skyriaus vedėja – Aistė Petkuvienė. Tiesioginis rengėjas – vyr. specialistė, Ligita Balsienė, tel. (8 41) 383 434. Projekto iniciatoriai: Ekonomikos ir investicijų skyrius.</w:t>
                  </w:r>
                </w:p>
                <w:p w14:paraId="3F16C307" w14:textId="77777777">
                  <w:pPr>
                    <w:widowControl w:val="0"/>
                    <w:tabs>
                      <w:tab w:val="left" w:pos="855"/>
                    </w:tabs>
                    <w:suppressAutoHyphens/>
                    <w:ind w:firstLine="680"/>
                    <w:jc w:val="both"/>
                    <w:rPr>
                      <w:rFonts w:eastAsia="HG Mincho Light J"/>
                      <w:color w:val="000000"/>
                      <w:kern w:val="1"/>
                      <w:szCs w:val="24"/>
                      <w:shd w:val="clear" w:color="auto" w:fill="FFFFFF"/>
                      <w:lang w:eastAsia="ar-SA"/>
                    </w:rPr>
                  </w:pPr>
                  <w:r>
                    <w:rPr>
                      <w:rFonts w:eastAsia="HG Mincho Light J"/>
                      <w:b/>
                      <w:color w:val="000000"/>
                      <w:kern w:val="1"/>
                      <w:szCs w:val="24"/>
                      <w:shd w:val="clear" w:color="auto" w:fill="FFFFFF"/>
                      <w:lang w:eastAsia="ar-SA"/>
                    </w:rPr>
                    <w:t>N</w:t>
                  </w:r>
                  <w:r>
                    <w:rPr>
                      <w:rFonts w:eastAsia="Calibri"/>
                      <w:b/>
                      <w:color w:val="000000"/>
                      <w:kern w:val="1"/>
                      <w:szCs w:val="24"/>
                      <w:lang w:eastAsia="ar-SA"/>
                    </w:rPr>
                    <w:t>umatomo teisinio reguliavimo poveikio vertinimo rezultatai</w:t>
                  </w:r>
                  <w:r>
                    <w:rPr>
                      <w:rFonts w:eastAsia="HG Mincho Light J"/>
                      <w:b/>
                      <w:color w:val="000000"/>
                      <w:kern w:val="1"/>
                      <w:szCs w:val="24"/>
                      <w:shd w:val="clear" w:color="auto" w:fill="FFFFFF"/>
                      <w:lang w:eastAsia="ar-SA"/>
                    </w:rPr>
                    <w:t xml:space="preserve"> </w:t>
                  </w:r>
                  <w:r>
                    <w:rPr>
                      <w:rFonts w:eastAsia="HG Mincho Light J"/>
                      <w:i/>
                      <w:color w:val="000000"/>
                      <w:kern w:val="1"/>
                      <w:szCs w:val="24"/>
                      <w:shd w:val="clear" w:color="auto" w:fill="FFFFFF"/>
                      <w:lang w:eastAsia="ar-SA"/>
                    </w:rPr>
                    <w:t>(jei tokį vertinimą reikia atlikti)</w:t>
                  </w:r>
                  <w:r>
                    <w:rPr>
                      <w:rFonts w:eastAsia="HG Mincho Light J"/>
                      <w:color w:val="000000"/>
                      <w:kern w:val="1"/>
                      <w:szCs w:val="24"/>
                      <w:shd w:val="clear" w:color="auto" w:fill="FFFFFF"/>
                      <w:lang w:eastAsia="ar-SA"/>
                    </w:rPr>
                    <w:t>.</w:t>
                  </w:r>
                </w:p>
                <w:p w14:paraId="6744B0B8" w14:textId="77777777">
                  <w:pPr>
                    <w:widowControl w:val="0"/>
                    <w:tabs>
                      <w:tab w:val="left" w:pos="855"/>
                    </w:tabs>
                    <w:suppressAutoHyphens/>
                    <w:ind w:firstLine="680"/>
                    <w:jc w:val="both"/>
                    <w:rPr>
                      <w:rFonts w:eastAsia="HG Mincho Light J"/>
                      <w:color w:val="000000"/>
                      <w:kern w:val="1"/>
                      <w:szCs w:val="24"/>
                      <w:shd w:val="clear" w:color="auto" w:fill="FFFFFF"/>
                      <w:lang w:eastAsia="ar-SA"/>
                    </w:rPr>
                  </w:pPr>
                  <w:r>
                    <w:rPr>
                      <w:rFonts w:eastAsia="HG Mincho Light J"/>
                      <w:color w:val="000000"/>
                      <w:kern w:val="1"/>
                      <w:szCs w:val="24"/>
                      <w:shd w:val="clear" w:color="auto" w:fill="FFFFFF"/>
                      <w:lang w:eastAsia="ar-SA"/>
                    </w:rPr>
                    <w:t>Neatlikta ir nenumatyta.</w:t>
                  </w:r>
                </w:p>
                <w:p w14:paraId="62471B34" w14:textId="39A268DF">
                  <w:pPr>
                    <w:widowControl w:val="0"/>
                    <w:ind w:firstLine="680"/>
                    <w:jc w:val="both"/>
                    <w:rPr>
                      <w:rFonts w:eastAsia="Lucida Sans Unicode"/>
                      <w:color w:val="000000"/>
                      <w:kern w:val="1"/>
                      <w:szCs w:val="24"/>
                      <w:lang w:eastAsia="ar-SA"/>
                    </w:rPr>
                  </w:pPr>
                </w:p>
                <w:p w14:paraId="269DF327" w14:textId="77777777">
                  <w:pPr>
                    <w:widowControl w:val="0"/>
                    <w:ind w:firstLine="680"/>
                    <w:jc w:val="both"/>
                    <w:rPr>
                      <w:rFonts w:eastAsia="Lucida Sans Unicode"/>
                      <w:color w:val="000000"/>
                      <w:kern w:val="1"/>
                      <w:szCs w:val="24"/>
                      <w:lang w:eastAsia="ar-SA"/>
                    </w:rPr>
                  </w:pPr>
                </w:p>
              </w:sdtContent>
            </w:sdt>
          </w:sdtContent>
        </w:sdt>
        <w:sdt>
          <w:sdtPr>
            <w:alias w:val="signatura"/>
            <w:tag w:val="part_1648556b64f24ecc905762ce025cc2f5"/>
            <w:lock w:val="sdtLocked"/>
            <w:richText/>
          </w:sdtPr>
          <w:sdtContent>
            <w:p w14:paraId="75BC564E" w14:textId="1FD084C8">
              <w:pPr>
                <w:widowControl w:val="0"/>
                <w:suppressAutoHyphens/>
                <w:rPr>
                  <w:rFonts w:ascii="Thorndale" w:eastAsia="HG Mincho Light J" w:hAnsi="Thorndale" w:cs="Calibri"/>
                  <w:color w:val="000000"/>
                  <w:kern w:val="1"/>
                  <w:lang w:eastAsia="ar-SA"/>
                </w:rPr>
              </w:pPr>
              <w:r>
                <w:rPr>
                  <w:rFonts w:eastAsia="HG Mincho Light J"/>
                  <w:color w:val="000000"/>
                  <w:kern w:val="1"/>
                  <w:szCs w:val="24"/>
                  <w:lang w:eastAsia="ar-SA"/>
                </w:rPr>
                <w:t>Skyriaus vedėja</w:t>
                <w:tab/>
                <w:tab/>
                <w:tab/>
                <w:tab/>
                <w:tab/>
              </w:r>
              <w:r>
                <w:rPr>
                  <w:rFonts w:ascii="Thorndale" w:eastAsia="HG Mincho Light J" w:hAnsi="Thorndale" w:cs="Calibri"/>
                  <w:color w:val="000000"/>
                  <w:kern w:val="1"/>
                  <w:lang w:eastAsia="ar-SA"/>
                </w:rPr>
                <w:t>Aistė Petkuvienė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20" w:footer="720" w:gutter="0"/>
      <w:cols w:space="720"/>
      <w:titlePg/>
      <w:docGrid w:linePitch="400" w:charSpace="32768"/>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1F98590" w16cex:dateUtc="2020-02-20T20:24:00Z"/>
</w16cex:commentsExtensible>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228127" w14:textId="77777777">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separator/>
      </w:r>
    </w:p>
  </w:endnote>
  <w:endnote w:type="continuationSeparator" w:id="0">
    <w:p w14:paraId="051139FE" w14:textId="77777777">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DDE32" w14:textId="77777777">
    <w:pPr>
      <w:widowControl w:val="0"/>
      <w:tabs>
        <w:tab w:val="center" w:pos="4819"/>
        <w:tab w:val="right" w:pos="9638"/>
      </w:tabs>
      <w:suppressAutoHyphens/>
      <w:rPr>
        <w:rFonts w:ascii="Thorndale" w:eastAsia="HG Mincho Light J" w:hAnsi="Thorndale" w:cs="Calibri"/>
        <w:color w:val="000000"/>
        <w:kern w:val="1"/>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4AFF5" w14:textId="77777777">
    <w:pPr>
      <w:widowControl w:val="0"/>
      <w:tabs>
        <w:tab w:val="center" w:pos="4819"/>
        <w:tab w:val="right" w:pos="9638"/>
      </w:tabs>
      <w:suppressAutoHyphens/>
      <w:rPr>
        <w:rFonts w:ascii="Thorndale" w:eastAsia="HG Mincho Light J" w:hAnsi="Thorndale" w:cs="Calibri"/>
        <w:color w:val="000000"/>
        <w:kern w:val="1"/>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9F60B" w14:textId="77777777">
    <w:pPr>
      <w:widowControl w:val="0"/>
      <w:tabs>
        <w:tab w:val="center" w:pos="4819"/>
        <w:tab w:val="right" w:pos="9638"/>
      </w:tabs>
      <w:suppressAutoHyphens/>
      <w:rPr>
        <w:rFonts w:ascii="Thorndale" w:eastAsia="HG Mincho Light J" w:hAnsi="Thorndale" w:cs="Calibri"/>
        <w:color w:val="000000"/>
        <w:kern w:val="1"/>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632D79" w14:textId="77777777">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separator/>
      </w:r>
    </w:p>
  </w:footnote>
  <w:footnote w:type="continuationSeparator" w:id="0">
    <w:p w14:paraId="67A36955" w14:textId="77777777">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E6212" w14:textId="77777777">
    <w:pPr>
      <w:widowControl w:val="0"/>
      <w:tabs>
        <w:tab w:val="center" w:pos="4819"/>
        <w:tab w:val="right" w:pos="9638"/>
      </w:tabs>
      <w:suppressAutoHyphens/>
      <w:rPr>
        <w:rFonts w:ascii="Thorndale" w:eastAsia="HG Mincho Light J" w:hAnsi="Thorndale" w:cs="Calibri"/>
        <w:color w:val="000000"/>
        <w:kern w:val="1"/>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A458F" w14:textId="10176B40">
    <w:pPr>
      <w:widowControl w:val="0"/>
      <w:tabs>
        <w:tab w:val="center" w:pos="4819"/>
        <w:tab w:val="right" w:pos="9638"/>
      </w:tabs>
      <w:suppressAutoHyphens/>
      <w:jc w:val="center"/>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fldChar w:fldCharType="begin"/>
    </w:r>
    <w:r>
      <w:rPr>
        <w:rFonts w:ascii="Thorndale" w:eastAsia="HG Mincho Light J" w:hAnsi="Thorndale" w:cs="Calibri"/>
        <w:color w:val="000000"/>
        <w:kern w:val="1"/>
        <w:lang w:eastAsia="ar-SA"/>
      </w:rPr>
      <w:instrText>PAGE   \* MERGEFORMAT</w:instrText>
    </w:r>
    <w:r>
      <w:rPr>
        <w:rFonts w:ascii="Thorndale" w:eastAsia="HG Mincho Light J" w:hAnsi="Thorndale" w:cs="Calibri"/>
        <w:color w:val="000000"/>
        <w:kern w:val="1"/>
        <w:lang w:eastAsia="ar-SA"/>
      </w:rPr>
      <w:fldChar w:fldCharType="separate"/>
    </w:r>
    <w:r>
      <w:rPr>
        <w:rFonts w:ascii="Thorndale" w:eastAsia="HG Mincho Light J" w:hAnsi="Thorndale" w:cs="Calibri"/>
        <w:color w:val="000000"/>
        <w:kern w:val="1"/>
        <w:lang w:eastAsia="ar-SA"/>
      </w:rPr>
      <w:t>2</w:t>
    </w:r>
    <w:r>
      <w:rPr>
        <w:rFonts w:ascii="Thorndale" w:eastAsia="HG Mincho Light J" w:hAnsi="Thorndale" w:cs="Calibri"/>
        <w:color w:val="000000"/>
        <w:kern w:val="1"/>
        <w:lang w:eastAsia="ar-SA"/>
      </w:rPr>
      <w:fldChar w:fldCharType="end"/>
    </w:r>
  </w:p>
  <w:p w14:paraId="548C9EEE" w14:textId="77777777">
    <w:pPr>
      <w:widowControl w:val="0"/>
      <w:tabs>
        <w:tab w:val="center" w:pos="4819"/>
        <w:tab w:val="right" w:pos="9638"/>
      </w:tabs>
      <w:suppressAutoHyphens/>
      <w:rPr>
        <w:rFonts w:ascii="Thorndale" w:eastAsia="HG Mincho Light J" w:hAnsi="Thorndale" w:cs="Calibri"/>
        <w:color w:val="000000"/>
        <w:kern w:val="1"/>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A0B5B" w14:textId="77777777">
    <w:pPr>
      <w:widowControl w:val="0"/>
      <w:tabs>
        <w:tab w:val="center" w:pos="4819"/>
        <w:tab w:val="right" w:pos="9638"/>
      </w:tabs>
      <w:suppressAutoHyphens/>
      <w:rPr>
        <w:rFonts w:ascii="Thorndale" w:eastAsia="HG Mincho Light J" w:hAnsi="Thorndale" w:cs="Calibri"/>
        <w:color w:val="000000"/>
        <w:kern w:val="1"/>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2471B14"/>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 w:id="703866475">
      <w:bodyDiv w:val="1"/>
      <w:marLeft w:val="0"/>
      <w:marRight w:val="0"/>
      <w:marTop w:val="0"/>
      <w:marBottom w:val="0"/>
      <w:divBdr>
        <w:top w:val="none" w:sz="0" w:space="0" w:color="auto"/>
        <w:left w:val="none" w:sz="0" w:space="0" w:color="auto"/>
        <w:bottom w:val="none" w:sz="0" w:space="0" w:color="auto"/>
        <w:right w:val="none" w:sz="0" w:space="0" w:color="auto"/>
      </w:divBdr>
    </w:div>
    <w:div w:id="80146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8/08/relationships/commentsExtensible" Target="commentsExtensible.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7e5e1f8ef1b4903a815ef957bb8f675" PartId="b9f781b864f14e0aac946bca97aae761">
    <Part Type="skyrius" Nr="999" Title="SPRENDIMO DĖL BIUDŽETINĖS ĮSTAIGOS ŠIAULIŲ APSKAITOS CENTRO NUOSTATŲ PATVIRTINIMO PROJEKTO AIŠKINAMASIS RAŠTAS" DocPartId="e475763f24634d83869b8d88987bd3cc" PartId="1196354f7153477cb0ebcb60ada136b2">
      <Part Type="poskyris" Title="Parengto sprendimo projekto tikslai ir uždaviniai." DocPartId="291dc4d7ef9d4943ae254e0573402be1" PartId="f9770b498ad74f8982e3a2ba7ce9bafc">
        <Part Type="punktas" Nr="1" Abbr="1 p." DocPartId="a941558e4e7a4b099ac7bd45a10a48f7" PartId="d633be4ae6c449e7b85677a3bc7b888c"/>
        <Part Type="punktas" Nr="2" Abbr="2 p." DocPartId="bb21888b1b774ea0a6cc9f0d99a5302b" PartId="881c136c4afe4b13b5e9cc7df44035f5"/>
        <Part Type="punktas" Nr="3" Abbr="3 p." DocPartId="9a760ecb1a60459ea73607aba8f99b18" PartId="6ffcb1694c5a44c1a45ae4da6efa74f9"/>
        <Part Type="punktas" Nr="4" Abbr="4 p." DocPartId="e225f18f1ab1437f937ba90cb03bd0e3" PartId="df819a6a23cf46358e61b90641b69ac3"/>
      </Part>
      <Part Type="poskyris" Title="Dabartinis sprendimo projekte aptariamų klausimų reguliavimas." DocPartId="2244e949e8704156b1a8f79a37bd3c17" PartId="bd303adaf8e24732a947e4db7dcfae62"/>
      <Part Type="poskyris" Title="Sprendimo projekte numatytos naujos teisinio reglamentavimo nuostatos." DocPartId="c16dc82f764d443db56d140a56850e39" PartId="1bbb9d2c56a441088ae8809ccf336c5e"/>
      <Part Type="poskyris" Title="Priėmus sprendimą, keičiami ar pripažįstami negaliojančiais teisės aktai." DocPartId="1efde4489a17486fb970514bbb8b7e20" PartId="215728a23fe34645890f0241fe9a4710"/>
      <Part Type="poskyris" Title="Sprendimui įgyvendinti reikalingi priimti papildomi teisės aktai." DocPartId="1692a66ee4f748cd8a7607ea5a20d812" PartId="afa6455da78945969669adf6287d5f1e"/>
      <Part Type="poskyris" Title="Sprendimui įgyvendinti reikalingos lėšos." DocPartId="98ada91a9a0e4eeca8b9a15125e3b1bf" PartId="b7feb0e0c4984e00a0339fe56286470b"/>
    </Part>
    <Part Type="signatura" DocPartId="08bd3605816342b9b77daa30c5727ab8" PartId="1648556b64f24ecc905762ce025cc2f5"/>
  </Part>
</Parts>
</file>

<file path=customXml/itemProps1.xml><?xml version="1.0" encoding="utf-8"?>
<ds:datastoreItem xmlns:ds="http://schemas.openxmlformats.org/officeDocument/2006/customXml" ds:itemID="{861B0A21-2D43-49DC-A3B2-F34EF377B3EE}">
  <ds:schemaRefs>
    <ds:schemaRef ds:uri="http://schemas.openxmlformats.org/officeDocument/2006/bibliography"/>
  </ds:schemaRefs>
</ds:datastoreItem>
</file>

<file path=customXml/itemProps2.xml><?xml version="1.0" encoding="utf-8"?>
<ds:datastoreItem xmlns:ds="http://schemas.openxmlformats.org/officeDocument/2006/customXml" ds:itemID="{30E42AED-0538-4FB6-BBFA-36AE8273D2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471</Words>
  <Characters>3621</Characters>
  <Application>Microsoft Office Word</Application>
  <DocSecurity>4</DocSecurity>
  <Lines>65</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2024-03-18T07:04:00Z</dcterms:created>
  <dc:creator>Martynas Šiurkus</dc:creator>
  <lastModifiedBy>adlibuser</lastModifiedBy>
  <lastPrinted>1900-12-31T20:00:00Z</lastPrinted>
  <dcterms:modified xsi:type="dcterms:W3CDTF">2024-03-18T07:04:00Z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