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c7569143d884c79ad5f828813db4748"/>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8"/>
            <w:gridCol w:w="4809"/>
            <w:gridCol w:w="282"/>
            <w:gridCol w:w="1841"/>
            <w:gridCol w:w="565"/>
            <w:gridCol w:w="1999"/>
            <w:gridCol w:w="134"/>
          </w:tblGrid>
          <w:tr>
            <w:tc>
              <w:tcPr>
                <w:tcW w:w="9638" w:type="dxa"/>
                <w:gridSpan w:val="7"/>
                <w:tcBorders>
                  <w:bottom w:val="single" w:sz="4" w:space="0" w:color="000000"/>
                </w:tcBorders>
              </w:tcPr>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24C19E06" wp14:editId="32D80AD2">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7"/>
                <w:tcMar>
                  <w:top w:w="0" w:type="dxa"/>
                  <w:left w:w="0" w:type="dxa"/>
                  <w:bottom w:w="0" w:type="dxa"/>
                  <w:right w:w="0" w:type="dxa"/>
                </w:tcMar>
              </w:tcPr>
              <w:p>
                <w:pPr>
                  <w:widowControl w:val="0"/>
                  <w:suppressLineNumbers/>
                  <w:suppressAutoHyphens/>
                  <w:spacing w:line="360" w:lineRule="auto"/>
                  <w:rPr>
                    <w:rFonts w:eastAsia="Andale Sans UI" w:cs="Tahoma"/>
                    <w:szCs w:val="24"/>
                    <w:lang w:bidi="en-US"/>
                  </w:rPr>
                </w:pPr>
              </w:p>
            </w:tc>
          </w:tr>
          <w:tr>
            <w:trPr>
              <w:cantSplit/>
              <w:trHeight w:val="340"/>
            </w:trPr>
            <w:tc>
              <w:tcPr>
                <w:tcW w:w="4817" w:type="dxa"/>
                <w:gridSpan w:val="2"/>
                <w:vMerge w:val="restart"/>
                <w:tcMar>
                  <w:top w:w="0" w:type="dxa"/>
                  <w:left w:w="0" w:type="dxa"/>
                  <w:bottom w:w="0" w:type="dxa"/>
                  <w:right w:w="0" w:type="dxa"/>
                </w:tcMar>
              </w:tcPr>
              <w:p>
                <w:pPr>
                  <w:widowControl w:val="0"/>
                  <w:suppressAutoHyphens/>
                  <w:spacing w:line="360" w:lineRule="auto"/>
                  <w:jc w:val="both"/>
                  <w:rPr>
                    <w:rFonts w:eastAsia="Andale Sans UI" w:cs="Tahoma"/>
                    <w:szCs w:val="24"/>
                    <w:lang w:bidi="en-US"/>
                  </w:rPr>
                </w:pPr>
                <w:r>
                  <w:rPr>
                    <w:rFonts w:eastAsia="Andale Sans UI" w:cs="Tahoma"/>
                    <w:szCs w:val="24"/>
                    <w:lang w:bidi="en-US"/>
                  </w:rPr>
                  <w:t xml:space="preserve">Pagal adresatų sąrašą </w:t>
                </w:r>
              </w:p>
              <w:p>
                <w:pPr>
                  <w:widowControl w:val="0"/>
                  <w:suppressLineNumbers/>
                  <w:suppressAutoHyphens/>
                  <w:spacing w:line="360" w:lineRule="auto"/>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spacing w:line="360"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spacing w:line="360" w:lineRule="auto"/>
                  <w:ind w:right="67"/>
                  <w:rPr>
                    <w:rFonts w:eastAsia="Andale Sans UI" w:cs="Tahoma"/>
                    <w:szCs w:val="24"/>
                    <w:lang w:bidi="en-US"/>
                  </w:rPr>
                </w:pPr>
                <w:r>
                  <w:rPr>
                    <w:rFonts w:eastAsia="Andale Sans UI" w:cs="Tahoma"/>
                    <w:spacing w:val="10"/>
                    <w:szCs w:val="24"/>
                    <w:lang w:bidi="en-US"/>
                  </w:rPr>
                  <w:t>2022-</w:t>
                </w:r>
              </w:p>
            </w:tc>
            <w:tc>
              <w:tcPr>
                <w:tcW w:w="565" w:type="dxa"/>
              </w:tcPr>
              <w:p>
                <w:pPr>
                  <w:widowControl w:val="0"/>
                  <w:suppressAutoHyphens/>
                  <w:spacing w:line="360"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gridSpan w:val="2"/>
              </w:tcPr>
              <w:p>
                <w:pPr>
                  <w:widowControl w:val="0"/>
                  <w:suppressLineNumbers/>
                  <w:suppressAutoHyphens/>
                  <w:spacing w:line="360" w:lineRule="auto"/>
                  <w:ind w:right="67"/>
                  <w:rPr>
                    <w:rFonts w:eastAsia="Andale Sans UI" w:cs="Tahoma"/>
                    <w:szCs w:val="24"/>
                    <w:lang w:bidi="en-US"/>
                  </w:rPr>
                </w:pPr>
              </w:p>
            </w:tc>
          </w:tr>
          <w:tr>
            <w:trPr>
              <w:cantSplit/>
              <w:trHeight w:val="340"/>
            </w:trPr>
            <w:tc>
              <w:tcPr>
                <w:tcW w:w="4817" w:type="dxa"/>
                <w:gridSpan w:val="2"/>
                <w:vMerge/>
                <w:tcMar>
                  <w:top w:w="0" w:type="dxa"/>
                  <w:left w:w="0" w:type="dxa"/>
                  <w:bottom w:w="0" w:type="dxa"/>
                  <w:right w:w="0" w:type="dxa"/>
                </w:tcMar>
              </w:tcPr>
              <w:p>
                <w:pPr>
                  <w:widowControl w:val="0"/>
                  <w:suppressAutoHyphens/>
                  <w:spacing w:line="360" w:lineRule="auto"/>
                  <w:rPr>
                    <w:rFonts w:eastAsia="Andale Sans UI" w:cs="Tahoma"/>
                    <w:szCs w:val="24"/>
                    <w:lang w:bidi="en-US"/>
                  </w:rPr>
                </w:pPr>
              </w:p>
            </w:tc>
            <w:tc>
              <w:tcPr>
                <w:tcW w:w="282" w:type="dxa"/>
                <w:tcMar>
                  <w:top w:w="0" w:type="dxa"/>
                  <w:left w:w="0" w:type="dxa"/>
                  <w:bottom w:w="0" w:type="dxa"/>
                  <w:right w:w="0" w:type="dxa"/>
                </w:tcMar>
              </w:tcPr>
              <w:p>
                <w:pPr>
                  <w:widowControl w:val="0"/>
                  <w:tabs>
                    <w:tab w:val="left" w:pos="2869"/>
                  </w:tabs>
                  <w:suppressAutoHyphens/>
                  <w:spacing w:line="360"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spacing w:line="360" w:lineRule="auto"/>
                  <w:ind w:right="67"/>
                  <w:rPr>
                    <w:rFonts w:eastAsia="Andale Sans UI" w:cs="Tahoma"/>
                    <w:szCs w:val="24"/>
                    <w:lang w:bidi="en-US"/>
                  </w:rPr>
                </w:pPr>
              </w:p>
            </w:tc>
            <w:tc>
              <w:tcPr>
                <w:tcW w:w="565" w:type="dxa"/>
              </w:tcPr>
              <w:p>
                <w:pPr>
                  <w:widowControl w:val="0"/>
                  <w:tabs>
                    <w:tab w:val="left" w:pos="2869"/>
                  </w:tabs>
                  <w:suppressAutoHyphens/>
                  <w:spacing w:line="360" w:lineRule="auto"/>
                  <w:ind w:right="67"/>
                  <w:jc w:val="right"/>
                  <w:rPr>
                    <w:rFonts w:eastAsia="Andale Sans UI" w:cs="Tahoma"/>
                    <w:spacing w:val="10"/>
                    <w:szCs w:val="24"/>
                    <w:lang w:bidi="en-US"/>
                  </w:rPr>
                </w:pPr>
              </w:p>
            </w:tc>
            <w:tc>
              <w:tcPr>
                <w:tcW w:w="2133" w:type="dxa"/>
                <w:gridSpan w:val="2"/>
              </w:tcPr>
              <w:p>
                <w:pPr>
                  <w:widowControl w:val="0"/>
                  <w:suppressLineNumbers/>
                  <w:suppressAutoHyphens/>
                  <w:spacing w:line="360" w:lineRule="auto"/>
                  <w:ind w:right="67"/>
                  <w:rPr>
                    <w:rFonts w:eastAsia="Andale Sans UI" w:cs="Tahoma"/>
                    <w:szCs w:val="24"/>
                    <w:lang w:bidi="en-US"/>
                  </w:rPr>
                </w:pPr>
              </w:p>
            </w:tc>
          </w:tr>
          <w:tr>
            <w:trPr>
              <w:cantSplit/>
            </w:trPr>
            <w:tc>
              <w:tcPr>
                <w:tcW w:w="4817" w:type="dxa"/>
                <w:gridSpan w:val="2"/>
                <w:vMerge/>
                <w:tcMar>
                  <w:top w:w="0" w:type="dxa"/>
                  <w:left w:w="0" w:type="dxa"/>
                  <w:bottom w:w="0" w:type="dxa"/>
                  <w:right w:w="0" w:type="dxa"/>
                </w:tcMar>
              </w:tcPr>
              <w:p>
                <w:pPr>
                  <w:widowControl w:val="0"/>
                  <w:suppressAutoHyphens/>
                  <w:spacing w:line="360" w:lineRule="auto"/>
                  <w:rPr>
                    <w:rFonts w:eastAsia="Andale Sans UI" w:cs="Tahoma"/>
                    <w:szCs w:val="24"/>
                    <w:lang w:bidi="en-US"/>
                  </w:rPr>
                </w:pPr>
              </w:p>
            </w:tc>
            <w:tc>
              <w:tcPr>
                <w:tcW w:w="4821" w:type="dxa"/>
                <w:gridSpan w:val="5"/>
                <w:tcMar>
                  <w:top w:w="0" w:type="dxa"/>
                  <w:left w:w="0" w:type="dxa"/>
                  <w:bottom w:w="0" w:type="dxa"/>
                  <w:right w:w="0" w:type="dxa"/>
                </w:tcMar>
              </w:tcPr>
              <w:p>
                <w:pPr>
                  <w:widowControl w:val="0"/>
                  <w:tabs>
                    <w:tab w:val="left" w:pos="2869"/>
                  </w:tabs>
                  <w:suppressAutoHyphens/>
                  <w:spacing w:line="360" w:lineRule="auto"/>
                  <w:ind w:right="67"/>
                  <w:rPr>
                    <w:rFonts w:eastAsia="Andale Sans UI" w:cs="Tahoma"/>
                    <w:spacing w:val="10"/>
                    <w:szCs w:val="24"/>
                    <w:lang w:bidi="en-US"/>
                  </w:rPr>
                </w:pPr>
              </w:p>
            </w:tc>
          </w:tr>
          <w:tr>
            <w:tblPrEx>
              <w:tblCellMar>
                <w:top w:w="0" w:type="dxa"/>
                <w:left w:w="0" w:type="dxa"/>
                <w:bottom w:w="0" w:type="dxa"/>
                <w:right w:w="0" w:type="dxa"/>
              </w:tblCellMar>
            </w:tblPrEx>
            <w:trPr>
              <w:gridBefore w:val="1"/>
              <w:gridAfter w:val="1"/>
              <w:wBefore w:w="8" w:type="dxa"/>
              <w:wAfter w:w="134" w:type="dxa"/>
              <w:trHeight w:val="244"/>
            </w:trPr>
            <w:tc>
              <w:tcPr>
                <w:tcW w:w="9496" w:type="dxa"/>
                <w:gridSpan w:val="5"/>
              </w:tcPr>
              <w:p>
                <w:pPr>
                  <w:widowControl w:val="0"/>
                  <w:suppressAutoHyphens/>
                  <w:jc w:val="both"/>
                  <w:rPr>
                    <w:rFonts w:eastAsia="Andale Sans UI" w:cs="Tahoma"/>
                    <w:b/>
                    <w:bCs/>
                    <w:szCs w:val="24"/>
                    <w:lang w:eastAsia="lt-LT" w:bidi="en-US"/>
                  </w:rPr>
                </w:pPr>
                <w:r>
                  <w:rPr>
                    <w:rFonts w:eastAsia="Andale Sans UI" w:cs="Tahoma"/>
                    <w:b/>
                    <w:bCs/>
                    <w:szCs w:val="24"/>
                    <w:lang w:eastAsia="lt-LT" w:bidi="en-US"/>
                  </w:rPr>
                  <w:t>DĖL LIETUVOS RESPUBLIKOS APLINKOS MINISTRO 2009 M. GEGUŽĖS 27 D. ĮSAKYMO NR. D1-291 „DĖL GAMINTOJŲ IR IMPORTUOTOJŲ REGISTRAVIMO TAISYKLIŲ PATVIRTINIMO“ PAKEITIMO</w:t>
                </w:r>
              </w:p>
              <w:p>
                <w:pPr>
                  <w:widowControl w:val="0"/>
                  <w:tabs>
                    <w:tab w:val="left" w:pos="2869"/>
                  </w:tabs>
                  <w:suppressAutoHyphens/>
                  <w:ind w:right="57"/>
                  <w:jc w:val="both"/>
                  <w:rPr>
                    <w:rFonts w:eastAsia="Andale Sans UI" w:cs="Tahoma"/>
                    <w:b/>
                    <w:caps/>
                    <w:szCs w:val="24"/>
                    <w:lang w:bidi="en-US"/>
                  </w:rPr>
                </w:pPr>
              </w:p>
            </w:tc>
          </w:tr>
        </w:tbl>
        <w:p>
          <w:pPr>
            <w:widowControl w:val="0"/>
            <w:suppressAutoHyphens/>
            <w:spacing w:line="360" w:lineRule="auto"/>
            <w:ind w:firstLine="567"/>
            <w:jc w:val="both"/>
            <w:rPr>
              <w:rFonts w:eastAsia="Andale Sans UI" w:cs="Tahoma"/>
              <w:szCs w:val="24"/>
              <w:lang w:bidi="en-US"/>
            </w:rPr>
          </w:pPr>
        </w:p>
      </w:sdtContent>
    </w:sdt>
    <w:sdt>
      <w:sdtPr>
        <w:alias w:val="pastraipa"/>
        <w:tag w:val="part_69fc49410686488a9be66b19347b2796"/>
        <w:lock w:val="sdtLocked"/>
        <w:richText/>
      </w:sdtPr>
      <w:sdtContent>
        <w:p>
          <w:pPr>
            <w:widowControl w:val="0"/>
            <w:tabs>
              <w:tab w:val="left" w:pos="851"/>
              <w:tab w:val="left" w:pos="993"/>
              <w:tab w:val="left" w:pos="1276"/>
            </w:tabs>
            <w:spacing w:line="276" w:lineRule="auto"/>
            <w:ind w:firstLine="851"/>
            <w:jc w:val="both"/>
            <w:rPr>
              <w:color w:val="000000"/>
              <w:lang w:eastAsia="lt-LT"/>
            </w:rPr>
          </w:pPr>
          <w:r>
            <w:rPr>
              <w:lang w:eastAsia="lt-LT"/>
            </w:rPr>
            <w:t xml:space="preserve">Aplinkos ministerija teikia derinti </w:t>
          </w:r>
          <w:r>
            <w:rPr>
              <w:szCs w:val="22"/>
              <w:lang w:eastAsia="lt-LT"/>
            </w:rPr>
            <w:t xml:space="preserve">Lietuvos Respublikos aplinkos ministro </w:t>
          </w:r>
          <w:r>
            <w:rPr>
              <w:color w:val="000000"/>
              <w:lang w:eastAsia="lt-LT"/>
            </w:rPr>
            <w:t>2009 m. gegužės 27 d. įsakymo Nr. D1-291 „Dėl Gamintojų ir importuotojų registravimo taisyklių patvirtinimo“</w:t>
          </w:r>
          <w:r>
            <w:rPr>
              <w:rFonts w:eastAsia="Calibri"/>
              <w:szCs w:val="24"/>
              <w:lang w:eastAsia="lt-LT"/>
            </w:rPr>
            <w:t xml:space="preserve"> </w:t>
          </w:r>
          <w:r>
            <w:rPr>
              <w:color w:val="333333"/>
              <w:shd w:val="clear" w:color="auto" w:fill="FFFFFF"/>
              <w:lang w:eastAsia="lt-LT"/>
            </w:rPr>
            <w:t>pakeitimo</w:t>
          </w:r>
          <w:r>
            <w:rPr>
              <w:szCs w:val="22"/>
              <w:lang w:eastAsia="lt-LT"/>
            </w:rPr>
            <w:t xml:space="preserve"> projektą (toliau – projektas). </w:t>
          </w:r>
          <w:r>
            <w:rPr>
              <w:lang w:eastAsia="lt-LT"/>
            </w:rPr>
            <w:t>Projektas parengtas siekiant aiškiau reglamentuoti gaminių (</w:t>
          </w:r>
          <w:r>
            <w:rPr>
              <w:color w:val="000000"/>
              <w:lang w:eastAsia="lt-LT"/>
            </w:rPr>
            <w:t>alyva, transporto priemonės, elektros ir elektroninė įranga, baterijos ir akumuliatoriai, apmokestinamieji gaminiai (išskyrus baterijas ir akumuliatorius), tuščios ir (ar) pripildytos pakuotės) gamintojų ar importuotojų registravimosi Gamintojų ir importuotojų sąvade (toliau – Sąvadas) tvarką</w:t>
          </w:r>
          <w:r>
            <w:rPr>
              <w:lang w:eastAsia="lt-LT"/>
            </w:rPr>
            <w:t xml:space="preserve">, </w:t>
          </w:r>
          <w:r>
            <w:rPr>
              <w:color w:val="000000"/>
              <w:lang w:eastAsia="lt-LT"/>
            </w:rPr>
            <w:t>siekiant supaprastinti ir pagreitinti gamintojų ar importuotojų išregistravimo iš Sąvado procedūrą.</w:t>
          </w:r>
        </w:p>
      </w:sdtContent>
    </w:sdt>
    <w:sdt>
      <w:sdtPr>
        <w:alias w:val="pastraipa"/>
        <w:tag w:val="part_8a22d249e9ec400781f9c540703a5dae"/>
        <w:lock w:val="sdtLocked"/>
        <w:richText/>
      </w:sdtPr>
      <w:sdtContent>
        <w:p>
          <w:pPr>
            <w:widowControl w:val="0"/>
            <w:tabs>
              <w:tab w:val="left" w:pos="851"/>
              <w:tab w:val="left" w:pos="993"/>
              <w:tab w:val="left" w:pos="1276"/>
            </w:tabs>
            <w:spacing w:line="276" w:lineRule="auto"/>
            <w:ind w:firstLine="851"/>
            <w:jc w:val="both"/>
            <w:rPr>
              <w:color w:val="000000"/>
              <w:lang w:eastAsia="lt-LT"/>
            </w:rPr>
          </w:pPr>
          <w:r>
            <w:rPr>
              <w:lang w:eastAsia="lt-LT"/>
            </w:rPr>
            <w:t>Projekto tikslas – patikslinti, kokių gaminių gamintojai ar importuotojai, kurie vykdo patys ir (ar) per trečiuosius asmenis gaminių išvežimą iš Lietuvos Respublikos, turi registruotis S</w:t>
          </w:r>
          <w:r>
            <w:rPr>
              <w:color w:val="000000"/>
              <w:lang w:eastAsia="lt-LT"/>
            </w:rPr>
            <w:t>ąvade</w:t>
          </w:r>
          <w:r>
            <w:rPr>
              <w:lang w:eastAsia="lt-LT"/>
            </w:rPr>
            <w:t>, išdetalizuoti alyvos, apmokestinamųjų gaminių rūšis,</w:t>
          </w:r>
          <w:r>
            <w:rPr>
              <w:color w:val="000000"/>
              <w:lang w:eastAsia="lt-LT"/>
            </w:rPr>
            <w:t xml:space="preserve"> </w:t>
          </w:r>
          <w:r>
            <w:rPr>
              <w:lang w:eastAsia="lt-LT"/>
            </w:rPr>
            <w:t xml:space="preserve">sutrumpinti gamintojo ar importuotojo prašymo išregistruoti iš Sąvado nagrinėjimo terminą ir </w:t>
          </w:r>
          <w:r>
            <w:rPr>
              <w:color w:val="000000"/>
              <w:lang w:eastAsia="lt-LT"/>
            </w:rPr>
            <w:t>atsisakyti Aplinkos apsaugos departamento prie Aplinkos ministerijos atliekamos</w:t>
          </w:r>
          <w:r>
            <w:rPr>
              <w:lang w:eastAsia="lt-LT"/>
            </w:rPr>
            <w:t xml:space="preserve"> gamintojo ar importuotojo patikros dėl pareigų įvykdymo prašymo išregistruoti iš Sąvado nagrinėjimo metu, atsisakyti</w:t>
          </w:r>
          <w:r>
            <w:rPr>
              <w:color w:val="000000"/>
              <w:lang w:eastAsia="lt-LT"/>
            </w:rPr>
            <w:t xml:space="preserve"> </w:t>
          </w:r>
          <w:r>
            <w:rPr>
              <w:lang w:eastAsia="lt-LT"/>
            </w:rPr>
            <w:t xml:space="preserve">gamintojo ar importuotojo </w:t>
          </w:r>
          <w:r>
            <w:rPr>
              <w:color w:val="000000"/>
              <w:lang w:eastAsia="lt-LT"/>
            </w:rPr>
            <w:t>išregistravimo iš Sąvado atvejo, jei pastarasis dvejus kalendorinius metus iš eilės nepateikė metinių gaminių apskaitos ataskaitų. </w:t>
          </w:r>
        </w:p>
      </w:sdtContent>
    </w:sdt>
    <w:sdt>
      <w:sdtPr>
        <w:alias w:val="pastraipa"/>
        <w:tag w:val="part_7dbe909851a149f6abd0248c056be8d2"/>
        <w:lock w:val="sdtLocked"/>
        <w:richText/>
      </w:sdtPr>
      <w:sdtContent>
        <w:p>
          <w:pPr>
            <w:widowControl w:val="0"/>
            <w:tabs>
              <w:tab w:val="left" w:pos="851"/>
              <w:tab w:val="left" w:pos="993"/>
              <w:tab w:val="left" w:pos="1276"/>
            </w:tabs>
            <w:spacing w:line="276" w:lineRule="auto"/>
            <w:ind w:firstLine="851"/>
            <w:jc w:val="both"/>
            <w:rPr>
              <w:lang w:eastAsia="lt-LT"/>
            </w:rPr>
          </w:pPr>
          <w:r>
            <w:rPr>
              <w:rFonts w:eastAsia="Lucida Sans Unicode"/>
              <w:szCs w:val="24"/>
              <w:lang w:eastAsia="lt-LT"/>
            </w:rPr>
            <w:t xml:space="preserve">Projektas iš dalies </w:t>
          </w:r>
          <w:r>
            <w:rPr>
              <w:lang w:eastAsia="lt-LT"/>
            </w:rPr>
            <w:t xml:space="preserve">įgyvendina 2008 m. lapkričio 19 d. Europos Parlamento ir Tarybos direktyvą </w:t>
          </w:r>
          <w:fldSimple w:instr="HYPERLINK http://eur-lex.europa.eu/legal-content/LIT/TXT/?uri=CELEX:32008L0098&amp;locale=lt \t _blank">
            <w:r>
              <w:rPr>
                <w:lang w:eastAsia="lt-LT"/>
                <w:u w:val="single"/>
                <w:color w:val="0000FF" w:themeColor="hyperlink"/>
              </w:rPr>
              <w:t>2008/98/EB</w:t>
            </w:r>
          </w:fldSimple>
          <w:r>
            <w:rPr>
              <w:lang w:eastAsia="lt-LT"/>
            </w:rPr>
            <w:t xml:space="preserve"> dėl atliekų </w:t>
          </w:r>
          <w:r>
            <w:rPr>
              <w:szCs w:val="24"/>
              <w:shd w:val="clear" w:color="auto" w:fill="FFFFFF"/>
              <w:lang w:eastAsia="lt-LT"/>
            </w:rPr>
            <w:t>ir panaikinanti kai kurias direktyvas</w:t>
          </w:r>
          <w:r>
            <w:rPr>
              <w:lang w:eastAsia="lt-LT"/>
            </w:rPr>
            <w:t xml:space="preserve"> su paskutiniais pakeitimais, padarytais 2018 m. gegužės 30 d. Europos Parlamento ir Tarybos direktyva (ES) 2018/851 ir </w:t>
          </w:r>
          <w:r>
            <w:rPr>
              <w:bCs/>
              <w:color w:val="000000"/>
              <w:szCs w:val="24"/>
              <w:lang w:eastAsia="lt-LT"/>
            </w:rPr>
            <w:t xml:space="preserve">2019 m. birželio 7 d. Komisijos įgyvendinimo sprendimą (ES) 2019/1044, kuriuo pagal Europos Parlamento ir Tarybos direktyvą </w:t>
          </w:r>
          <w:fldSimple w:instr="HYPERLINK http://eur-lex.europa.eu/legal-content/LIT/TXT/?uri=CELEX:32008L0098&amp;locale=lt \t _blank">
            <w:r>
              <w:rPr>
                <w:bCs/>
                <w:color w:val="0000FF" w:themeColor="hyperlink"/>
                <w:szCs w:val="24"/>
                <w:lang w:eastAsia="lt-LT"/>
                <w:u w:val="single"/>
              </w:rPr>
              <w:t>2008/98/EB</w:t>
            </w:r>
          </w:fldSimple>
          <w:r>
            <w:rPr>
              <w:bCs/>
              <w:color w:val="000000"/>
              <w:szCs w:val="24"/>
              <w:lang w:eastAsia="lt-LT"/>
            </w:rPr>
            <w:t xml:space="preserve"> nustatomos duomenų apie atliekas skaičiavimo, tikrinimo ir teikimo taisyklės ir panaikinamas Komisijos įgyvendinimo sprendimas C(2012) 2384</w:t>
          </w:r>
          <w:r>
            <w:rPr>
              <w:lang w:eastAsia="lt-LT"/>
            </w:rPr>
            <w:t>.</w:t>
          </w:r>
        </w:p>
      </w:sdtContent>
    </w:sdt>
    <w:sdt>
      <w:sdtPr>
        <w:alias w:val="pastraipa"/>
        <w:tag w:val="part_32b2499f3aed44ec87eda10fc289c1fe"/>
        <w:lock w:val="sdtLocked"/>
        <w:richText/>
      </w:sdtPr>
      <w:sdtContent>
        <w:p>
          <w:pPr>
            <w:widowControl w:val="0"/>
            <w:tabs>
              <w:tab w:val="left" w:pos="9637"/>
            </w:tabs>
            <w:suppressAutoHyphens/>
            <w:spacing w:line="276" w:lineRule="auto"/>
            <w:ind w:firstLine="851"/>
            <w:jc w:val="both"/>
            <w:rPr>
              <w:rFonts w:eastAsia="Andale Sans UI" w:cs="Tahoma"/>
              <w:szCs w:val="24"/>
              <w:lang w:bidi="en-US"/>
            </w:rPr>
          </w:pPr>
          <w:r>
            <w:rPr>
              <w:rFonts w:eastAsia="Andale Sans UI" w:cs="Tahoma"/>
              <w:color w:val="000000"/>
              <w:szCs w:val="24"/>
              <w:lang w:bidi="en-US"/>
            </w:rPr>
            <w:t xml:space="preserve">Projekto </w:t>
          </w:r>
          <w:r>
            <w:rPr>
              <w:rFonts w:eastAsia="Andale Sans UI" w:cs="Tahoma"/>
              <w:szCs w:val="24"/>
              <w:lang w:bidi="en-US"/>
            </w:rPr>
            <w:t>nuostatoms įgyvendinti nereikės priimti naujų, pakeisti ar pripažinti netekusiais galios galiojančių teisės aktų.</w:t>
          </w:r>
        </w:p>
      </w:sdtContent>
    </w:sdt>
    <w:sdt>
      <w:sdtPr>
        <w:alias w:val="pastraipa"/>
        <w:tag w:val="part_6f4cf30ebf1c420f9cfba0de8055f228"/>
        <w:lock w:val="sdtLocked"/>
        <w:richText/>
      </w:sdtPr>
      <w:sdtContent>
        <w:p>
          <w:pPr>
            <w:widowControl w:val="0"/>
            <w:tabs>
              <w:tab w:val="left" w:pos="9637"/>
            </w:tabs>
            <w:suppressAutoHyphens/>
            <w:spacing w:line="276" w:lineRule="auto"/>
            <w:ind w:firstLine="851"/>
            <w:jc w:val="both"/>
            <w:rPr>
              <w:rFonts w:eastAsia="Andale Sans UI" w:cs="Tahoma"/>
              <w:color w:val="000000"/>
              <w:szCs w:val="24"/>
              <w:lang w:bidi="en-US"/>
            </w:rPr>
          </w:pPr>
          <w:r>
            <w:rPr>
              <w:rFonts w:eastAsia="Andale Sans UI" w:cs="Tahoma"/>
              <w:color w:val="000000"/>
              <w:szCs w:val="24"/>
              <w:lang w:bidi="en-US"/>
            </w:rPr>
            <w:t>Projekte nenustatomos sąvokos.</w:t>
          </w:r>
        </w:p>
      </w:sdtContent>
    </w:sdt>
    <w:sdt>
      <w:sdtPr>
        <w:alias w:val="pastraipa"/>
        <w:tag w:val="part_e0d8fbfd35f04780bdbf687671c1d55e"/>
        <w:lock w:val="sdtLocked"/>
        <w:richText/>
      </w:sdtPr>
      <w:sdtContent>
        <w:p>
          <w:pPr>
            <w:widowControl w:val="0"/>
            <w:suppressAutoHyphens/>
            <w:spacing w:line="276" w:lineRule="auto"/>
            <w:ind w:firstLine="851"/>
            <w:jc w:val="both"/>
            <w:rPr>
              <w:rFonts w:eastAsia="Andale Sans UI" w:cs="Tahoma"/>
              <w:szCs w:val="24"/>
              <w:lang w:bidi="en-US"/>
            </w:rPr>
          </w:pPr>
          <w:r>
            <w:rPr>
              <w:rFonts w:eastAsia="Andale Sans UI" w:cs="Tahoma"/>
              <w:szCs w:val="24"/>
              <w:lang w:bidi="en-US"/>
            </w:rPr>
            <w:t>Projektas parengtas laikantis Lietuvos Respublikos valstybinės kalbos įstatymo, Lietuvos Respublikos teisėkūros pagrindų įstatymo reikalavimų ir atitinka bendrinės lietuvių kalbos normas.</w:t>
          </w:r>
        </w:p>
      </w:sdtContent>
    </w:sdt>
    <w:sdt>
      <w:sdtPr>
        <w:alias w:val="pastraipa"/>
        <w:tag w:val="part_fdd071da5c6a4e7885ad2ea641b5db08"/>
        <w:lock w:val="sdtLocked"/>
        <w:richText/>
      </w:sdtPr>
      <w:sdtContent>
        <w:p>
          <w:pPr>
            <w:widowControl w:val="0"/>
            <w:suppressAutoHyphens/>
            <w:spacing w:line="276" w:lineRule="auto"/>
            <w:ind w:firstLine="851"/>
            <w:jc w:val="both"/>
            <w:rPr>
              <w:rFonts w:eastAsia="Andale Sans UI" w:cs="Tahoma"/>
              <w:szCs w:val="24"/>
              <w:lang w:bidi="en-US"/>
            </w:rPr>
          </w:pPr>
          <w:r>
            <w:rPr>
              <w:rFonts w:eastAsia="Andale Sans UI" w:cs="Tahoma"/>
              <w:szCs w:val="24"/>
              <w:lang w:bidi="en-US"/>
            </w:rPr>
            <w:t>Priėmus Įsakymo projektą, neigiamų pasekmių nenumatoma.</w:t>
          </w:r>
        </w:p>
      </w:sdtContent>
    </w:sdt>
    <w:sdt>
      <w:sdtPr>
        <w:alias w:val="pastraipa"/>
        <w:tag w:val="part_5c33db5f333b46ba871a015b444bf64d"/>
        <w:lock w:val="sdtLocked"/>
        <w:richText/>
      </w:sdtPr>
      <w:sdtContent>
        <w:p>
          <w:pPr>
            <w:spacing w:line="276" w:lineRule="auto"/>
            <w:ind w:firstLine="851"/>
            <w:jc w:val="both"/>
            <w:rPr>
              <w:szCs w:val="24"/>
            </w:rPr>
          </w:pPr>
          <w:r>
            <w:rPr>
              <w:szCs w:val="24"/>
            </w:rPr>
            <w:t xml:space="preserve">Projektą parengė Aplinkos ministerijos Atliekų politikos grupės (grupės vadovė – Vilma Slavinskienė, mob. 8 698 75 027, el. p. </w:t>
          </w:r>
          <w:r>
            <w:rPr>
              <w:color w:val="000080"/>
              <w:szCs w:val="24"/>
              <w:u w:val="single"/>
            </w:rPr>
            <w:t>vilma.slavinskiene@am.lt</w:t>
          </w:r>
          <w:r>
            <w:rPr>
              <w:szCs w:val="24"/>
            </w:rPr>
            <w:t xml:space="preserve">) patarėjas Mindaugas Kauzonas (mob. </w:t>
          </w:r>
          <w:r>
            <w:rPr>
              <w:color w:val="000000"/>
              <w:szCs w:val="24"/>
              <w:lang w:val="en-US"/>
            </w:rPr>
            <w:t>8 695 26 717</w:t>
          </w:r>
          <w:r>
            <w:rPr>
              <w:szCs w:val="24"/>
            </w:rPr>
            <w:t xml:space="preserve">, el. p. </w:t>
          </w:r>
          <w:r>
            <w:rPr>
              <w:color w:val="000080"/>
              <w:szCs w:val="24"/>
              <w:u w:val="single"/>
            </w:rPr>
            <w:t>mindaugas.kauzonas@am.lt</w:t>
          </w:r>
          <w:r>
            <w:rPr>
              <w:color w:val="000080"/>
              <w:szCs w:val="24"/>
              <w:u w:val="single"/>
            </w:rPr>
            <w:t>)</w:t>
          </w:r>
          <w:r>
            <w:rPr>
              <w:szCs w:val="24"/>
              <w:lang w:val="en-US"/>
            </w:rPr>
            <w:t xml:space="preserve"> </w:t>
          </w:r>
          <w:r>
            <w:rPr>
              <w:szCs w:val="24"/>
            </w:rPr>
            <w:t>ir Atliekų politikos grupės vyriausioji</w:t>
          </w:r>
          <w:r>
            <w:rPr>
              <w:szCs w:val="24"/>
              <w:lang w:val="en-US"/>
            </w:rPr>
            <w:t xml:space="preserve"> </w:t>
          </w:r>
          <w:r>
            <w:rPr>
              <w:szCs w:val="24"/>
            </w:rPr>
            <w:t xml:space="preserve">patarėja Jovita Surdokienė (mob. 8 696 </w:t>
          </w:r>
          <w:r>
            <w:rPr>
              <w:szCs w:val="24"/>
              <w:lang w:val="en-US"/>
            </w:rPr>
            <w:t>54 712</w:t>
          </w:r>
          <w:r>
            <w:rPr>
              <w:szCs w:val="24"/>
            </w:rPr>
            <w:t xml:space="preserve">, el. p. </w:t>
          </w:r>
          <w:r>
            <w:rPr>
              <w:color w:val="000080"/>
              <w:szCs w:val="24"/>
              <w:u w:val="single"/>
            </w:rPr>
            <w:t>jovita.surdokiene@am.lt</w:t>
          </w:r>
          <w:r>
            <w:rPr>
              <w:color w:val="000080"/>
              <w:szCs w:val="24"/>
              <w:u w:val="single"/>
            </w:rPr>
            <w:t>)</w:t>
          </w:r>
          <w:r>
            <w:rPr>
              <w:szCs w:val="24"/>
            </w:rPr>
            <w:t>.</w:t>
          </w:r>
        </w:p>
      </w:sdtContent>
    </w:sdt>
    <w:sdt>
      <w:sdtPr>
        <w:alias w:val="pastraipa"/>
        <w:tag w:val="part_de2de88a64314850a2e5c097af76383b"/>
        <w:lock w:val="sdtLocked"/>
        <w:richText/>
      </w:sdtPr>
      <w:sdtContent>
        <w:p>
          <w:pPr>
            <w:spacing w:line="276" w:lineRule="auto"/>
            <w:ind w:firstLine="851"/>
            <w:jc w:val="both"/>
            <w:rPr>
              <w:szCs w:val="24"/>
            </w:rPr>
          </w:pPr>
          <w:r>
            <w:rPr>
              <w:szCs w:val="24"/>
            </w:rPr>
            <w:t>Prašome per 10 darbo dienų po projekto paskelbimo Lietuvos Respublikos Seimo kanceliarijos teisės aktų informacinėje sistemoje (TAIS) pagal kompetenciją pateikti pastabas ir pasiūlymus dėl projekto. Negavus argumentuotų pastabų ir pasiūlymų iki nurodyto laiko, bus laikoma, kad projektui pritarta.</w:t>
          </w:r>
        </w:p>
      </w:sdtContent>
    </w:sdt>
    <w:sdt>
      <w:sdtPr>
        <w:alias w:val="pastraipa"/>
        <w:tag w:val="part_e513d900fc25431384a412c5ae4accd5"/>
        <w:lock w:val="sdtLocked"/>
        <w:richText/>
      </w:sdtPr>
      <w:sdtContent>
        <w:p>
          <w:pPr>
            <w:widowControl w:val="0"/>
            <w:suppressAutoHyphens/>
            <w:spacing w:line="276" w:lineRule="auto"/>
            <w:ind w:firstLine="851"/>
            <w:jc w:val="both"/>
            <w:rPr>
              <w:rFonts w:eastAsia="Andale Sans UI" w:cs="Tahoma"/>
              <w:szCs w:val="24"/>
              <w:lang w:bidi="en-US"/>
            </w:rPr>
          </w:pPr>
          <w:r>
            <w:rPr>
              <w:rFonts w:eastAsia="Andale Sans UI" w:cs="Tahoma"/>
              <w:szCs w:val="24"/>
              <w:lang w:bidi="en-US"/>
            </w:rPr>
            <w:t xml:space="preserve">PRIDEDAMA: </w:t>
          </w:r>
        </w:p>
        <w:sdt>
          <w:sdtPr>
            <w:alias w:val="1 p."/>
            <w:tag w:val="part_e4b61dbf73ce48f9a81476d7bed544cc"/>
            <w:lock w:val="sdtLocked"/>
            <w:richText/>
          </w:sdtPr>
          <w:sdtContent>
            <w:p>
              <w:pPr>
                <w:widowControl w:val="0"/>
                <w:suppressAutoHyphens/>
                <w:spacing w:line="276" w:lineRule="auto"/>
                <w:ind w:firstLine="709"/>
                <w:jc w:val="both"/>
                <w:rPr>
                  <w:rFonts w:eastAsia="Andale Sans UI" w:cs="Tahoma"/>
                  <w:szCs w:val="24"/>
                  <w:lang w:bidi="en-US"/>
                </w:rPr>
              </w:pPr>
              <w:sdt>
                <w:sdtPr>
                  <w:alias w:val="Numeris"/>
                  <w:tag w:val="nr_e4b61dbf73ce48f9a81476d7bed544cc"/>
                  <w:lock w:val="sdtLocked"/>
                  <w:richText/>
                </w:sdtPr>
                <w:sdtContent>
                  <w:r>
                    <w:rPr>
                      <w:lang w:eastAsia="lt-LT"/>
                    </w:rPr>
                    <w:t>1</w:t>
                  </w:r>
                </w:sdtContent>
              </w:sdt>
              <w:r>
                <w:rPr>
                  <w:lang w:eastAsia="lt-LT"/>
                </w:rPr>
                <w:t>.</w:t>
                <w:tab/>
              </w:r>
              <w:r>
                <w:rPr>
                  <w:rFonts w:eastAsia="Andale Sans UI" w:cs="Tahoma"/>
                  <w:szCs w:val="24"/>
                  <w:lang w:bidi="en-US"/>
                </w:rPr>
                <w:t xml:space="preserve">Projektas, </w:t>
              </w:r>
              <w:r>
                <w:rPr>
                  <w:rFonts w:eastAsia="Andale Sans UI" w:cs="Tahoma"/>
                  <w:szCs w:val="24"/>
                  <w:lang w:val="en-US" w:bidi="en-US"/>
                </w:rPr>
                <w:t>4</w:t>
              </w:r>
              <w:r>
                <w:rPr>
                  <w:rFonts w:eastAsia="Andale Sans UI" w:cs="Tahoma"/>
                  <w:szCs w:val="24"/>
                  <w:lang w:bidi="en-US"/>
                </w:rPr>
                <w:t xml:space="preserve"> lapai.</w:t>
              </w:r>
            </w:p>
          </w:sdtContent>
        </w:sdt>
        <w:sdt>
          <w:sdtPr>
            <w:alias w:val="2 p."/>
            <w:tag w:val="part_c82a26ebe20344c793114ece5db4ece0"/>
            <w:lock w:val="sdtLocked"/>
            <w:richText/>
          </w:sdtPr>
          <w:sdtContent>
            <w:p>
              <w:pPr>
                <w:widowControl w:val="0"/>
                <w:suppressAutoHyphens/>
                <w:spacing w:line="276" w:lineRule="auto"/>
                <w:ind w:firstLine="709"/>
                <w:jc w:val="both"/>
                <w:rPr>
                  <w:rFonts w:eastAsia="Andale Sans UI" w:cs="Tahoma"/>
                  <w:szCs w:val="24"/>
                  <w:lang w:bidi="en-US"/>
                </w:rPr>
              </w:pPr>
              <w:sdt>
                <w:sdtPr>
                  <w:alias w:val="Numeris"/>
                  <w:tag w:val="nr_c82a26ebe20344c793114ece5db4ece0"/>
                  <w:lock w:val="sdtLocked"/>
                  <w:richText/>
                </w:sdtPr>
                <w:sdtContent>
                  <w:r>
                    <w:rPr>
                      <w:lang w:eastAsia="lt-LT"/>
                    </w:rPr>
                    <w:t>2</w:t>
                  </w:r>
                </w:sdtContent>
              </w:sdt>
              <w:r>
                <w:rPr>
                  <w:lang w:eastAsia="lt-LT"/>
                </w:rPr>
                <w:t>.</w:t>
                <w:tab/>
              </w:r>
              <w:r>
                <w:rPr>
                  <w:rFonts w:eastAsia="Andale Sans UI" w:cs="Tahoma"/>
                  <w:szCs w:val="24"/>
                  <w:lang w:bidi="en-US"/>
                </w:rPr>
                <w:t>Projekto lyginamasis variantas, 4 lapai.</w:t>
              </w:r>
            </w:p>
          </w:sdtContent>
        </w:sdt>
        <w:sdt>
          <w:sdtPr>
            <w:alias w:val="3 p."/>
            <w:tag w:val="part_b1b33a59bf1c4d04b0069a5f6cd35394"/>
            <w:lock w:val="sdtLocked"/>
            <w:richText/>
          </w:sdtPr>
          <w:sdtContent>
            <w:p>
              <w:pPr>
                <w:spacing w:line="276" w:lineRule="auto"/>
                <w:ind w:firstLine="709"/>
                <w:jc w:val="both"/>
                <w:rPr>
                  <w:szCs w:val="24"/>
                </w:rPr>
              </w:pPr>
              <w:sdt>
                <w:sdtPr>
                  <w:alias w:val="Numeris"/>
                  <w:tag w:val="nr_b1b33a59bf1c4d04b0069a5f6cd35394"/>
                  <w:lock w:val="sdtLocked"/>
                  <w:richText/>
                </w:sdtPr>
                <w:sdtContent>
                  <w:r>
                    <w:rPr>
                      <w:szCs w:val="24"/>
                    </w:rPr>
                    <w:t>3</w:t>
                  </w:r>
                </w:sdtContent>
              </w:sdt>
              <w:r>
                <w:rPr>
                  <w:szCs w:val="24"/>
                </w:rPr>
                <w:t>.</w:t>
                <w:tab/>
              </w:r>
              <w:r>
                <w:rPr>
                  <w:szCs w:val="24"/>
                </w:rPr>
                <w:t xml:space="preserve">Europos parlamento ir Tarybos direktyvos </w:t>
              </w:r>
              <w:fldSimple w:instr="HYPERLINK http://eur-lex.europa.eu/legal-content/LIT/TXT/?uri=CELEX:32008L0098&amp;locale=lt \t _blank">
                <w:r>
                  <w:rPr>
                    <w:szCs w:val="24"/>
                    <w:u w:val="single"/>
                    <w:color w:val="0000FF" w:themeColor="hyperlink"/>
                  </w:rPr>
                  <w:t>2008/98/EB</w:t>
                </w:r>
              </w:fldSimple>
              <w:r>
                <w:rPr>
                  <w:szCs w:val="24"/>
                </w:rPr>
                <w:t>, Komisijos įgyvendinimo sprendimo (ES) 2019/1004 ir Lietuvos Respublikos aplinkos ministro 2009 m. gegužės 27 d. įsakymo Nr. D1-291 „Dėl Gamintojų ir importuotojų registravimo taisyklių patvirtinimo“ pakeitimo atitikties lentelė, 2 lapai.</w:t>
              </w:r>
            </w:p>
          </w:sdtContent>
        </w:sdt>
        <w:sdt>
          <w:sdtPr>
            <w:alias w:val="4 p."/>
            <w:tag w:val="part_243ba3154584429ea4506cd3d9bab260"/>
            <w:lock w:val="sdtLocked"/>
            <w:richText/>
          </w:sdtPr>
          <w:sdtContent>
            <w:p>
              <w:pPr>
                <w:spacing w:line="276" w:lineRule="auto"/>
                <w:ind w:firstLine="709"/>
                <w:jc w:val="both"/>
                <w:rPr>
                  <w:szCs w:val="24"/>
                </w:rPr>
              </w:pPr>
              <w:sdt>
                <w:sdtPr>
                  <w:alias w:val="Numeris"/>
                  <w:tag w:val="nr_243ba3154584429ea4506cd3d9bab260"/>
                  <w:lock w:val="sdtLocked"/>
                  <w:richText/>
                </w:sdtPr>
                <w:sdtContent>
                  <w:r>
                    <w:rPr>
                      <w:szCs w:val="24"/>
                    </w:rPr>
                    <w:t>4</w:t>
                  </w:r>
                </w:sdtContent>
              </w:sdt>
              <w:r>
                <w:rPr>
                  <w:szCs w:val="24"/>
                </w:rPr>
                <w:t>.</w:t>
                <w:tab/>
              </w:r>
              <w:r>
                <w:rPr>
                  <w:color w:val="000000"/>
                  <w:szCs w:val="24"/>
                </w:rPr>
                <w:t xml:space="preserve">Antikorupcinio vertinimo </w:t>
              </w:r>
              <w:r>
                <w:rPr>
                  <w:color w:val="000000"/>
                  <w:spacing w:val="-2"/>
                  <w:szCs w:val="24"/>
                </w:rPr>
                <w:t xml:space="preserve">pažyma, </w:t>
              </w:r>
              <w:r>
                <w:rPr>
                  <w:szCs w:val="24"/>
                </w:rPr>
                <w:t>6 lapai.</w:t>
              </w:r>
            </w:p>
            <w:p>
              <w:pPr>
                <w:spacing w:line="276" w:lineRule="auto"/>
                <w:ind w:firstLine="851"/>
                <w:jc w:val="both"/>
                <w:rPr>
                  <w:szCs w:val="24"/>
                </w:rPr>
              </w:pPr>
            </w:p>
            <w:tbl>
              <w:tblPr>
                <w:tblW w:w="0" w:type="auto"/>
                <w:tblInd w:w="8" w:type="dxa"/>
                <w:tblLayout w:type="fixed"/>
                <w:tblCellMar>
                  <w:left w:w="0" w:type="dxa"/>
                  <w:right w:w="0" w:type="dxa"/>
                </w:tblCellMar>
                <w:tblLook w:val="0000" w:firstRow="0" w:lastRow="0" w:firstColumn="0" w:lastColumn="0" w:noHBand="0" w:noVBand="0"/>
              </w:tblPr>
              <w:tblGrid>
                <w:gridCol w:w="4817"/>
              </w:tblGrid>
              <w:tr>
                <w:trPr>
                  <w:trHeight w:val="297"/>
                </w:trPr>
                <w:tc>
                  <w:tcPr>
                    <w:tcW w:w="4817" w:type="dxa"/>
                    <w:vAlign w:val="bottom"/>
                  </w:tcPr>
                  <w:p>
                    <w:pPr>
                      <w:widowControl w:val="0"/>
                      <w:suppressAutoHyphens/>
                      <w:spacing w:line="360" w:lineRule="auto"/>
                      <w:jc w:val="both"/>
                      <w:rPr>
                        <w:rFonts w:eastAsia="Andale Sans UI" w:cs="Tahoma"/>
                        <w:szCs w:val="24"/>
                        <w:lang w:bidi="en-US"/>
                      </w:rPr>
                    </w:pPr>
                  </w:p>
                  <w:p>
                    <w:pPr>
                      <w:widowControl w:val="0"/>
                      <w:suppressAutoHyphens/>
                      <w:spacing w:line="360" w:lineRule="auto"/>
                      <w:jc w:val="both"/>
                      <w:rPr>
                        <w:rFonts w:eastAsia="Andale Sans UI" w:cs="Tahoma"/>
                        <w:szCs w:val="24"/>
                        <w:lang w:bidi="en-US"/>
                      </w:rPr>
                    </w:pPr>
                    <w:r>
                      <w:rPr>
                        <w:rFonts w:eastAsia="Andale Sans UI" w:cs="Tahoma"/>
                        <w:szCs w:val="24"/>
                        <w:lang w:bidi="en-US"/>
                      </w:rPr>
                      <w:t>Aplinkos viceministras</w:t>
                    </w:r>
                  </w:p>
                </w:tc>
              </w:tr>
            </w:tbl>
            <w:p>
              <w:pPr>
                <w:widowControl w:val="0"/>
                <w:suppressAutoHyphens/>
                <w:spacing w:line="276" w:lineRule="auto"/>
                <w:jc w:val="both"/>
                <w:rPr>
                  <w:rFonts w:eastAsia="Andale Sans UI" w:cs="Tahoma"/>
                  <w:szCs w:val="24"/>
                  <w:lang w:bidi="en-US"/>
                </w:rPr>
              </w:pPr>
            </w:p>
            <w:p>
              <w:pPr>
                <w:widowControl w:val="0"/>
                <w:suppressAutoHyphens/>
                <w:spacing w:line="276" w:lineRule="auto"/>
                <w:jc w:val="both"/>
                <w:rPr>
                  <w:rFonts w:eastAsia="Andale Sans UI" w:cs="Tahoma"/>
                  <w:szCs w:val="24"/>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sz w:val="22"/>
                  <w:szCs w:val="22"/>
                  <w:lang w:bidi="en-US"/>
                </w:rPr>
              </w:pPr>
            </w:p>
            <w:p>
              <w:pPr>
                <w:rPr>
                  <w:rFonts w:eastAsia="Andale Sans UI" w:cs="Tahoma"/>
                  <w:b/>
                  <w:szCs w:val="24"/>
                  <w:lang w:bidi="en-US"/>
                </w:rPr>
              </w:pPr>
              <w:r>
                <w:rPr>
                  <w:rFonts w:eastAsia="Andale Sans UI" w:cs="Tahoma"/>
                  <w:szCs w:val="24"/>
                  <w:lang w:bidi="en-US"/>
                </w:rPr>
                <w:t>Mindaugas Kauzonas, tel. 8 695 26717, el. p. mindaugas.kauzonas@am.lt</w:t>
              </w:r>
              <w:r>
                <w:rPr>
                  <w:rFonts w:eastAsia="Andale Sans UI" w:cs="Tahoma"/>
                  <w:b/>
                  <w:szCs w:val="24"/>
                  <w:lang w:bidi="en-US"/>
                </w:rPr>
                <w:t xml:space="preserve"> </w:t>
                <w:br w:type="page"/>
              </w:r>
            </w:p>
            <w:p>
              <w:pPr>
                <w:widowControl w:val="0"/>
                <w:suppressAutoHyphens/>
                <w:jc w:val="center"/>
                <w:rPr>
                  <w:rFonts w:eastAsia="Andale Sans UI" w:cs="Tahoma"/>
                  <w:szCs w:val="24"/>
                  <w:lang w:bidi="en-US"/>
                </w:rPr>
              </w:pPr>
              <w:r>
                <w:rPr>
                  <w:rFonts w:eastAsia="Andale Sans UI" w:cs="Tahoma"/>
                  <w:szCs w:val="24"/>
                  <w:lang w:bidi="en-US"/>
                </w:rPr>
                <w:t>ADRESATŲ SĄRAŠAS</w:t>
              </w:r>
            </w:p>
            <w:p>
              <w:pPr>
                <w:widowControl w:val="0"/>
                <w:suppressAutoHyphens/>
                <w:jc w:val="both"/>
                <w:rPr>
                  <w:rFonts w:eastAsia="Andale Sans UI"/>
                  <w:szCs w:val="24"/>
                  <w:lang w:bidi="en-US"/>
                </w:rPr>
              </w:pPr>
            </w:p>
          </w:sdtContent>
        </w:sdt>
        <w:sdt>
          <w:sdtPr>
            <w:alias w:val="1 p."/>
            <w:tag w:val="part_ef82dfd3a5414325985da4634bbc4b54"/>
            <w:lock w:val="sdtLocked"/>
            <w:richText/>
          </w:sdtPr>
          <w:sdtContent>
            <w:p>
              <w:pPr>
                <w:widowControl w:val="0"/>
                <w:suppressAutoHyphens/>
                <w:spacing w:line="276" w:lineRule="auto"/>
                <w:jc w:val="both"/>
                <w:rPr>
                  <w:rFonts w:eastAsia="Andale Sans UI" w:cs="Tahoma"/>
                  <w:szCs w:val="24"/>
                  <w:lang w:bidi="en-US"/>
                </w:rPr>
              </w:pPr>
              <w:sdt>
                <w:sdtPr>
                  <w:alias w:val="Numeris"/>
                  <w:tag w:val="nr_ef82dfd3a5414325985da4634bbc4b54"/>
                  <w:lock w:val="sdtLocked"/>
                  <w:richText/>
                </w:sdtPr>
                <w:sdtContent>
                  <w:r>
                    <w:rPr>
                      <w:rFonts w:eastAsia="Andale Sans UI" w:cs="Tahoma"/>
                      <w:szCs w:val="24"/>
                      <w:lang w:bidi="en-US"/>
                    </w:rPr>
                    <w:t>1</w:t>
                  </w:r>
                </w:sdtContent>
              </w:sdt>
              <w:r>
                <w:rPr>
                  <w:rFonts w:eastAsia="Andale Sans UI" w:cs="Tahoma"/>
                  <w:szCs w:val="24"/>
                  <w:lang w:bidi="en-US"/>
                </w:rPr>
                <w:t>.</w:t>
                <w:tab/>
                <w:t>Aplinkos apsaugos agentūrai</w:t>
              </w:r>
            </w:p>
          </w:sdtContent>
        </w:sdt>
        <w:sdt>
          <w:sdtPr>
            <w:alias w:val="2 p."/>
            <w:tag w:val="part_91c21326e5f6463fb2335128f60e34a8"/>
            <w:lock w:val="sdtLocked"/>
            <w:richText/>
          </w:sdtPr>
          <w:sdtContent>
            <w:p>
              <w:pPr>
                <w:widowControl w:val="0"/>
                <w:suppressAutoHyphens/>
                <w:spacing w:line="276" w:lineRule="auto"/>
                <w:jc w:val="both"/>
                <w:rPr>
                  <w:rFonts w:eastAsia="Andale Sans UI" w:cs="Tahoma"/>
                  <w:szCs w:val="24"/>
                  <w:lang w:bidi="en-US"/>
                </w:rPr>
              </w:pPr>
              <w:sdt>
                <w:sdtPr>
                  <w:alias w:val="Numeris"/>
                  <w:tag w:val="nr_91c21326e5f6463fb2335128f60e34a8"/>
                  <w:lock w:val="sdtLocked"/>
                  <w:richText/>
                </w:sdtPr>
                <w:sdtContent>
                  <w:r>
                    <w:rPr>
                      <w:rFonts w:eastAsia="Andale Sans UI" w:cs="Tahoma"/>
                      <w:szCs w:val="24"/>
                      <w:lang w:bidi="en-US"/>
                    </w:rPr>
                    <w:t>2</w:t>
                  </w:r>
                </w:sdtContent>
              </w:sdt>
              <w:r>
                <w:rPr>
                  <w:rFonts w:eastAsia="Andale Sans UI" w:cs="Tahoma"/>
                  <w:szCs w:val="24"/>
                  <w:lang w:bidi="en-US"/>
                </w:rPr>
                <w:t>.</w:t>
                <w:tab/>
                <w:t>Aplinkos apsaugos departamentui prie Aplinkos ministerijos</w:t>
              </w:r>
            </w:p>
          </w:sdtContent>
        </w:sdt>
        <w:sdt>
          <w:sdtPr>
            <w:alias w:val="3 p."/>
            <w:tag w:val="part_fd535da2b7d740d6a04c09ebf79630e1"/>
            <w:lock w:val="sdtLocked"/>
            <w:richText/>
          </w:sdtPr>
          <w:sdtContent>
            <w:p>
              <w:pPr>
                <w:widowControl w:val="0"/>
                <w:suppressAutoHyphens/>
                <w:spacing w:line="276" w:lineRule="auto"/>
                <w:jc w:val="both"/>
                <w:rPr>
                  <w:rFonts w:eastAsia="Andale Sans UI" w:cs="Tahoma"/>
                  <w:szCs w:val="24"/>
                  <w:lang w:bidi="en-US"/>
                </w:rPr>
              </w:pPr>
              <w:sdt>
                <w:sdtPr>
                  <w:alias w:val="Numeris"/>
                  <w:tag w:val="nr_fd535da2b7d740d6a04c09ebf79630e1"/>
                  <w:lock w:val="sdtLocked"/>
                  <w:richText/>
                </w:sdtPr>
                <w:sdtContent>
                  <w:r>
                    <w:rPr>
                      <w:rFonts w:eastAsia="Andale Sans UI" w:cs="Tahoma"/>
                      <w:szCs w:val="24"/>
                      <w:lang w:bidi="en-US"/>
                    </w:rPr>
                    <w:t>3</w:t>
                  </w:r>
                </w:sdtContent>
              </w:sdt>
              <w:r>
                <w:rPr>
                  <w:rFonts w:eastAsia="Andale Sans UI" w:cs="Tahoma"/>
                  <w:szCs w:val="24"/>
                  <w:lang w:bidi="en-US"/>
                </w:rPr>
                <w:t>.</w:t>
                <w:tab/>
                <w:t>Autogamintojų ir importuotojų asociacijai</w:t>
              </w:r>
            </w:p>
          </w:sdtContent>
        </w:sdt>
        <w:sdt>
          <w:sdtPr>
            <w:alias w:val="4 p."/>
            <w:tag w:val="part_60c98d17f36847e48f588f696c380b5b"/>
            <w:lock w:val="sdtLocked"/>
            <w:richText/>
          </w:sdtPr>
          <w:sdtContent>
            <w:p>
              <w:pPr>
                <w:widowControl w:val="0"/>
                <w:suppressAutoHyphens/>
                <w:spacing w:line="276" w:lineRule="auto"/>
                <w:jc w:val="both"/>
                <w:rPr>
                  <w:rFonts w:eastAsia="Andale Sans UI" w:cs="Tahoma"/>
                  <w:szCs w:val="24"/>
                  <w:lang w:bidi="en-US"/>
                </w:rPr>
              </w:pPr>
              <w:sdt>
                <w:sdtPr>
                  <w:alias w:val="Numeris"/>
                  <w:tag w:val="nr_60c98d17f36847e48f588f696c380b5b"/>
                  <w:lock w:val="sdtLocked"/>
                  <w:richText/>
                </w:sdtPr>
                <w:sdtContent>
                  <w:r>
                    <w:rPr>
                      <w:rFonts w:eastAsia="Andale Sans UI" w:cs="Tahoma"/>
                      <w:szCs w:val="24"/>
                      <w:lang w:bidi="en-US"/>
                    </w:rPr>
                    <w:t>4</w:t>
                  </w:r>
                </w:sdtContent>
              </w:sdt>
              <w:r>
                <w:rPr>
                  <w:rFonts w:eastAsia="Andale Sans UI" w:cs="Tahoma"/>
                  <w:szCs w:val="24"/>
                  <w:lang w:bidi="en-US"/>
                </w:rPr>
                <w:t>.</w:t>
                <w:tab/>
              </w:r>
              <w:r>
                <w:rPr>
                  <w:color w:val="000000"/>
                  <w:szCs w:val="24"/>
                  <w:shd w:val="clear" w:color="auto" w:fill="FFFFFF"/>
                  <w:lang w:bidi="en-US"/>
                </w:rPr>
                <w:t>Ekonomikos ir inovacijų ministerijai</w:t>
              </w:r>
            </w:p>
          </w:sdtContent>
        </w:sdt>
        <w:sdt>
          <w:sdtPr>
            <w:alias w:val="5 p."/>
            <w:tag w:val="part_ac3f1dc4914e4f15bc906b20bbf2fe93"/>
            <w:lock w:val="sdtLocked"/>
            <w:richText/>
          </w:sdtPr>
          <w:sdtContent>
            <w:p>
              <w:pPr>
                <w:widowControl w:val="0"/>
                <w:suppressAutoHyphens/>
                <w:spacing w:line="276" w:lineRule="auto"/>
                <w:jc w:val="both"/>
                <w:rPr>
                  <w:rFonts w:eastAsia="Andale Sans UI" w:cs="Tahoma"/>
                  <w:szCs w:val="24"/>
                  <w:lang w:bidi="en-US"/>
                </w:rPr>
              </w:pPr>
              <w:sdt>
                <w:sdtPr>
                  <w:alias w:val="Numeris"/>
                  <w:tag w:val="nr_ac3f1dc4914e4f15bc906b20bbf2fe93"/>
                  <w:lock w:val="sdtLocked"/>
                  <w:richText/>
                </w:sdtPr>
                <w:sdtContent>
                  <w:r>
                    <w:rPr>
                      <w:rFonts w:eastAsia="Andale Sans UI" w:cs="Tahoma"/>
                      <w:szCs w:val="24"/>
                      <w:lang w:bidi="en-US"/>
                    </w:rPr>
                    <w:t>5</w:t>
                  </w:r>
                </w:sdtContent>
              </w:sdt>
              <w:r>
                <w:rPr>
                  <w:rFonts w:eastAsia="Andale Sans UI" w:cs="Tahoma"/>
                  <w:szCs w:val="24"/>
                  <w:lang w:bidi="en-US"/>
                </w:rPr>
                <w:t>.</w:t>
                <w:tab/>
                <w:t>Elektronikos platintojų asociacijai</w:t>
              </w:r>
            </w:p>
          </w:sdtContent>
        </w:sdt>
        <w:sdt>
          <w:sdtPr>
            <w:alias w:val="6 p."/>
            <w:tag w:val="part_33a43904b7a143f4b8d0736a8fda53ac"/>
            <w:lock w:val="sdtLocked"/>
            <w:richText/>
          </w:sdtPr>
          <w:sdtContent>
            <w:p>
              <w:pPr>
                <w:widowControl w:val="0"/>
                <w:suppressAutoHyphens/>
                <w:spacing w:line="276" w:lineRule="auto"/>
                <w:jc w:val="both"/>
                <w:rPr>
                  <w:rFonts w:eastAsia="Andale Sans UI" w:cs="Tahoma"/>
                  <w:szCs w:val="24"/>
                  <w:lang w:bidi="en-US"/>
                </w:rPr>
              </w:pPr>
              <w:sdt>
                <w:sdtPr>
                  <w:alias w:val="Numeris"/>
                  <w:tag w:val="nr_33a43904b7a143f4b8d0736a8fda53ac"/>
                  <w:lock w:val="sdtLocked"/>
                  <w:richText/>
                </w:sdtPr>
                <w:sdtContent>
                  <w:r>
                    <w:rPr>
                      <w:rFonts w:eastAsia="Andale Sans UI" w:cs="Tahoma"/>
                      <w:szCs w:val="24"/>
                      <w:lang w:bidi="en-US"/>
                    </w:rPr>
                    <w:t>6</w:t>
                  </w:r>
                </w:sdtContent>
              </w:sdt>
              <w:r>
                <w:rPr>
                  <w:rFonts w:eastAsia="Andale Sans UI" w:cs="Tahoma"/>
                  <w:szCs w:val="24"/>
                  <w:lang w:bidi="en-US"/>
                </w:rPr>
                <w:t>.</w:t>
                <w:tab/>
                <w:t>Gamintojų ir importuotojų asociacijai</w:t>
              </w:r>
            </w:p>
          </w:sdtContent>
        </w:sdt>
        <w:sdt>
          <w:sdtPr>
            <w:alias w:val="7 p."/>
            <w:tag w:val="part_451b86dc091a41bfb294524490cb5de8"/>
            <w:lock w:val="sdtLocked"/>
            <w:richText/>
          </w:sdtPr>
          <w:sdtContent>
            <w:p>
              <w:pPr>
                <w:widowControl w:val="0"/>
                <w:suppressAutoHyphens/>
                <w:spacing w:line="276" w:lineRule="auto"/>
                <w:jc w:val="both"/>
                <w:rPr>
                  <w:rFonts w:eastAsia="Andale Sans UI" w:cs="Tahoma"/>
                  <w:szCs w:val="24"/>
                  <w:lang w:bidi="en-US"/>
                </w:rPr>
              </w:pPr>
              <w:sdt>
                <w:sdtPr>
                  <w:alias w:val="Numeris"/>
                  <w:tag w:val="nr_451b86dc091a41bfb294524490cb5de8"/>
                  <w:lock w:val="sdtLocked"/>
                  <w:richText/>
                </w:sdtPr>
                <w:sdtContent>
                  <w:r>
                    <w:rPr>
                      <w:rFonts w:eastAsia="Andale Sans UI" w:cs="Tahoma"/>
                      <w:szCs w:val="24"/>
                      <w:lang w:bidi="en-US"/>
                    </w:rPr>
                    <w:t>7</w:t>
                  </w:r>
                </w:sdtContent>
              </w:sdt>
              <w:r>
                <w:rPr>
                  <w:rFonts w:eastAsia="Andale Sans UI" w:cs="Tahoma"/>
                  <w:szCs w:val="24"/>
                  <w:lang w:bidi="en-US"/>
                </w:rPr>
                <w:t>.</w:t>
                <w:tab/>
              </w:r>
              <w:r>
                <w:rPr>
                  <w:rFonts w:eastAsia="Andale Sans UI" w:cs="Tahoma"/>
                  <w:szCs w:val="24"/>
                  <w:lang w:eastAsia="lt-LT"/>
                </w:rPr>
                <w:t>Lietuvos autoverslininkų asociacija</w:t>
              </w:r>
              <w:r>
                <w:rPr>
                  <w:rFonts w:eastAsia="Andale Sans UI" w:cs="Tahoma"/>
                  <w:szCs w:val="24"/>
                  <w:lang w:bidi="en-US"/>
                </w:rPr>
                <w:t>i</w:t>
              </w:r>
            </w:p>
          </w:sdtContent>
        </w:sdt>
        <w:sdt>
          <w:sdtPr>
            <w:alias w:val="8 p."/>
            <w:tag w:val="part_e31fdce1e89146fa9d179ce35607d872"/>
            <w:lock w:val="sdtLocked"/>
            <w:richText/>
          </w:sdtPr>
          <w:sdtContent>
            <w:p>
              <w:pPr>
                <w:widowControl w:val="0"/>
                <w:suppressAutoHyphens/>
                <w:spacing w:line="276" w:lineRule="auto"/>
                <w:jc w:val="both"/>
                <w:rPr>
                  <w:rFonts w:eastAsia="Andale Sans UI" w:cs="Tahoma"/>
                  <w:szCs w:val="24"/>
                  <w:lang w:bidi="en-US"/>
                </w:rPr>
              </w:pPr>
              <w:sdt>
                <w:sdtPr>
                  <w:alias w:val="Numeris"/>
                  <w:tag w:val="nr_e31fdce1e89146fa9d179ce35607d872"/>
                  <w:lock w:val="sdtLocked"/>
                  <w:richText/>
                </w:sdtPr>
                <w:sdtContent>
                  <w:r>
                    <w:rPr>
                      <w:rFonts w:eastAsia="Andale Sans UI" w:cs="Tahoma"/>
                      <w:szCs w:val="24"/>
                      <w:lang w:bidi="en-US"/>
                    </w:rPr>
                    <w:t>8</w:t>
                  </w:r>
                </w:sdtContent>
              </w:sdt>
              <w:r>
                <w:rPr>
                  <w:rFonts w:eastAsia="Andale Sans UI" w:cs="Tahoma"/>
                  <w:szCs w:val="24"/>
                  <w:lang w:bidi="en-US"/>
                </w:rPr>
                <w:t>.</w:t>
                <w:tab/>
                <w:t>Lietuvos pramonininkų konfederacijai</w:t>
              </w:r>
            </w:p>
          </w:sdtContent>
        </w:sdt>
        <w:sdt>
          <w:sdtPr>
            <w:alias w:val="9 p."/>
            <w:tag w:val="part_bf793ba2021a4849b2131adf6b126859"/>
            <w:lock w:val="sdtLocked"/>
            <w:richText/>
          </w:sdtPr>
          <w:sdtContent>
            <w:p>
              <w:pPr>
                <w:widowControl w:val="0"/>
                <w:suppressAutoHyphens/>
                <w:spacing w:line="276" w:lineRule="auto"/>
                <w:jc w:val="both"/>
                <w:rPr>
                  <w:rFonts w:eastAsia="Andale Sans UI" w:cs="Tahoma"/>
                  <w:szCs w:val="24"/>
                  <w:lang w:bidi="en-US"/>
                </w:rPr>
              </w:pPr>
              <w:sdt>
                <w:sdtPr>
                  <w:alias w:val="Numeris"/>
                  <w:tag w:val="nr_bf793ba2021a4849b2131adf6b126859"/>
                  <w:lock w:val="sdtLocked"/>
                  <w:richText/>
                </w:sdtPr>
                <w:sdtContent>
                  <w:r>
                    <w:rPr>
                      <w:rFonts w:eastAsia="Andale Sans UI" w:cs="Tahoma"/>
                      <w:szCs w:val="24"/>
                      <w:lang w:bidi="en-US"/>
                    </w:rPr>
                    <w:t>9</w:t>
                  </w:r>
                </w:sdtContent>
              </w:sdt>
              <w:r>
                <w:rPr>
                  <w:rFonts w:eastAsia="Andale Sans UI" w:cs="Tahoma"/>
                  <w:szCs w:val="24"/>
                  <w:lang w:bidi="en-US"/>
                </w:rPr>
                <w:t>.</w:t>
                <w:tab/>
                <w:t>Lietuvos prekybos, pramonės ir amatų rūmų asociacijai</w:t>
              </w:r>
            </w:p>
          </w:sdtContent>
        </w:sdt>
        <w:sdt>
          <w:sdtPr>
            <w:alias w:val="10 p."/>
            <w:tag w:val="part_2c5aac27a3d34e15adedfa6ade877fef"/>
            <w:lock w:val="sdtLocked"/>
            <w:richText/>
          </w:sdtPr>
          <w:sdtContent>
            <w:p>
              <w:pPr>
                <w:widowControl w:val="0"/>
                <w:suppressAutoHyphens/>
                <w:spacing w:line="276" w:lineRule="auto"/>
                <w:jc w:val="both"/>
                <w:rPr>
                  <w:rFonts w:eastAsia="Andale Sans UI" w:cs="Tahoma"/>
                  <w:szCs w:val="24"/>
                  <w:lang w:bidi="en-US"/>
                </w:rPr>
              </w:pPr>
              <w:sdt>
                <w:sdtPr>
                  <w:alias w:val="Numeris"/>
                  <w:tag w:val="nr_2c5aac27a3d34e15adedfa6ade877fef"/>
                  <w:lock w:val="sdtLocked"/>
                  <w:richText/>
                </w:sdtPr>
                <w:sdtContent>
                  <w:r>
                    <w:rPr>
                      <w:rFonts w:eastAsia="Andale Sans UI" w:cs="Tahoma"/>
                      <w:szCs w:val="24"/>
                      <w:lang w:bidi="en-US"/>
                    </w:rPr>
                    <w:t>10</w:t>
                  </w:r>
                </w:sdtContent>
              </w:sdt>
              <w:r>
                <w:rPr>
                  <w:rFonts w:eastAsia="Andale Sans UI" w:cs="Tahoma"/>
                  <w:szCs w:val="24"/>
                  <w:lang w:bidi="en-US"/>
                </w:rPr>
                <w:t>.</w:t>
                <w:tab/>
                <w:t>Lietuvos verslo konfederacijai</w:t>
              </w:r>
            </w:p>
          </w:sdtContent>
        </w:sdt>
        <w:sdt>
          <w:sdtPr>
            <w:alias w:val="11 p."/>
            <w:tag w:val="part_b92e480fa06845388d38e66990e83c5f"/>
            <w:lock w:val="sdtLocked"/>
            <w:richText/>
          </w:sdtPr>
          <w:sdtContent>
            <w:p>
              <w:pPr>
                <w:widowControl w:val="0"/>
                <w:suppressAutoHyphens/>
                <w:spacing w:line="276" w:lineRule="auto"/>
                <w:jc w:val="both"/>
                <w:rPr>
                  <w:rFonts w:eastAsia="Andale Sans UI" w:cs="Tahoma"/>
                  <w:szCs w:val="24"/>
                  <w:lang w:bidi="en-US"/>
                </w:rPr>
              </w:pPr>
              <w:sdt>
                <w:sdtPr>
                  <w:alias w:val="Numeris"/>
                  <w:tag w:val="nr_b92e480fa06845388d38e66990e83c5f"/>
                  <w:lock w:val="sdtLocked"/>
                  <w:richText/>
                </w:sdtPr>
                <w:sdtContent>
                  <w:r>
                    <w:rPr>
                      <w:rFonts w:eastAsia="Andale Sans UI" w:cs="Tahoma"/>
                      <w:szCs w:val="24"/>
                      <w:lang w:bidi="en-US"/>
                    </w:rPr>
                    <w:t>11</w:t>
                  </w:r>
                </w:sdtContent>
              </w:sdt>
              <w:r>
                <w:rPr>
                  <w:rFonts w:eastAsia="Andale Sans UI" w:cs="Tahoma"/>
                  <w:szCs w:val="24"/>
                  <w:lang w:bidi="en-US"/>
                </w:rPr>
                <w:t>.</w:t>
                <w:tab/>
                <w:t>Teisingumo ministerijai</w:t>
              </w:r>
            </w:p>
          </w:sdtContent>
        </w:sdt>
        <w:sdt>
          <w:sdtPr>
            <w:alias w:val="12 p."/>
            <w:tag w:val="part_39f745983efc4aa6a1096995a1187a7f"/>
            <w:lock w:val="sdtLocked"/>
            <w:richText/>
          </w:sdtPr>
          <w:sdtContent>
            <w:p>
              <w:pPr>
                <w:widowControl w:val="0"/>
                <w:suppressAutoHyphens/>
                <w:spacing w:line="276" w:lineRule="auto"/>
                <w:jc w:val="both"/>
                <w:rPr>
                  <w:rFonts w:eastAsia="Andale Sans UI" w:cs="Tahoma"/>
                  <w:szCs w:val="24"/>
                  <w:lang w:bidi="en-US"/>
                </w:rPr>
              </w:pPr>
              <w:sdt>
                <w:sdtPr>
                  <w:alias w:val="Numeris"/>
                  <w:tag w:val="nr_39f745983efc4aa6a1096995a1187a7f"/>
                  <w:lock w:val="sdtLocked"/>
                  <w:richText/>
                </w:sdtPr>
                <w:sdtContent>
                  <w:r>
                    <w:rPr>
                      <w:rFonts w:eastAsia="Andale Sans UI" w:cs="Tahoma"/>
                      <w:szCs w:val="24"/>
                      <w:lang w:bidi="en-US"/>
                    </w:rPr>
                    <w:t>12</w:t>
                  </w:r>
                </w:sdtContent>
              </w:sdt>
              <w:r>
                <w:rPr>
                  <w:rFonts w:eastAsia="Andale Sans UI" w:cs="Tahoma"/>
                  <w:szCs w:val="24"/>
                  <w:lang w:bidi="en-US"/>
                </w:rPr>
                <w:t>.</w:t>
                <w:tab/>
                <w:t>VšĮ „Elektronikos gamintojų ir importuotojų organizacija“</w:t>
              </w:r>
            </w:p>
          </w:sdtContent>
        </w:sdt>
        <w:sdt>
          <w:sdtPr>
            <w:alias w:val="13 p."/>
            <w:tag w:val="part_bc209c7449f84dfc98f1489227bd5e71"/>
            <w:lock w:val="sdtLocked"/>
            <w:richText/>
          </w:sdtPr>
          <w:sdtContent>
            <w:p>
              <w:pPr>
                <w:widowControl w:val="0"/>
                <w:suppressAutoHyphens/>
                <w:spacing w:line="276" w:lineRule="auto"/>
                <w:jc w:val="both"/>
                <w:rPr>
                  <w:rFonts w:eastAsia="Andale Sans UI" w:cs="Tahoma"/>
                  <w:szCs w:val="24"/>
                  <w:lang w:bidi="en-US"/>
                </w:rPr>
              </w:pPr>
              <w:sdt>
                <w:sdtPr>
                  <w:alias w:val="Numeris"/>
                  <w:tag w:val="nr_bc209c7449f84dfc98f1489227bd5e71"/>
                  <w:lock w:val="sdtLocked"/>
                  <w:richText/>
                </w:sdtPr>
                <w:sdtContent>
                  <w:r>
                    <w:rPr>
                      <w:rFonts w:eastAsia="Andale Sans UI" w:cs="Tahoma"/>
                      <w:szCs w:val="24"/>
                      <w:lang w:bidi="en-US"/>
                    </w:rPr>
                    <w:t>13</w:t>
                  </w:r>
                </w:sdtContent>
              </w:sdt>
              <w:r>
                <w:rPr>
                  <w:rFonts w:eastAsia="Andale Sans UI" w:cs="Tahoma"/>
                  <w:szCs w:val="24"/>
                  <w:lang w:bidi="en-US"/>
                </w:rPr>
                <w:t>.</w:t>
                <w:tab/>
                <w:t>VšĮ „Padangų importuotojų organizacija“</w:t>
              </w:r>
            </w:p>
          </w:sdtContent>
        </w:sdt>
        <w:sdt>
          <w:sdtPr>
            <w:alias w:val="14 p."/>
            <w:tag w:val="part_a6ecdd0cc01043e592cbecb2b43411a0"/>
            <w:lock w:val="sdtLocked"/>
            <w:richText/>
          </w:sdtPr>
          <w:sdtContent>
            <w:p>
              <w:pPr>
                <w:widowControl w:val="0"/>
                <w:suppressAutoHyphens/>
                <w:spacing w:line="276" w:lineRule="auto"/>
                <w:jc w:val="both"/>
                <w:rPr>
                  <w:rFonts w:eastAsia="Andale Sans UI" w:cs="Tahoma"/>
                  <w:szCs w:val="24"/>
                  <w:lang w:bidi="en-US"/>
                </w:rPr>
              </w:pPr>
              <w:sdt>
                <w:sdtPr>
                  <w:alias w:val="Numeris"/>
                  <w:tag w:val="nr_a6ecdd0cc01043e592cbecb2b43411a0"/>
                  <w:lock w:val="sdtLocked"/>
                  <w:richText/>
                </w:sdtPr>
                <w:sdtContent>
                  <w:r>
                    <w:rPr>
                      <w:rFonts w:eastAsia="Andale Sans UI" w:cs="Tahoma"/>
                      <w:szCs w:val="24"/>
                      <w:lang w:bidi="en-US"/>
                    </w:rPr>
                    <w:t>14</w:t>
                  </w:r>
                </w:sdtContent>
              </w:sdt>
              <w:r>
                <w:rPr>
                  <w:rFonts w:eastAsia="Andale Sans UI" w:cs="Tahoma"/>
                  <w:szCs w:val="24"/>
                  <w:lang w:bidi="en-US"/>
                </w:rPr>
                <w:t>.</w:t>
                <w:tab/>
                <w:t>VšĮ „Žaliasis taškas“</w:t>
              </w:r>
            </w:p>
          </w:sdtContent>
        </w:sdt>
        <w:sdt>
          <w:sdtPr>
            <w:alias w:val="15 p."/>
            <w:tag w:val="part_78d6e4da2f90440b827f89114b2c0fd0"/>
            <w:lock w:val="sdtLocked"/>
            <w:richText/>
          </w:sdtPr>
          <w:sdtContent>
            <w:p>
              <w:pPr>
                <w:widowControl w:val="0"/>
                <w:suppressAutoHyphens/>
                <w:spacing w:line="276" w:lineRule="auto"/>
                <w:jc w:val="both"/>
                <w:rPr>
                  <w:rFonts w:eastAsia="Andale Sans UI" w:cs="Tahoma"/>
                  <w:szCs w:val="24"/>
                  <w:lang w:bidi="en-US"/>
                </w:rPr>
              </w:pPr>
              <w:sdt>
                <w:sdtPr>
                  <w:alias w:val="Numeris"/>
                  <w:tag w:val="nr_78d6e4da2f90440b827f89114b2c0fd0"/>
                  <w:lock w:val="sdtLocked"/>
                  <w:richText/>
                </w:sdtPr>
                <w:sdtContent>
                  <w:r>
                    <w:rPr>
                      <w:rFonts w:eastAsia="Andale Sans UI" w:cs="Tahoma"/>
                      <w:szCs w:val="24"/>
                      <w:lang w:bidi="en-US"/>
                    </w:rPr>
                    <w:t>15</w:t>
                  </w:r>
                </w:sdtContent>
              </w:sdt>
              <w:r>
                <w:rPr>
                  <w:rFonts w:eastAsia="Andale Sans UI" w:cs="Tahoma"/>
                  <w:szCs w:val="24"/>
                  <w:lang w:bidi="en-US"/>
                </w:rPr>
                <w:t>.</w:t>
                <w:tab/>
                <w:t>VšĮ  „Pakuočių tvarkymo organizacija“ </w:t>
              </w:r>
            </w:p>
          </w:sdtContent>
        </w:sdt>
        <w:sdt>
          <w:sdtPr>
            <w:alias w:val="16 p."/>
            <w:tag w:val="part_a42b86f30e604b0ead6476f2ec925a12"/>
            <w:lock w:val="sdtLocked"/>
            <w:richText/>
          </w:sdtPr>
          <w:sdtContent>
            <w:p>
              <w:pPr>
                <w:widowControl w:val="0"/>
                <w:suppressAutoHyphens/>
                <w:spacing w:line="276" w:lineRule="auto"/>
                <w:jc w:val="both"/>
                <w:rPr>
                  <w:rFonts w:eastAsia="Andale Sans UI" w:cs="Tahoma"/>
                  <w:szCs w:val="24"/>
                  <w:lang w:bidi="en-US"/>
                </w:rPr>
              </w:pPr>
              <w:sdt>
                <w:sdtPr>
                  <w:alias w:val="Numeris"/>
                  <w:tag w:val="nr_a42b86f30e604b0ead6476f2ec925a12"/>
                  <w:lock w:val="sdtLocked"/>
                  <w:richText/>
                </w:sdtPr>
                <w:sdtContent>
                  <w:r>
                    <w:rPr>
                      <w:rFonts w:eastAsia="Andale Sans UI" w:cs="Tahoma"/>
                      <w:szCs w:val="24"/>
                      <w:lang w:bidi="en-US"/>
                    </w:rPr>
                    <w:t>16</w:t>
                  </w:r>
                </w:sdtContent>
              </w:sdt>
              <w:r>
                <w:rPr>
                  <w:rFonts w:eastAsia="Andale Sans UI" w:cs="Tahoma"/>
                  <w:szCs w:val="24"/>
                  <w:lang w:bidi="en-US"/>
                </w:rPr>
                <w:t>.</w:t>
                <w:tab/>
                <w:t>VšĮ „Gamtos ateitis“</w:t>
              </w:r>
            </w:p>
          </w:sdtContent>
        </w:sdt>
        <w:sdt>
          <w:sdtPr>
            <w:alias w:val="17 p."/>
            <w:tag w:val="part_1213ae7420c7458f97110b248195da6e"/>
            <w:lock w:val="sdtLocked"/>
            <w:richText/>
          </w:sdtPr>
          <w:sdtContent>
            <w:p>
              <w:pPr>
                <w:widowControl w:val="0"/>
                <w:suppressAutoHyphens/>
                <w:spacing w:line="276" w:lineRule="auto"/>
                <w:jc w:val="both"/>
                <w:rPr>
                  <w:rFonts w:eastAsia="Andale Sans UI" w:cs="Tahoma"/>
                  <w:szCs w:val="24"/>
                  <w:lang w:bidi="en-US"/>
                </w:rPr>
              </w:pPr>
              <w:sdt>
                <w:sdtPr>
                  <w:alias w:val="Numeris"/>
                  <w:tag w:val="nr_1213ae7420c7458f97110b248195da6e"/>
                  <w:lock w:val="sdtLocked"/>
                  <w:richText/>
                </w:sdtPr>
                <w:sdtContent>
                  <w:r>
                    <w:rPr>
                      <w:rFonts w:eastAsia="Andale Sans UI" w:cs="Tahoma"/>
                      <w:szCs w:val="24"/>
                      <w:lang w:bidi="en-US"/>
                    </w:rPr>
                    <w:t>17</w:t>
                  </w:r>
                </w:sdtContent>
              </w:sdt>
              <w:r>
                <w:rPr>
                  <w:rFonts w:eastAsia="Andale Sans UI" w:cs="Tahoma"/>
                  <w:szCs w:val="24"/>
                  <w:lang w:bidi="en-US"/>
                </w:rPr>
                <w:t>.</w:t>
                <w:tab/>
                <w:t>VšĮ „PATS LT“</w:t>
              </w:r>
            </w:p>
            <w:p>
              <w:pPr>
                <w:widowControl w:val="0"/>
                <w:suppressAutoHyphens/>
                <w:jc w:val="both"/>
                <w:rPr>
                  <w:rFonts w:eastAsia="Andale Sans UI" w:cs="Tahoma"/>
                  <w:szCs w:val="24"/>
                  <w:lang w:bidi="en-US"/>
                </w:rPr>
              </w:pPr>
            </w:p>
          </w:sdtContent>
        </w:sdt>
      </w:sdtContent>
    </w:sdt>
    <w:sectPr>
      <w:headerReference w:type="even" r:id="rId15"/>
      <w:headerReference w:type="default" r:id="rId16"/>
      <w:footerReference w:type="even" r:id="rId17"/>
      <w:footerReference w:type="default" r:id="rId18"/>
      <w:headerReference w:type="first" r:id="rId19"/>
      <w:footerReference w:type="first" r:id="rId20"/>
      <w:footnotePr>
        <w:pos w:val="beneathText"/>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98657"/>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03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9865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8433306">
      <w:bodyDiv w:val="1"/>
      <w:marLeft w:val="0"/>
      <w:marRight w:val="0"/>
      <w:marTop w:val="0"/>
      <w:marBottom w:val="0"/>
      <w:divBdr>
        <w:top w:val="none" w:sz="0" w:space="0" w:color="auto"/>
        <w:left w:val="none" w:sz="0" w:space="0" w:color="auto"/>
        <w:bottom w:val="none" w:sz="0" w:space="0" w:color="auto"/>
        <w:right w:val="none" w:sz="0" w:space="0" w:color="auto"/>
      </w:divBdr>
    </w:div>
    <w:div w:id="818038012">
      <w:bodyDiv w:val="1"/>
      <w:marLeft w:val="0"/>
      <w:marRight w:val="0"/>
      <w:marTop w:val="0"/>
      <w:marBottom w:val="0"/>
      <w:divBdr>
        <w:top w:val="none" w:sz="0" w:space="0" w:color="auto"/>
        <w:left w:val="none" w:sz="0" w:space="0" w:color="auto"/>
        <w:bottom w:val="none" w:sz="0" w:space="0" w:color="auto"/>
        <w:right w:val="none" w:sz="0" w:space="0" w:color="auto"/>
      </w:divBdr>
    </w:div>
    <w:div w:id="1432358964">
      <w:bodyDiv w:val="1"/>
      <w:marLeft w:val="0"/>
      <w:marRight w:val="0"/>
      <w:marTop w:val="0"/>
      <w:marBottom w:val="0"/>
      <w:divBdr>
        <w:top w:val="none" w:sz="0" w:space="0" w:color="auto"/>
        <w:left w:val="none" w:sz="0" w:space="0" w:color="auto"/>
        <w:bottom w:val="none" w:sz="0" w:space="0" w:color="auto"/>
        <w:right w:val="none" w:sz="0" w:space="0" w:color="auto"/>
      </w:divBdr>
    </w:div>
    <w:div w:id="209447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Aistė Rakauskienė</DisplayName>
        <AccountId>317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cb2efd6709ed4b1dad5d98b053223f89" PartId="7c7569143d884c79ad5f828813db4748"/>
  <Part Type="pastraipa" DocPartId="af6823d660be42a791f80beedeaeccf7" PartId="69fc49410686488a9be66b19347b2796"/>
  <Part Type="pastraipa" DocPartId="8cb7670d3f1f4f4bbd126aa2f22ee944" PartId="8a22d249e9ec400781f9c540703a5dae"/>
  <Part Type="pastraipa" DocPartId="b1bea7be7fb041369b1c096916b54031" PartId="7dbe909851a149f6abd0248c056be8d2"/>
  <Part Type="pastraipa" DocPartId="40387dd93221452f8c020a703b0f0e3f" PartId="32b2499f3aed44ec87eda10fc289c1fe"/>
  <Part Type="pastraipa" DocPartId="11c2534c5adb4f638e2ed1de2c7b7520" PartId="6f4cf30ebf1c420f9cfba0de8055f228"/>
  <Part Type="pastraipa" DocPartId="7e2cd1a9f8e74e25a9f1687750228bc9" PartId="e0d8fbfd35f04780bdbf687671c1d55e"/>
  <Part Type="pastraipa" DocPartId="85cd164567aa46f7a8cdfaff76baa971" PartId="fdd071da5c6a4e7885ad2ea641b5db08"/>
  <Part Type="pastraipa" DocPartId="a33005a5fb654304ab3b0e8225e4cbe3" PartId="5c33db5f333b46ba871a015b444bf64d"/>
  <Part Type="pastraipa" DocPartId="4e440d34c10b4f46824d069f685870a9" PartId="de2de88a64314850a2e5c097af76383b"/>
  <Part Type="pastraipa" DocPartId="a102b02b68ed428898d8b01721d1ff87" PartId="e513d900fc25431384a412c5ae4accd5">
    <Part Type="punktas" Nr="1" Abbr="1 p." DocPartId="63dad0f0a8cd49bb973a8a17d5e886ed" PartId="e4b61dbf73ce48f9a81476d7bed544cc"/>
    <Part Type="punktas" Nr="2" Abbr="2 p." DocPartId="9a92826cb5bf434ca03ba39265009eb4" PartId="c82a26ebe20344c793114ece5db4ece0"/>
    <Part Type="punktas" Nr="3" Abbr="3 p." DocPartId="9f7f549ffab046d2b2f429692a9142de" PartId="b1b33a59bf1c4d04b0069a5f6cd35394"/>
    <Part Type="punktas" Nr="4" Abbr="4 p." DocPartId="87f92014bc4641319d7fa7bff92c9aa7" PartId="243ba3154584429ea4506cd3d9bab260"/>
    <Part Type="punktas" Nr="1" Abbr="1 p." Notes="Numeris ne iš eilės. Trūksta dalių? [DocDalys]" DocPartId="ca3d529469a142eebe84d47173bc28b2" PartId="ef82dfd3a5414325985da4634bbc4b54"/>
    <Part Type="punktas" Nr="2" Abbr="2 p." DocPartId="762901aeed7d4950bf4930f9ea0700c7" PartId="91c21326e5f6463fb2335128f60e34a8"/>
    <Part Type="punktas" Nr="3" Abbr="3 p." DocPartId="96ff8a7afc404c7a983317b4b82be346" PartId="fd535da2b7d740d6a04c09ebf79630e1"/>
    <Part Type="punktas" Nr="4" Abbr="4 p." DocPartId="a3b2fb3c3bfd4022b79c522f437b959c" PartId="60c98d17f36847e48f588f696c380b5b"/>
    <Part Type="punktas" Nr="5" Abbr="5 p." DocPartId="86f71368449e4f45b6c501b4132779c2" PartId="ac3f1dc4914e4f15bc906b20bbf2fe93"/>
    <Part Type="punktas" Nr="6" Abbr="6 p." DocPartId="998fc0b07e464fdda2ebca0700a8c1c8" PartId="33a43904b7a143f4b8d0736a8fda53ac"/>
    <Part Type="punktas" Nr="7" Abbr="7 p." DocPartId="4ec9463cb61648a5b14a97babf4c6aea" PartId="451b86dc091a41bfb294524490cb5de8"/>
    <Part Type="punktas" Nr="8" Abbr="8 p." DocPartId="0df9ae05a0ef434ba99ac08cd097cc1d" PartId="e31fdce1e89146fa9d179ce35607d872"/>
    <Part Type="punktas" Nr="9" Abbr="9 p." DocPartId="d1102961c00a427983adbf096bf1d177" PartId="bf793ba2021a4849b2131adf6b126859"/>
    <Part Type="punktas" Nr="10" Abbr="10 p." DocPartId="f31bc390e0a64dbb8fcb3567757b96fd" PartId="2c5aac27a3d34e15adedfa6ade877fef"/>
    <Part Type="punktas" Nr="11" Abbr="11 p." DocPartId="84f16d497b384ca8a7e830ee330c256d" PartId="b92e480fa06845388d38e66990e83c5f"/>
    <Part Type="punktas" Nr="12" Abbr="12 p." DocPartId="fe4d99b7fabe4c34a7d904acd4cc77ab" PartId="39f745983efc4aa6a1096995a1187a7f"/>
    <Part Type="punktas" Nr="13" Abbr="13 p." DocPartId="58456ee67dd143f0b8bfd08de3c572a0" PartId="bc209c7449f84dfc98f1489227bd5e71"/>
    <Part Type="punktas" Nr="14" Abbr="14 p." DocPartId="474a2e2e99684cf99163aa46e6da7b24" PartId="a6ecdd0cc01043e592cbecb2b43411a0"/>
    <Part Type="punktas" Nr="15" Abbr="15 p." DocPartId="8278223b81664219a810a53c110d1a39" PartId="78d6e4da2f90440b827f89114b2c0fd0"/>
    <Part Type="punktas" Nr="16" Abbr="16 p." DocPartId="9fb4ccfc13ac41f7b9a1d2f86b219bae" PartId="a42b86f30e604b0ead6476f2ec925a12"/>
    <Part Type="punktas" Nr="17" Abbr="17 p." DocPartId="8e4ffd8bb601471786953b532c16bb22" PartId="1213ae7420c7458f97110b248195da6e"/>
  </Part>
</Parts>
</file>

<file path=customXml/itemProps1.xml><?xml version="1.0" encoding="utf-8"?>
<ds:datastoreItem xmlns:ds="http://schemas.openxmlformats.org/officeDocument/2006/customXml" ds:itemID="{59F27DBD-ACAD-4523-81D4-A4F57EF8BD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D620AD-A0C1-4934-8469-CB332AA6684F}">
  <ds:schemaRefs>
    <ds:schemaRef ds:uri="http://schemas.microsoft.com/sharepoint/v3/contenttype/forms"/>
  </ds:schemaRefs>
</ds:datastoreItem>
</file>

<file path=customXml/itemProps3.xml><?xml version="1.0" encoding="utf-8"?>
<ds:datastoreItem xmlns:ds="http://schemas.openxmlformats.org/officeDocument/2006/customXml" ds:itemID="{00749E49-F270-4157-AC42-5BC0B928FF23}">
  <ds:schemaRefs>
    <ds:schemaRef ds:uri="f5aad5d0-9c26-490e-8743-a6c7ceabd501"/>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microsoft.com/sharepoint/v3"/>
    <ds:schemaRef ds:uri="http://purl.org/dc/terms/"/>
    <ds:schemaRef ds:uri="http://schemas.openxmlformats.org/package/2006/metadata/core-properties"/>
    <ds:schemaRef ds:uri="19cf09c5-daa1-4028-a0ff-74a0be4ec5cc"/>
    <ds:schemaRef ds:uri="http://www.w3.org/XML/1998/namespace"/>
    <ds:schemaRef ds:uri="http://purl.org/dc/dcmitype/"/>
  </ds:schemaRefs>
</ds:datastoreItem>
</file>

<file path=customXml/itemProps4.xml><?xml version="1.0" encoding="utf-8"?>
<ds:datastoreItem xmlns:ds="http://schemas.openxmlformats.org/officeDocument/2006/customXml" ds:itemID="{714CE5AC-2D80-48D3-903A-5B0D454E1B7B}">
  <ds:schemaRefs>
    <ds:schemaRef ds:uri="http://schemas.openxmlformats.org/officeDocument/2006/bibliography"/>
  </ds:schemaRefs>
</ds:datastoreItem>
</file>

<file path=customXml/itemProps5.xml><?xml version="1.0" encoding="utf-8"?>
<ds:datastoreItem xmlns:ds="http://schemas.openxmlformats.org/officeDocument/2006/customXml" ds:itemID="{3E916F6F-3983-44E1-AE0D-D56C858479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600</Words>
  <Characters>4313</Characters>
  <Application>Microsoft Office Word</Application>
  <DocSecurity>4</DocSecurity>
  <Lines>134</Lines>
  <Paragraphs>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4862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2022-04-19T06:50:00Z</dcterms:created>
  <dcterms:modified xsi:type="dcterms:W3CDTF">2022-04-19T06:50:00Z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