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795844e851e47ceb0d2b24d673b34a0"/>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pacing w:val="10"/>
                    <w:szCs w:val="24"/>
                    <w:lang w:bidi="en-US"/>
                  </w:rPr>
                </w:pPr>
                <w:r>
                  <w:rPr>
                    <w:rFonts w:eastAsia="Andale Sans UI" w:cs="Tahoma"/>
                    <w:spacing w:val="10"/>
                    <w:szCs w:val="24"/>
                    <w:lang w:bidi="en-US"/>
                  </w:rPr>
                  <w:t>Lietuvos savivaldybių asociacijai</w:t>
                </w:r>
              </w:p>
              <w:p>
                <w:pPr>
                  <w:suppressLineNumbers/>
                  <w:jc w:val="both"/>
                  <w:rPr>
                    <w:rFonts w:eastAsia="Andale Sans UI" w:cs="Tahoma"/>
                    <w:spacing w:val="10"/>
                    <w:szCs w:val="24"/>
                    <w:lang w:bidi="en-US"/>
                  </w:rPr>
                </w:pPr>
                <w:r>
                  <w:rPr>
                    <w:rFonts w:eastAsia="Andale Sans UI" w:cs="Tahoma"/>
                    <w:spacing w:val="10"/>
                    <w:szCs w:val="24"/>
                    <w:lang w:bidi="en-US"/>
                  </w:rPr>
                  <w:t>Kultūros ministerijai</w:t>
                </w:r>
              </w:p>
              <w:p>
                <w:pPr>
                  <w:suppressLineNumbers/>
                  <w:jc w:val="both"/>
                  <w:rPr>
                    <w:rFonts w:eastAsia="Andale Sans UI" w:cs="Tahoma"/>
                    <w:spacing w:val="10"/>
                    <w:szCs w:val="24"/>
                    <w:lang w:bidi="en-US"/>
                  </w:rPr>
                </w:pPr>
                <w:r>
                  <w:rPr>
                    <w:rFonts w:eastAsia="Andale Sans UI" w:cs="Tahoma"/>
                    <w:spacing w:val="10"/>
                    <w:szCs w:val="24"/>
                    <w:lang w:bidi="en-US"/>
                  </w:rPr>
                  <w:t>Susisiekimo ministerijai</w:t>
                </w:r>
              </w:p>
              <w:p>
                <w:pPr>
                  <w:suppressLineNumbers/>
                  <w:jc w:val="both"/>
                  <w:rPr>
                    <w:rFonts w:eastAsia="Andale Sans UI" w:cs="Tahoma"/>
                    <w:spacing w:val="10"/>
                    <w:szCs w:val="24"/>
                    <w:lang w:bidi="en-US"/>
                  </w:rPr>
                </w:pPr>
                <w:r>
                  <w:rPr>
                    <w:rFonts w:eastAsia="Andale Sans UI" w:cs="Tahoma"/>
                    <w:spacing w:val="10"/>
                    <w:szCs w:val="24"/>
                    <w:lang w:bidi="en-US"/>
                  </w:rPr>
                  <w:t>VĮ Klaipėdos valstybinio jūrų uosto direkcijai</w:t>
                </w:r>
              </w:p>
              <w:p>
                <w:pPr>
                  <w:suppressLineNumbers/>
                  <w:jc w:val="both"/>
                  <w:rPr>
                    <w:rFonts w:eastAsia="Andale Sans UI" w:cs="Tahoma"/>
                    <w:szCs w:val="24"/>
                    <w:lang w:bidi="en-US"/>
                  </w:rPr>
                </w:pPr>
                <w:r>
                  <w:rPr>
                    <w:rFonts w:eastAsia="Andale Sans UI" w:cs="Tahoma"/>
                    <w:spacing w:val="10"/>
                    <w:szCs w:val="24"/>
                    <w:lang w:bidi="en-US"/>
                  </w:rPr>
                  <w:t>VĮ Vidaus vandens kelių direkcijai</w:t>
                </w:r>
                <w:r>
                  <w:rPr>
                    <w:rFonts w:eastAsia="Andale Sans UI" w:cs="Tahoma"/>
                    <w:szCs w:val="24"/>
                    <w:lang w:bidi="en-US"/>
                  </w:rPr>
                  <w:t xml:space="preserve"> </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2022-</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val="en-US"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cs="Tahoma"/>
                    <w:b/>
                    <w:bCs/>
                    <w:szCs w:val="24"/>
                    <w:lang w:bidi="en-US"/>
                  </w:rPr>
                </w:pPr>
                <w:r>
                  <w:rPr>
                    <w:b/>
                    <w:bCs/>
                    <w:caps/>
                    <w:szCs w:val="24"/>
                    <w:lang w:eastAsia="lt-LT"/>
                  </w:rPr>
                  <w:t>dėl</w:t>
                </w:r>
                <w:r>
                  <w:rPr>
                    <w:rFonts w:eastAsia="Andale Sans UI" w:cs="Tahoma"/>
                    <w:b/>
                    <w:bCs/>
                    <w:caps/>
                    <w:color w:val="000000"/>
                    <w:szCs w:val="24"/>
                    <w:lang w:eastAsia="lt-LT" w:bidi="en-US"/>
                  </w:rPr>
                  <w:t xml:space="preserve"> ĮSAKYMo PROJEKTo DERINIMO</w:t>
                </w:r>
              </w:p>
            </w:tc>
          </w:tr>
        </w:tbl>
        <w:p>
          <w:pPr>
            <w:jc w:val="both"/>
            <w:rPr>
              <w:rFonts w:eastAsia="Andale Sans UI" w:cs="Tahoma"/>
              <w:szCs w:val="24"/>
              <w:lang w:bidi="en-US"/>
            </w:rPr>
          </w:pPr>
        </w:p>
        <w:p>
          <w:pPr>
            <w:jc w:val="both"/>
            <w:rPr>
              <w:rFonts w:eastAsia="Andale Sans UI" w:cs="Tahoma"/>
              <w:szCs w:val="24"/>
              <w:lang w:bidi="en-US"/>
            </w:rPr>
          </w:pPr>
        </w:p>
      </w:sdtContent>
    </w:sdt>
    <w:sdt>
      <w:sdtPr>
        <w:alias w:val="pastraipa"/>
        <w:tag w:val="part_abcd914cb3c24110b240c3caab796f05"/>
        <w:lock w:val="sdtLocked"/>
        <w:richText/>
      </w:sdtPr>
      <w:sdtContent>
        <w:p>
          <w:pPr>
            <w:ind w:firstLine="567"/>
            <w:jc w:val="both"/>
            <w:rPr>
              <w:rFonts w:eastAsia="Andale Sans UI" w:cs="Tahoma"/>
              <w:szCs w:val="24"/>
              <w:lang w:bidi="en-US"/>
            </w:rPr>
          </w:pPr>
          <w:r>
            <w:rPr>
              <w:rFonts w:eastAsia="Andale Sans UI" w:cs="Tahoma"/>
              <w:szCs w:val="24"/>
              <w:lang w:bidi="en-US"/>
            </w:rPr>
            <w:t>Aplinkos ministerija teikia pakartotinai derinti Lietuvos Respublikos aplinkos ministro įsakymo „Dėl Lietuvos Respublikos aplinkos ministro 200</w:t>
          </w:r>
          <w:r>
            <w:rPr>
              <w:rFonts w:eastAsia="Andale Sans UI" w:cs="Tahoma"/>
              <w:szCs w:val="24"/>
              <w:lang w:val="en-US" w:bidi="en-US"/>
            </w:rPr>
            <w:t>7</w:t>
          </w:r>
          <w:r>
            <w:rPr>
              <w:rFonts w:eastAsia="Andale Sans UI" w:cs="Tahoma"/>
              <w:szCs w:val="24"/>
              <w:lang w:bidi="en-US"/>
            </w:rPr>
            <w:t xml:space="preserve"> m. gruodžio 21 d. įsakymo Nr. D1-694 „Dėl Atskirųjų rekreacinės paskirties želdynų plotų normų ir priklausomųjų želdynų normų (plotų) nustatymo tvarkos aprašo patvirtinimo“ pakeitimo“ projektą (toliau – Įsakymo projektas). Įsakymo projektas buvo teiktas derinti Aplinkos ministerijos 2021 m. lapkričio 29 d. raštu Nr. (65)-D8(E)-7421 „Dėl įsakymo projekto derinimo“. </w:t>
          </w:r>
        </w:p>
      </w:sdtContent>
    </w:sdt>
    <w:sdt>
      <w:sdtPr>
        <w:alias w:val="pastraipa"/>
        <w:tag w:val="part_b852f4d449a84882b1eae29cfb4ad5f2"/>
        <w:lock w:val="sdtLocked"/>
        <w:richText/>
      </w:sdtPr>
      <w:sdtContent>
        <w:p>
          <w:pPr>
            <w:ind w:firstLine="720"/>
            <w:jc w:val="both"/>
            <w:rPr>
              <w:szCs w:val="24"/>
              <w:lang w:eastAsia="lt-LT"/>
            </w:rPr>
          </w:pPr>
          <w:r>
            <w:rPr>
              <w:szCs w:val="24"/>
              <w:lang w:eastAsia="lt-LT"/>
            </w:rPr>
            <w:t xml:space="preserve">Lietuvos Respublikos Seimo 2021 m. kovo 23 d. priimtoje Lietuvos Respublikos želdynų įstatymo naujoje redakcijoje (toliau – Įstatymas), įsigaliojusioje nuo 2021 m. lapkričio 1 d., nustatomos naujos želdynų normavimo nuostatos. Įsakymo projektu siūlomi aplinkos ministro 2007 m. </w:t>
          </w:r>
          <w:r>
            <w:rPr>
              <w:rFonts w:eastAsia="Andale Sans UI"/>
              <w:szCs w:val="24"/>
              <w:lang w:eastAsia="lt-LT"/>
            </w:rPr>
            <w:t>gruodžio 21 d. įsakymo Nr. D1-694 „Dėl Atskirųjų rekreacinės paskirties želdynų plotų normų ir priklausomųjų želdynų normų (plotų) nustatymo tvarkos aprašo patvirtinimo“ (toliau – Aprašas)</w:t>
          </w:r>
          <w:r>
            <w:rPr>
              <w:szCs w:val="24"/>
              <w:lang w:eastAsia="lt-LT"/>
            </w:rPr>
            <w:t xml:space="preserve"> pakeitimai, kuriais Aprašo nuostatos suderinamos su Įstatymo nuostatomis. Atsižvelgiant į tai, kad keičiama dauguma Aprašo nuostatų, jis dėstomas nauja redakcija. </w:t>
          </w:r>
        </w:p>
      </w:sdtContent>
    </w:sdt>
    <w:sdt>
      <w:sdtPr>
        <w:alias w:val="pastraipa"/>
        <w:tag w:val="part_0495a85435634db7b5c3d6777d1a7734"/>
        <w:lock w:val="sdtLocked"/>
        <w:richText/>
      </w:sdtPr>
      <w:sdtContent>
        <w:p>
          <w:pPr>
            <w:ind w:firstLine="720"/>
            <w:jc w:val="both"/>
            <w:rPr>
              <w:szCs w:val="24"/>
              <w:lang w:eastAsia="lt-LT"/>
            </w:rPr>
          </w:pPr>
          <w:r>
            <w:rPr>
              <w:szCs w:val="24"/>
              <w:lang w:eastAsia="lt-LT"/>
            </w:rPr>
            <w:t xml:space="preserve">Įsakymo projekte detalizuojamas priklausomųjų želdynų plotų normos nustatymas pagal  žemės sklypo naudojimo būdą, plotų normų kompensavimo atvejai, nustatoma priklausomųjų želdynų plotų norma jūrų ir vidaus vandenų uosto, komercinės prieplaukos teritorijose esančiuose žemės sklypuose.</w:t>
          </w:r>
        </w:p>
      </w:sdtContent>
    </w:sdt>
    <w:sdt>
      <w:sdtPr>
        <w:alias w:val="pastraipa"/>
        <w:tag w:val="part_e6134b06a21b4907b924ac8218441ae1"/>
        <w:lock w:val="sdtLocked"/>
        <w:richText/>
      </w:sdtPr>
      <w:sdtContent>
        <w:p>
          <w:pPr>
            <w:shd w:val="clear" w:color="auto" w:fill="FFFFFF"/>
            <w:ind w:firstLine="567"/>
            <w:jc w:val="both"/>
            <w:rPr>
              <w:rFonts w:eastAsia="Andale Sans UI" w:cs="Tahoma"/>
              <w:szCs w:val="24"/>
              <w:lang w:bidi="en-US"/>
            </w:rPr>
          </w:pPr>
          <w:r>
            <w:rPr>
              <w:rFonts w:eastAsia="Andale Sans UI" w:cs="Tahoma"/>
              <w:szCs w:val="24"/>
              <w:lang w:bidi="en-US"/>
            </w:rPr>
            <w:t>Įsakymo projektas buvo patikslintas iš dalies atsižvelgus į derinimo metu gautas pastabas.</w:t>
          </w:r>
        </w:p>
      </w:sdtContent>
    </w:sdt>
    <w:sdt>
      <w:sdtPr>
        <w:alias w:val="pastraipa"/>
        <w:tag w:val="part_f7467890fad1480ea06a168db1f14318"/>
        <w:lock w:val="sdtLocked"/>
        <w:richText/>
      </w:sdtPr>
      <w:sdtContent>
        <w:p>
          <w:pPr>
            <w:shd w:val="clear" w:color="auto" w:fill="FFFFFF"/>
            <w:ind w:firstLine="567"/>
            <w:jc w:val="both"/>
            <w:rPr>
              <w:rFonts w:eastAsia="Andale Sans UI" w:cs="Tahoma"/>
              <w:szCs w:val="24"/>
              <w:lang w:bidi="en-US"/>
            </w:rPr>
          </w:pPr>
          <w:r>
            <w:rPr>
              <w:rFonts w:eastAsia="Andale Sans UI" w:cs="Tahoma"/>
              <w:szCs w:val="24"/>
              <w:lang w:bidi="en-US"/>
            </w:rPr>
            <w:t xml:space="preserve">Patikslinta nuostata dėl atvejų, kada turi būti vadovaujamasi atskirųjų želdynų plotų normomis ir priklausomųjų želdynų plotų normomis. </w:t>
          </w:r>
        </w:p>
      </w:sdtContent>
    </w:sdt>
    <w:sdt>
      <w:sdtPr>
        <w:alias w:val="pastraipa"/>
        <w:tag w:val="part_85a23ba1d7e14140b8d609c6e1f79bb5"/>
        <w:lock w:val="sdtLocked"/>
        <w:richText/>
      </w:sdtPr>
      <w:sdtContent>
        <w:p>
          <w:pPr>
            <w:shd w:val="clear" w:color="auto" w:fill="FFFFFF"/>
            <w:ind w:firstLine="567"/>
            <w:jc w:val="both"/>
            <w:rPr>
              <w:rFonts w:eastAsia="Andale Sans UI" w:cs="Tahoma"/>
              <w:szCs w:val="24"/>
              <w:lang w:bidi="en-US"/>
            </w:rPr>
          </w:pPr>
          <w:r>
            <w:rPr>
              <w:rFonts w:eastAsia="Andale Sans UI" w:cs="Tahoma"/>
              <w:szCs w:val="24"/>
              <w:lang w:bidi="en-US"/>
            </w:rPr>
            <w:t xml:space="preserve">Atsižvelgiant į dabar galiojančiuose teisės aktuose išskiriamus urbanistinius vienetus – kvartalus, ir siekiant didesnio teisės akto aiškumo, keičiama viešųjų atskirųjų želdynų normų vertinimo tvarka. Įstatyme nebelikę atskirųjų želdynų skyrimo į vietinius, rajoninius ir centrinius, todėl Įsakymo projekte atsisakoma viešųjų atskirųjų želdynų normų skirstymo pagal šią sistemą. Siekiant užtikrinti Įstatyme įtvirtinto darnaus vystymosi principo įgyvendinimą ir skatinti tolygų viešųjų atskirųjų želdynų išdėstymą gyvenamosiose teritorijose, siūloma nustatyti  bendras  viešųjų atskirųjų želdynų normas, kurios diferencijuojamos atsižvelgiant į gyvenamosios vietovės gyventojų skaičių.</w:t>
          </w:r>
        </w:p>
      </w:sdtContent>
    </w:sdt>
    <w:sdt>
      <w:sdtPr>
        <w:alias w:val="pastraipa"/>
        <w:tag w:val="part_a219b011187d4126915a9659ff64100d"/>
        <w:lock w:val="sdtLocked"/>
        <w:richText/>
      </w:sdtPr>
      <w:sdtContent>
        <w:p>
          <w:pPr>
            <w:shd w:val="clear" w:color="auto" w:fill="FFFFFF"/>
            <w:ind w:firstLine="567"/>
            <w:jc w:val="both"/>
            <w:rPr>
              <w:rFonts w:eastAsia="Andale Sans UI" w:cs="Tahoma"/>
              <w:szCs w:val="24"/>
              <w:lang w:bidi="en-US"/>
            </w:rPr>
          </w:pPr>
          <w:r>
            <w:rPr>
              <w:rFonts w:eastAsia="Andale Sans UI" w:cs="Tahoma"/>
              <w:szCs w:val="24"/>
              <w:lang w:bidi="en-US"/>
            </w:rPr>
            <w:t xml:space="preserve">Įvertinus tai, kad gyventojai intensyviausiai lanko arčiausiai jų gyvenamosios aplinkos esančius atskiruosius želdynus, remiantis anksčiau Apraše nustatyta vietinių želdynų plotų norma, Įsakymo projektu siūloma nustatyti, kad viešųjų atskirųjų želdynų plotų norma skaičiuojama vienam gyventojui, gyvenančiam kvartale, kuris yra ne didesniu kaip </w:t>
          </w:r>
          <w:r>
            <w:rPr>
              <w:rFonts w:eastAsia="Andale Sans UI" w:cs="Tahoma"/>
              <w:szCs w:val="24"/>
              <w:lang w:val="en-US" w:bidi="en-US"/>
            </w:rPr>
            <w:t>1000</w:t>
          </w:r>
          <w:r>
            <w:rPr>
              <w:rFonts w:eastAsia="Andale Sans UI" w:cs="Tahoma"/>
              <w:szCs w:val="24"/>
              <w:lang w:bidi="en-US"/>
            </w:rPr>
            <w:t xml:space="preserve"> m atstumu nuo į normos skaičiavimą įtraukiamų viešųjų atskirųjų želdynų. </w:t>
          </w:r>
        </w:p>
        <w:p>
          <w:pPr>
            <w:shd w:val="clear" w:color="auto" w:fill="FFFFFF"/>
            <w:ind w:firstLine="567"/>
            <w:jc w:val="both"/>
            <w:rPr>
              <w:rFonts w:eastAsia="Andale Sans UI" w:cs="Tahoma"/>
              <w:szCs w:val="24"/>
              <w:lang w:bidi="en-US"/>
            </w:rPr>
          </w:pPr>
        </w:p>
      </w:sdtContent>
    </w:sdt>
    <w:sdt>
      <w:sdtPr>
        <w:alias w:val="pastraipa"/>
        <w:tag w:val="part_06e07f55bccb4ec89dc0486640d2ed02"/>
        <w:lock w:val="sdtLocked"/>
        <w:richText/>
      </w:sdtPr>
      <w:sdtContent>
        <w:p>
          <w:pPr>
            <w:shd w:val="clear" w:color="auto" w:fill="FFFFFF"/>
            <w:ind w:firstLine="567"/>
            <w:jc w:val="both"/>
            <w:rPr>
              <w:rFonts w:eastAsia="Andale Sans UI" w:cs="Tahoma"/>
              <w:szCs w:val="24"/>
              <w:lang w:bidi="en-US"/>
            </w:rPr>
          </w:pPr>
          <w:r>
            <w:rPr>
              <w:rFonts w:eastAsia="Andale Sans UI" w:cs="Tahoma"/>
              <w:szCs w:val="24"/>
              <w:lang w:bidi="en-US"/>
            </w:rPr>
            <w:t xml:space="preserve">Minimali viešųjų atskirųjų želdynų plotų norma, lyginant su Apraše nustatyta vietinių želdynų norma, yra padidinama, o viešojo atskirojo želdyno pasiekiamumo atstumas nustatomas remiantis miestų ir miestelių apželdinimo praktikoje taikytu vidutiniu rajoninių želdynų pasiekiamumo atstumu. </w:t>
          </w:r>
        </w:p>
      </w:sdtContent>
    </w:sdt>
    <w:sdt>
      <w:sdtPr>
        <w:alias w:val="pastraipa"/>
        <w:tag w:val="part_6864b3740893419cae965b784dc3ce3e"/>
        <w:lock w:val="sdtLocked"/>
        <w:richText/>
      </w:sdtPr>
      <w:sdtContent>
        <w:p>
          <w:pPr>
            <w:shd w:val="clear" w:color="auto" w:fill="FFFFFF"/>
            <w:ind w:firstLine="567"/>
            <w:jc w:val="both"/>
            <w:rPr>
              <w:rFonts w:eastAsia="Andale Sans UI" w:cs="Tahoma"/>
              <w:szCs w:val="24"/>
              <w:lang w:bidi="en-US"/>
            </w:rPr>
          </w:pPr>
          <w:r>
            <w:rPr>
              <w:rFonts w:eastAsia="Andale Sans UI" w:cs="Tahoma"/>
              <w:szCs w:val="24"/>
              <w:lang w:bidi="en-US"/>
            </w:rPr>
            <w:t xml:space="preserve">Atsižvelgiant į savivaldybių pasiūlymus, Įsakymo projekte siūloma nustatyti, kad viešųjų atskirųjų želdynų ploto norma gali būti mažinama tokia dalimi, kiek gyventojui ne didesniu kaip </w:t>
          </w:r>
          <w:r>
            <w:rPr>
              <w:rFonts w:eastAsia="Andale Sans UI" w:cs="Tahoma"/>
              <w:szCs w:val="24"/>
              <w:lang w:val="en-US" w:bidi="en-US"/>
            </w:rPr>
            <w:t>1000</w:t>
          </w:r>
          <w:r>
            <w:rPr>
              <w:rFonts w:eastAsia="Andale Sans UI" w:cs="Tahoma"/>
              <w:szCs w:val="24"/>
              <w:lang w:bidi="en-US"/>
            </w:rPr>
            <w:t xml:space="preserve"> m atstumu nuo jo gyvenamo kvartalo tenka valstybei priklausančių IIB grupės - rekreacinių miškų - ploto. Taip siekiama suderinti Želdynų įstatyme nustatytą tikslą – užtikrinti gyvenamosios aplinkos kokybę ir rekreacinius poreikius su Lietuvos Respublikos miškų įstatyme nustatytu tikslu – formuoti ir išsaugoti rekreacinę  miškų aplinką.</w:t>
          </w:r>
        </w:p>
      </w:sdtContent>
    </w:sdt>
    <w:sdt>
      <w:sdtPr>
        <w:alias w:val="pastraipa"/>
        <w:tag w:val="part_f3b9af7ad8784e269b179926cddb5bc0"/>
        <w:lock w:val="sdtLocked"/>
        <w:richText/>
      </w:sdtPr>
      <w:sdtContent>
        <w:p>
          <w:pPr>
            <w:shd w:val="clear" w:color="auto" w:fill="FFFFFF"/>
            <w:ind w:firstLine="567"/>
            <w:jc w:val="both"/>
            <w:rPr>
              <w:rFonts w:eastAsia="Andale Sans UI" w:cs="Tahoma"/>
              <w:szCs w:val="24"/>
              <w:lang w:bidi="en-US"/>
            </w:rPr>
          </w:pPr>
          <w:r>
            <w:rPr>
              <w:rFonts w:eastAsia="Andale Sans UI" w:cs="Tahoma"/>
              <w:szCs w:val="24"/>
              <w:lang w:bidi="en-US"/>
            </w:rPr>
            <w:t>Atsižvelgiant į Kultūros ministerijos pastabas, patikslintos nuostatos dėl priklausomųjų želdynų normų taikymo kultūros paveldo objekto teritorijoje ar kultūros paveldo vietovėje.</w:t>
          </w:r>
        </w:p>
      </w:sdtContent>
    </w:sdt>
    <w:sdt>
      <w:sdtPr>
        <w:alias w:val="pastraipa"/>
        <w:tag w:val="part_12c676762a6d47a7ac12cacf287e2216"/>
        <w:lock w:val="sdtLocked"/>
        <w:richText/>
      </w:sdtPr>
      <w:sdtContent>
        <w:p>
          <w:pPr>
            <w:shd w:val="clear" w:color="auto" w:fill="FFFFFF"/>
            <w:ind w:firstLine="567"/>
            <w:jc w:val="both"/>
            <w:rPr>
              <w:rFonts w:eastAsia="Andale Sans UI" w:cs="Tahoma"/>
              <w:szCs w:val="24"/>
              <w:lang w:bidi="en-US"/>
            </w:rPr>
          </w:pPr>
          <w:r>
            <w:rPr>
              <w:rFonts w:eastAsia="Andale Sans UI" w:cs="Tahoma"/>
              <w:szCs w:val="24"/>
              <w:lang w:bidi="en-US"/>
            </w:rPr>
            <w:t xml:space="preserve">Atsižvelgiant į priklausomųjų želdynų normų skaičiavimo praktiką, siekiant aiškumo Įsakymo projektu siūloma nustatyti, kad priklausomiesiems želdynams gali būti priskiriami tie apželdintų požeminių statinių stogai, kur želdiniai auga ne mažesnio nei </w:t>
          </w:r>
          <w:r>
            <w:rPr>
              <w:rFonts w:eastAsia="Andale Sans UI" w:cs="Tahoma"/>
              <w:szCs w:val="24"/>
              <w:lang w:val="en-US" w:bidi="en-US"/>
            </w:rPr>
            <w:t>1 m storio dirvo</w:t>
          </w:r>
          <w:r>
            <w:rPr>
              <w:rFonts w:eastAsia="Andale Sans UI" w:cs="Tahoma"/>
              <w:szCs w:val="24"/>
              <w:lang w:bidi="en-US"/>
            </w:rPr>
            <w:t xml:space="preserve">žemio sluoksnyje. </w:t>
          </w:r>
        </w:p>
      </w:sdtContent>
    </w:sdt>
    <w:sdt>
      <w:sdtPr>
        <w:alias w:val="pastraipa"/>
        <w:tag w:val="part_4b67faebe7f94b91ba2c870a897f5349"/>
        <w:lock w:val="sdtLocked"/>
        <w:richText/>
      </w:sdtPr>
      <w:sdtContent>
        <w:p>
          <w:pPr>
            <w:ind w:firstLine="720"/>
            <w:jc w:val="both"/>
            <w:rPr>
              <w:szCs w:val="24"/>
              <w:lang w:eastAsia="lt-LT"/>
            </w:rPr>
          </w:pPr>
          <w:r>
            <w:rPr>
              <w:szCs w:val="24"/>
              <w:lang w:eastAsia="lt-LT"/>
            </w:rPr>
            <w:t>Įsakymo projektas neperkelia ir neįgyvendina Europos Sąjungos teisės aktų.</w:t>
          </w:r>
        </w:p>
      </w:sdtContent>
    </w:sdt>
    <w:sdt>
      <w:sdtPr>
        <w:alias w:val="pastraipa"/>
        <w:tag w:val="part_37ac52a251ed4314a7388fff761b33e1"/>
        <w:lock w:val="sdtLocked"/>
        <w:richText/>
      </w:sdtPr>
      <w:sdtContent>
        <w:p>
          <w:pPr>
            <w:ind w:firstLine="720"/>
            <w:jc w:val="both"/>
            <w:rPr>
              <w:szCs w:val="24"/>
              <w:lang w:eastAsia="lt-LT"/>
            </w:rPr>
          </w:pPr>
          <w:r>
            <w:rPr>
              <w:szCs w:val="24"/>
              <w:lang w:eastAsia="lt-LT"/>
            </w:rPr>
            <w:t>Priėmus Įsakymo projektą, priimti naujų ar pripažinti netekusiais galios galiojančių teisės aktų nereikės.</w:t>
          </w:r>
        </w:p>
      </w:sdtContent>
    </w:sdt>
    <w:sdt>
      <w:sdtPr>
        <w:alias w:val="pastraipa"/>
        <w:tag w:val="part_16ecc36786e943e399d46b6713bc8e0c"/>
        <w:lock w:val="sdtLocked"/>
        <w:richText/>
      </w:sdtPr>
      <w:sdtContent>
        <w:p>
          <w:pPr>
            <w:ind w:firstLine="720"/>
            <w:jc w:val="both"/>
            <w:rPr>
              <w:szCs w:val="24"/>
              <w:lang w:eastAsia="lt-LT"/>
            </w:rPr>
          </w:pPr>
          <w:r>
            <w:rPr>
              <w:szCs w:val="24"/>
              <w:lang w:eastAsia="lt-LT"/>
            </w:rPr>
            <w:t xml:space="preserve">Įsakymo projektu nesiūloma apibrėžti naujų sąvokų. </w:t>
          </w:r>
        </w:p>
      </w:sdtContent>
    </w:sdt>
    <w:sdt>
      <w:sdtPr>
        <w:alias w:val="pastraipa"/>
        <w:tag w:val="part_990688c2878349a7931a43d3a41a5e06"/>
        <w:lock w:val="sdtLocked"/>
        <w:richText/>
      </w:sdtPr>
      <w:sdtContent>
        <w:p>
          <w:pPr>
            <w:ind w:firstLine="720"/>
            <w:jc w:val="both"/>
            <w:rPr>
              <w:szCs w:val="24"/>
              <w:lang w:eastAsia="lt-LT"/>
            </w:rPr>
          </w:pPr>
          <w:r>
            <w:rPr>
              <w:szCs w:val="24"/>
              <w:lang w:eastAsia="lt-LT"/>
            </w:rPr>
            <w:t>Prašome per 10 darbo dienų po Įsakymo projekto paskelbimo TAIS pagal kompetenciją Įsakymo projektui pateikti pastabas ir pasiūlymus. Per nustatytą laiką negavę pastabų ir pasiūlymų, laikysime, kad pastabų ir pasiūlymų Įsakymo projektui neturite.</w:t>
          </w:r>
        </w:p>
      </w:sdtContent>
    </w:sdt>
    <w:sdt>
      <w:sdtPr>
        <w:alias w:val="pastraipa"/>
        <w:tag w:val="part_557f3ae53f1c4726ac6d573bd2f0350d"/>
        <w:lock w:val="sdtLocked"/>
        <w:richText/>
      </w:sdtPr>
      <w:sdtContent>
        <w:p>
          <w:pPr>
            <w:ind w:firstLine="720"/>
            <w:jc w:val="both"/>
            <w:rPr>
              <w:szCs w:val="24"/>
              <w:lang w:eastAsia="lt-LT"/>
            </w:rPr>
          </w:pPr>
          <w:r>
            <w:rPr>
              <w:szCs w:val="24"/>
              <w:lang w:eastAsia="lt-LT"/>
            </w:rPr>
            <w:t>Projektą parengė Aplinkos ministerijos Gamtos apsaugos politikos grupės (</w:t>
          </w:r>
          <w:r>
            <w:rPr>
              <w:szCs w:val="24"/>
              <w:lang w:eastAsia="ar-SA"/>
            </w:rPr>
            <w:t xml:space="preserve">grupės vadovas Algirdas Klimavičius, tel. </w:t>
          </w:r>
          <w:r>
            <w:rPr>
              <w:szCs w:val="24"/>
              <w:lang w:eastAsia="lt-LT"/>
            </w:rPr>
            <w:t xml:space="preserve">8 686 17295, el. p. </w:t>
          </w:r>
          <w:r>
            <w:rPr>
              <w:color w:val="000080"/>
              <w:szCs w:val="24"/>
              <w:u w:val="single"/>
              <w:lang w:eastAsia="lt-LT"/>
            </w:rPr>
            <w:t>algirdas.klimavicius</w:t>
          </w:r>
          <w:r>
            <w:rPr>
              <w:color w:val="000080"/>
              <w:szCs w:val="24"/>
              <w:u w:val="single"/>
              <w:lang w:val="en-US" w:eastAsia="lt-LT"/>
            </w:rPr>
            <w:t>@am.lt</w:t>
          </w:r>
          <w:r>
            <w:rPr>
              <w:szCs w:val="24"/>
              <w:lang w:eastAsia="lt-LT"/>
            </w:rPr>
            <w:t xml:space="preserve">) vyriausiasis specialistas Mindaugas Žolynas (tel. 8 695 84298, el. p. </w:t>
          </w:r>
          <w:r>
            <w:rPr>
              <w:color w:val="000080"/>
              <w:szCs w:val="24"/>
              <w:u w:val="single"/>
              <w:lang w:eastAsia="lt-LT"/>
            </w:rPr>
            <w:t>mindaugas.zolynas@am.lt</w:t>
          </w:r>
          <w:r>
            <w:rPr>
              <w:szCs w:val="24"/>
              <w:lang w:eastAsia="lt-LT"/>
            </w:rPr>
            <w:t xml:space="preserve"> ).</w:t>
          </w:r>
        </w:p>
      </w:sdtContent>
    </w:sdt>
    <w:sdt>
      <w:sdtPr>
        <w:alias w:val="pastraipa"/>
        <w:tag w:val="part_bd296151f8434a44b257a6d9a075ed4a"/>
        <w:lock w:val="sdtLocked"/>
        <w:richText/>
      </w:sdtPr>
      <w:sdtContent>
        <w:p>
          <w:pPr>
            <w:ind w:firstLine="720"/>
            <w:jc w:val="both"/>
            <w:rPr>
              <w:szCs w:val="24"/>
              <w:lang w:eastAsia="lt-LT"/>
            </w:rPr>
          </w:pPr>
          <w:r>
            <w:rPr>
              <w:szCs w:val="24"/>
              <w:lang w:eastAsia="lt-LT"/>
            </w:rPr>
            <w:t>PRIDEDAMA:</w:t>
          </w:r>
        </w:p>
        <w:sdt>
          <w:sdtPr>
            <w:alias w:val="1 p."/>
            <w:tag w:val="part_8095a2d3f0664d3c96490e9f84ec3dd5"/>
            <w:lock w:val="sdtLocked"/>
            <w:richText/>
          </w:sdtPr>
          <w:sdtContent>
            <w:p>
              <w:pPr>
                <w:ind w:firstLine="720"/>
                <w:jc w:val="both"/>
                <w:rPr>
                  <w:szCs w:val="24"/>
                  <w:lang w:val="en-US" w:eastAsia="lt-LT"/>
                </w:rPr>
              </w:pPr>
              <w:sdt>
                <w:sdtPr>
                  <w:alias w:val="Numeris"/>
                  <w:tag w:val="nr_8095a2d3f0664d3c96490e9f84ec3dd5"/>
                  <w:lock w:val="sdtLocked"/>
                  <w:richText/>
                </w:sdtPr>
                <w:sdtContent>
                  <w:r>
                    <w:rPr>
                      <w:szCs w:val="24"/>
                      <w:lang w:val="en-US" w:eastAsia="lt-LT"/>
                    </w:rPr>
                    <w:t>1</w:t>
                  </w:r>
                </w:sdtContent>
              </w:sdt>
              <w:r>
                <w:rPr>
                  <w:szCs w:val="24"/>
                  <w:lang w:val="en-US" w:eastAsia="lt-LT"/>
                </w:rPr>
                <w:t>.</w:t>
              </w:r>
              <w:r>
                <w:rPr>
                  <w:szCs w:val="24"/>
                  <w:lang w:eastAsia="lt-LT"/>
                </w:rPr>
                <w:t xml:space="preserve"> Įsakymo projektas, </w:t>
              </w:r>
              <w:r>
                <w:rPr>
                  <w:szCs w:val="24"/>
                  <w:lang w:val="en-US" w:eastAsia="lt-LT"/>
                </w:rPr>
                <w:t>6 lapai.</w:t>
              </w:r>
            </w:p>
          </w:sdtContent>
        </w:sdt>
        <w:sdt>
          <w:sdtPr>
            <w:alias w:val="2 p."/>
            <w:tag w:val="part_7082866736c64e12ac60c866269f93a0"/>
            <w:lock w:val="sdtLocked"/>
            <w:richText/>
          </w:sdtPr>
          <w:sdtContent>
            <w:p>
              <w:pPr>
                <w:ind w:firstLine="720"/>
                <w:jc w:val="both"/>
                <w:rPr>
                  <w:szCs w:val="24"/>
                  <w:lang w:val="en-US" w:eastAsia="lt-LT"/>
                </w:rPr>
              </w:pPr>
              <w:sdt>
                <w:sdtPr>
                  <w:alias w:val="Numeris"/>
                  <w:tag w:val="nr_7082866736c64e12ac60c866269f93a0"/>
                  <w:lock w:val="sdtLocked"/>
                  <w:richText/>
                </w:sdtPr>
                <w:sdtContent>
                  <w:r>
                    <w:rPr>
                      <w:szCs w:val="24"/>
                      <w:lang w:val="en-US" w:eastAsia="lt-LT"/>
                    </w:rPr>
                    <w:t>2</w:t>
                  </w:r>
                </w:sdtContent>
              </w:sdt>
              <w:r>
                <w:rPr>
                  <w:szCs w:val="24"/>
                  <w:lang w:val="en-US" w:eastAsia="lt-LT"/>
                </w:rPr>
                <w:t>. Numatomo teisinio reguliavimo poveikio vertinimo pa</w:t>
              </w:r>
              <w:r>
                <w:rPr>
                  <w:szCs w:val="24"/>
                  <w:lang w:eastAsia="lt-LT"/>
                </w:rPr>
                <w:t xml:space="preserve">žyma, </w:t>
              </w:r>
              <w:r>
                <w:rPr>
                  <w:szCs w:val="24"/>
                  <w:lang w:val="en-US" w:eastAsia="lt-LT"/>
                </w:rPr>
                <w:t>1 lapas.</w:t>
              </w:r>
            </w:p>
            <w:p>
              <w:pPr>
                <w:suppressLineNumbers/>
                <w:jc w:val="both"/>
                <w:rPr>
                  <w:rFonts w:eastAsia="Andale Sans UI" w:cs="Tahoma"/>
                  <w:szCs w:val="24"/>
                  <w:lang w:val="en-US" w:bidi="en-US"/>
                </w:rPr>
              </w:pPr>
            </w:p>
            <w:p>
              <w:pPr>
                <w:suppressLineNumbers/>
                <w:jc w:val="both"/>
                <w:rPr>
                  <w:rFonts w:eastAsia="Andale Sans UI" w:cs="Tahoma"/>
                  <w:bCs/>
                  <w:szCs w:val="24"/>
                  <w:lang w:bidi="en-US"/>
                </w:rPr>
              </w:pPr>
            </w:p>
            <w:p>
              <w:pPr>
                <w:suppressLineNumbers/>
                <w:jc w:val="both"/>
                <w:rPr>
                  <w:rFonts w:eastAsia="Andale Sans UI" w:cs="Tahoma"/>
                  <w:bCs/>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cs="Tahoma"/>
                        <w:szCs w:val="24"/>
                        <w:lang w:bidi="en-US"/>
                      </w:rPr>
                    </w:pPr>
                    <w:r>
                      <w:rPr>
                        <w:rFonts w:eastAsia="Andale Sans UI" w:cs="Tahoma"/>
                        <w:szCs w:val="24"/>
                        <w:lang w:bidi="en-US"/>
                      </w:rPr>
                      <w:t>Aplinkos viceministras</w:t>
                    </w:r>
                  </w:p>
                </w:tc>
                <w:tc>
                  <w:tcPr>
                    <w:tcW w:w="4826" w:type="dxa"/>
                    <w:vAlign w:val="bottom"/>
                  </w:tcPr>
                  <w:p>
                    <w:pPr>
                      <w:ind w:right="34"/>
                      <w:jc w:val="right"/>
                      <w:rPr>
                        <w:rFonts w:eastAsia="Andale Sans UI" w:cs="Tahoma"/>
                        <w:szCs w:val="24"/>
                        <w:lang w:bidi="en-US"/>
                      </w:rPr>
                    </w:pPr>
                    <w:r>
                      <w:rPr>
                        <w:rFonts w:eastAsia="Andale Sans UI" w:cs="Tahoma"/>
                        <w:szCs w:val="24"/>
                        <w:lang w:bidi="en-US"/>
                      </w:rPr>
                      <w:t>Danas Augutis</w:t>
                    </w:r>
                  </w:p>
                </w:tc>
              </w:tr>
            </w:tbl>
            <w:p>
              <w:pPr>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suppressLineNumbers/>
                      <w:jc w:val="both"/>
                      <w:rPr>
                        <w:rFonts w:eastAsia="Andale Sans UI" w:cs="Tahoma"/>
                        <w:szCs w:val="24"/>
                        <w:lang w:bidi="en-US"/>
                      </w:rPr>
                    </w:pPr>
                    <w:r>
                      <w:rPr>
                        <w:rFonts w:eastAsia="Andale Sans UI" w:cs="Tahoma"/>
                        <w:szCs w:val="24"/>
                        <w:lang w:bidi="en-US"/>
                      </w:rPr>
                      <w:t xml:space="preserve">M. Žolynas, tel.  8 695 84298, el. p. </w:t>
                    </w:r>
                    <w:r>
                      <w:rPr>
                        <w:rFonts w:eastAsia="Andale Sans UI" w:cs="Tahoma"/>
                        <w:color w:val="000080"/>
                        <w:szCs w:val="24"/>
                        <w:u w:val="single"/>
                        <w:lang w:bidi="en-US"/>
                      </w:rPr>
                      <w:t>mindaugas.zolynas@am.lt</w:t>
                    </w:r>
                    <w:r>
                      <w:rPr>
                        <w:rFonts w:eastAsia="Andale Sans UI" w:cs="Tahoma"/>
                        <w:szCs w:val="24"/>
                        <w:lang w:bidi="en-US"/>
                      </w:rPr>
                      <w:t xml:space="preserve"> </w:t>
                    </w:r>
                  </w:p>
                  <w:p>
                    <w:pPr>
                      <w:suppressLineNumbers/>
                      <w:jc w:val="both"/>
                      <w:rPr>
                        <w:rFonts w:eastAsia="Andale Sans UI" w:cs="Tahoma"/>
                        <w:sz w:val="18"/>
                        <w:szCs w:val="18"/>
                        <w:lang w:bidi="en-US"/>
                      </w:rPr>
                    </w:pPr>
                  </w:p>
                  <w:p>
                    <w:pPr>
                      <w:keepLines/>
                      <w:suppressLineNumbers/>
                      <w:jc w:val="both"/>
                      <w:rPr>
                        <w:rFonts w:eastAsia="Andale Sans UI" w:cs="Tahoma"/>
                        <w:szCs w:val="24"/>
                        <w:lang w:bidi="en-US"/>
                      </w:rPr>
                    </w:pPr>
                  </w:p>
                </w:tc>
              </w:tr>
            </w:tbl>
            <w:p>
              <w:pPr>
                <w:ind w:firstLine="567"/>
                <w:jc w:val="both"/>
                <w:rPr>
                  <w:rFonts w:eastAsia="Andale Sans UI" w:cs="Tahoma"/>
                  <w:szCs w:val="24"/>
                  <w:lang w:bidi="en-US"/>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8193"/>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2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11373c09af5549c98d4656b3ba61d373" PartId="9795844e851e47ceb0d2b24d673b34a0"/>
  <Part Type="pastraipa" DocPartId="53ee6f822dc04875a5cc32459b010a55" PartId="abcd914cb3c24110b240c3caab796f05"/>
  <Part Type="pastraipa" DocPartId="17e59f77282a4a578f0db64eb6cf7655" PartId="b852f4d449a84882b1eae29cfb4ad5f2"/>
  <Part Type="pastraipa" DocPartId="dc200e9595ec4d5c9a6649be9ee2597c" PartId="0495a85435634db7b5c3d6777d1a7734"/>
  <Part Type="pastraipa" DocPartId="35c741c4d775435cb43be871b79e3b02" PartId="e6134b06a21b4907b924ac8218441ae1"/>
  <Part Type="pastraipa" DocPartId="a9500a08a70a4a2f95727514af4595d1" PartId="f7467890fad1480ea06a168db1f14318"/>
  <Part Type="pastraipa" DocPartId="95b8a9b4063b4906858ba6e796d7102e" PartId="85a23ba1d7e14140b8d609c6e1f79bb5"/>
  <Part Type="pastraipa" DocPartId="6d34ffb9ff95477995934d5a13f3370d" PartId="a219b011187d4126915a9659ff64100d"/>
  <Part Type="pastraipa" DocPartId="954c4859ea8f421384fba6d0ca8a2092" PartId="06e07f55bccb4ec89dc0486640d2ed02"/>
  <Part Type="pastraipa" DocPartId="02f0da134d734c9eaca8991d9f773691" PartId="6864b3740893419cae965b784dc3ce3e"/>
  <Part Type="pastraipa" DocPartId="b23a98a9377c460b9dff3bcb38829033" PartId="f3b9af7ad8784e269b179926cddb5bc0"/>
  <Part Type="pastraipa" DocPartId="77a5040867904d41bd4ffd11fc2580d6" PartId="12c676762a6d47a7ac12cacf287e2216"/>
  <Part Type="pastraipa" DocPartId="6999f0fa2e954238a2fdfc95b3f4e376" PartId="4b67faebe7f94b91ba2c870a897f5349"/>
  <Part Type="pastraipa" DocPartId="f58b2115fc5140498e97d1c0701789a5" PartId="37ac52a251ed4314a7388fff761b33e1"/>
  <Part Type="pastraipa" DocPartId="1a126fa97bb046bf8e475060453b3eef" PartId="16ecc36786e943e399d46b6713bc8e0c"/>
  <Part Type="pastraipa" DocPartId="7e9e4bf4c5aa476c839252b44fee2809" PartId="990688c2878349a7931a43d3a41a5e06"/>
  <Part Type="pastraipa" DocPartId="fabf5a977ac846ada92c80bf2dc5a5d1" PartId="557f3ae53f1c4726ac6d573bd2f0350d"/>
  <Part Type="pastraipa" DocPartId="4415003a145a49c3b5a306264b445be9" PartId="bd296151f8434a44b257a6d9a075ed4a">
    <Part Type="punktas" Nr="1" Abbr="1 p." DocPartId="f378f01922e844279df07468a0bb94e1" PartId="8095a2d3f0664d3c96490e9f84ec3dd5"/>
    <Part Type="punktas" Nr="2" Abbr="2 p." DocPartId="a1b8a8b06ac14c5dab84a3e7cd1a1a26" PartId="7082866736c64e12ac60c866269f93a0"/>
  </Part>
</Parts>
</file>

<file path=customXml/itemProps1.xml><?xml version="1.0" encoding="utf-8"?>
<ds:datastoreItem xmlns:ds="http://schemas.openxmlformats.org/officeDocument/2006/customXml" ds:itemID="{B945A4D5-B32E-49E5-AD37-F5856E981A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693</Words>
  <Characters>4943</Characters>
  <Application>Microsoft Office Word</Application>
  <DocSecurity>4</DocSecurity>
  <Lines>126</Lines>
  <Paragraphs>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5594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2022-03-10T07:44:00Z</dcterms:created>
  <dcterms:modified xsi:type="dcterms:W3CDTF">2022-03-10T07:44:00Z</dcterms:modified>
  <revision>1</revision>
</coreProperties>
</file>