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9ff03a0f7984644a8dec7c156e15aca"/>
        <w:lock w:val="sdtLocked"/>
        <w:richText/>
      </w:sdtPr>
      <w:sdtContent>
        <w:p>
          <w:pPr>
            <w:jc w:val="center"/>
            <w:rPr>
              <w:b/>
              <w:caps/>
              <w:color w:val="333333"/>
              <w:szCs w:val="24"/>
              <w:shd w:val="clear" w:color="auto" w:fill="FFFFFF"/>
            </w:rPr>
          </w:pPr>
        </w:p>
        <w:p>
          <w:pPr>
            <w:jc w:val="center"/>
            <w:rPr>
              <w:b/>
              <w:caps/>
              <w:color w:val="333333"/>
              <w:szCs w:val="24"/>
              <w:shd w:val="clear" w:color="auto" w:fill="FFFFFF"/>
            </w:rPr>
          </w:pPr>
          <w:r>
            <w:rPr>
              <w:b/>
              <w:caps/>
              <w:color w:val="333333"/>
              <w:szCs w:val="24"/>
              <w:shd w:val="clear" w:color="auto" w:fill="FFFFFF"/>
            </w:rPr>
            <w:t xml:space="preserve">Lietuvos Respublikos </w:t>
          </w:r>
        </w:p>
        <w:p>
          <w:pPr>
            <w:jc w:val="center"/>
            <w:rPr>
              <w:b/>
              <w:color w:val="000000"/>
              <w:szCs w:val="24"/>
              <w:lang w:val="en-US"/>
            </w:rPr>
          </w:pPr>
          <w:r>
            <w:rPr>
              <w:b/>
              <w:caps/>
              <w:color w:val="333333"/>
              <w:szCs w:val="24"/>
              <w:shd w:val="clear" w:color="auto" w:fill="FFFFFF"/>
            </w:rPr>
            <w:t xml:space="preserve">administracinių nusižengimų kodekso </w:t>
          </w:r>
          <w:r>
            <w:rPr>
              <w:b/>
              <w:color w:val="333333"/>
              <w:szCs w:val="24"/>
              <w:shd w:val="clear" w:color="auto" w:fill="FFFFFF"/>
            </w:rPr>
            <w:t xml:space="preserve">12, </w:t>
          </w:r>
          <w:r>
            <w:rPr>
              <w:b/>
              <w:color w:val="000000"/>
              <w:szCs w:val="24"/>
            </w:rPr>
            <w:t xml:space="preserve">278, 282, </w:t>
          </w:r>
          <w:r>
            <w:rPr>
              <w:b/>
              <w:szCs w:val="24"/>
            </w:rPr>
            <w:t xml:space="preserve">415 IR </w:t>
            <w:br/>
            <w:t xml:space="preserve">589 </w:t>
          </w:r>
          <w:r>
            <w:rPr>
              <w:b/>
              <w:caps/>
              <w:color w:val="000000"/>
              <w:szCs w:val="24"/>
            </w:rPr>
            <w:t>STRAIPSNIų PAKEITIMO</w:t>
          </w:r>
        </w:p>
        <w:p>
          <w:pPr>
            <w:spacing w:line="276" w:lineRule="auto"/>
            <w:jc w:val="center"/>
            <w:rPr>
              <w:b/>
              <w:bCs/>
              <w:color w:val="000000"/>
              <w:szCs w:val="24"/>
            </w:rPr>
          </w:pPr>
          <w:r>
            <w:rPr>
              <w:b/>
              <w:bCs/>
              <w:color w:val="000000"/>
              <w:szCs w:val="24"/>
            </w:rPr>
            <w:t>ĮSTATYMO PROJEKTO</w:t>
          </w:r>
        </w:p>
        <w:p>
          <w:pPr>
            <w:shd w:val="clear" w:color="auto" w:fill="FFFFFF"/>
            <w:spacing w:line="276" w:lineRule="auto"/>
            <w:ind w:right="99"/>
            <w:jc w:val="center"/>
            <w:rPr>
              <w:b/>
              <w:bCs/>
              <w:szCs w:val="24"/>
              <w:lang w:eastAsia="lt-LT"/>
            </w:rPr>
          </w:pPr>
          <w:r>
            <w:rPr>
              <w:b/>
              <w:bCs/>
              <w:szCs w:val="24"/>
              <w:lang w:eastAsia="lt-LT"/>
            </w:rPr>
            <w:t>AIŠKINAMASIS RAŠTAS</w:t>
          </w:r>
        </w:p>
        <w:p>
          <w:pPr>
            <w:shd w:val="clear" w:color="auto" w:fill="FFFFFF"/>
            <w:spacing w:line="276" w:lineRule="auto"/>
            <w:ind w:right="99"/>
            <w:jc w:val="both"/>
            <w:rPr>
              <w:szCs w:val="24"/>
              <w:lang w:eastAsia="lt-LT"/>
            </w:rPr>
          </w:pPr>
        </w:p>
        <w:p>
          <w:pPr>
            <w:shd w:val="clear" w:color="auto" w:fill="FFFFFF"/>
            <w:spacing w:line="276" w:lineRule="auto"/>
            <w:ind w:firstLine="62"/>
            <w:jc w:val="both"/>
            <w:rPr>
              <w:szCs w:val="24"/>
              <w:lang w:eastAsia="lt-LT"/>
            </w:rPr>
          </w:pPr>
        </w:p>
        <w:sdt>
          <w:sdtPr>
            <w:alias w:val="1 p."/>
            <w:tag w:val="part_3125c191e83c40e29b1d96e90d0b9a5e"/>
            <w:lock w:val="sdtLocked"/>
            <w:richText/>
          </w:sdtPr>
          <w:sdtContent>
            <w:p>
              <w:pPr>
                <w:shd w:val="clear" w:color="auto" w:fill="FFFFFF"/>
                <w:spacing w:line="276" w:lineRule="auto"/>
                <w:ind w:left="927" w:hanging="360"/>
                <w:jc w:val="both"/>
                <w:rPr>
                  <w:b/>
                  <w:bCs/>
                  <w:sz w:val="22"/>
                  <w:szCs w:val="24"/>
                  <w:lang w:eastAsia="lt-LT"/>
                </w:rPr>
              </w:pPr>
              <w:sdt>
                <w:sdtPr>
                  <w:alias w:val="Numeris"/>
                  <w:tag w:val="nr_3125c191e83c40e29b1d96e90d0b9a5e"/>
                  <w:lock w:val="sdtLocked"/>
                  <w:richText/>
                </w:sdtPr>
                <w:sdtContent>
                  <w:r>
                    <w:rPr>
                      <w:b/>
                      <w:bCs/>
                      <w:szCs w:val="24"/>
                      <w:lang w:eastAsia="lt-LT"/>
                    </w:rPr>
                    <w:t>1</w:t>
                  </w:r>
                </w:sdtContent>
              </w:sdt>
              <w:r>
                <w:rPr>
                  <w:b/>
                  <w:bCs/>
                  <w:szCs w:val="24"/>
                  <w:lang w:eastAsia="lt-LT"/>
                </w:rPr>
                <w:t>.</w:t>
                <w:tab/>
              </w:r>
              <w:r>
                <w:rPr>
                  <w:b/>
                  <w:bCs/>
                  <w:sz w:val="22"/>
                  <w:szCs w:val="24"/>
                  <w:lang w:eastAsia="lt-LT"/>
                </w:rPr>
                <w:t>Įstatymo projekto rengimą paskatinusios priežastys, parengto projekto tikslai ir uždaviniai</w:t>
              </w:r>
            </w:p>
            <w:p>
              <w:pPr>
                <w:rPr>
                  <w:sz w:val="14"/>
                  <w:szCs w:val="14"/>
                </w:rPr>
              </w:pPr>
            </w:p>
            <w:p>
              <w:pPr>
                <w:shd w:val="clear" w:color="auto" w:fill="FFFFFF"/>
                <w:spacing w:line="276" w:lineRule="auto"/>
                <w:ind w:firstLine="844"/>
                <w:jc w:val="both"/>
                <w:rPr>
                  <w:szCs w:val="24"/>
                </w:rPr>
              </w:pPr>
              <w:r>
                <w:rPr>
                  <w:szCs w:val="24"/>
                </w:rPr>
                <w:t xml:space="preserve">Lietuvos Respublikos administracinių nusižengimų kodekso 12, 278, 282, 415 ir 589 straipsnių pakeitimo projekto rengimą paskatino vis dažnėjantys atvejai, kai keturračių motorinių transporto priemonių vairuotojai, važinėdami neleistinose vietose miške, suniokoja miško paklotę, nusiaubia saugomas teritorijas, kliudo ir mirtinai suvažinėja gyvūnus, roplius, išlaužo neseniai pasodintus medelius.   </w:t>
              </w:r>
            </w:p>
            <w:p>
              <w:pPr>
                <w:spacing w:line="276" w:lineRule="auto"/>
                <w:ind w:firstLine="720"/>
                <w:jc w:val="both"/>
                <w:rPr>
                  <w:szCs w:val="24"/>
                  <w:shd w:val="clear" w:color="auto" w:fill="FFFFFF"/>
                </w:rPr>
              </w:pPr>
              <w:r>
                <w:rPr>
                  <w:szCs w:val="24"/>
                  <w:shd w:val="clear" w:color="auto" w:fill="FFFFFF"/>
                </w:rPr>
                <w:t xml:space="preserve">Nors, vadovaujantis Kelių eismo taisyklėmis, keturračiais galima važiuoti tais pačiais keliais, kaip ir kitoms motorinėms transporto priemonėms, o tai reiškia – draudžiama važinėti bekele ir natūralia miško paklote, Valstybinių miškų urėdija tvirtina, kad pasivažinėjimas keturračiais miškais kasmet tampa vis populiaresnis. </w:t>
              </w:r>
            </w:p>
            <w:p>
              <w:pPr>
                <w:spacing w:line="276" w:lineRule="auto"/>
                <w:ind w:firstLine="720"/>
                <w:jc w:val="both"/>
                <w:rPr>
                  <w:szCs w:val="24"/>
                  <w:shd w:val="clear" w:color="auto" w:fill="FFFFFF"/>
                </w:rPr>
              </w:pPr>
              <w:r>
                <w:rPr>
                  <w:szCs w:val="24"/>
                </w:rPr>
                <w:t xml:space="preserve">2020 metais Viešvilės valstybinio gamtinio rezervate keturračių motorinių priemonių vairuotojai suniokojo saugomą aukštapelkę. Suniokota pelkės paklotė, išverstos ten augusios pušys. Suniokota teritorija priskiriama itin saugomam Europos ekologiniam tinklui „Natura 2000“. Padaryta itin didelė žala gamtai. </w:t>
              </w:r>
            </w:p>
            <w:p>
              <w:pPr>
                <w:spacing w:line="276" w:lineRule="auto"/>
                <w:ind w:firstLine="720"/>
                <w:jc w:val="both"/>
                <w:rPr>
                  <w:szCs w:val="24"/>
                </w:rPr>
              </w:pPr>
              <w:r>
                <w:rPr>
                  <w:szCs w:val="24"/>
                </w:rPr>
                <w:t xml:space="preserve">Pasitaiko atvejų, kai keturratės motorinės priemonės miškuose, tam neleistinose vietose važinėja be valstybinių numerių. Tokius pažeidėjus, kurie neretai pasprunka nuo pareigūnų, sunku identifikuoti ir nubausti. </w:t>
              </w:r>
            </w:p>
            <w:p>
              <w:pPr>
                <w:spacing w:line="276" w:lineRule="auto"/>
                <w:ind w:firstLine="720"/>
                <w:jc w:val="both"/>
                <w:rPr>
                  <w:szCs w:val="24"/>
                </w:rPr>
              </w:pPr>
              <w:r>
                <w:rPr>
                  <w:szCs w:val="24"/>
                </w:rPr>
                <w:t xml:space="preserve">Šiuo metu galiojančios baudos už neteisėtą važiavimą transporto priemone mišku, miško paklote yra mažos ir neatgraso pažeidėjų nuo tokios praktikos. </w:t>
              </w:r>
            </w:p>
            <w:p>
              <w:pPr>
                <w:spacing w:line="276" w:lineRule="auto"/>
                <w:ind w:firstLine="720"/>
                <w:jc w:val="both"/>
                <w:rPr>
                  <w:szCs w:val="24"/>
                </w:rPr>
              </w:pPr>
              <w:r>
                <w:rPr>
                  <w:szCs w:val="24"/>
                </w:rPr>
                <w:t xml:space="preserve">Projekto tikslas – apsaugoti miškus, saugomas teritorijas nuo motorinių transporto priemonių vairuotojų daromos žalos. </w:t>
              </w:r>
            </w:p>
            <w:p>
              <w:pPr>
                <w:spacing w:line="276" w:lineRule="auto"/>
                <w:ind w:firstLine="720"/>
                <w:jc w:val="both"/>
                <w:rPr>
                  <w:szCs w:val="24"/>
                </w:rPr>
              </w:pPr>
              <w:r>
                <w:rPr>
                  <w:szCs w:val="24"/>
                </w:rPr>
                <w:t xml:space="preserve">Šiam tikslui pasiekti išsikelti šie uždaviniai: </w:t>
              </w:r>
            </w:p>
          </w:sdtContent>
        </w:sdt>
        <w:sdt>
          <w:sdtPr>
            <w:alias w:val="1 p."/>
            <w:tag w:val="part_23e9cae598a944d7a5f58c1301875649"/>
            <w:lock w:val="sdtLocked"/>
            <w:richText/>
          </w:sdtPr>
          <w:sdtContent>
            <w:p>
              <w:pPr>
                <w:spacing w:line="276" w:lineRule="auto"/>
                <w:ind w:left="1080" w:hanging="360"/>
                <w:jc w:val="both"/>
                <w:rPr>
                  <w:sz w:val="22"/>
                  <w:szCs w:val="24"/>
                </w:rPr>
              </w:pPr>
              <w:sdt>
                <w:sdtPr>
                  <w:alias w:val="Numeris"/>
                  <w:tag w:val="nr_23e9cae598a944d7a5f58c1301875649"/>
                  <w:lock w:val="sdtLocked"/>
                  <w:richText/>
                </w:sdtPr>
                <w:sdtContent>
                  <w:r>
                    <w:rPr>
                      <w:szCs w:val="24"/>
                    </w:rPr>
                    <w:t>1</w:t>
                  </w:r>
                </w:sdtContent>
              </w:sdt>
              <w:r>
                <w:rPr>
                  <w:szCs w:val="24"/>
                </w:rPr>
                <w:t>.</w:t>
                <w:tab/>
              </w:r>
              <w:r>
                <w:rPr>
                  <w:sz w:val="22"/>
                  <w:szCs w:val="24"/>
                </w:rPr>
                <w:t xml:space="preserve">padidinti baudas už važiavimą transporto priemonėmis miškais ten, kur tai daryti draudžiama, taip pat už važiavimą miško paklote. Už šiuos pažeidimus taip pat privalomai taikyti transporto priemonės konfiskavimą; </w:t>
              </w:r>
            </w:p>
            <w:p>
              <w:pPr>
                <w:rPr>
                  <w:sz w:val="14"/>
                  <w:szCs w:val="14"/>
                </w:rPr>
              </w:pPr>
            </w:p>
          </w:sdtContent>
        </w:sdt>
        <w:sdt>
          <w:sdtPr>
            <w:alias w:val="2 p."/>
            <w:tag w:val="part_32d947257e0446c5909e800060288dca"/>
            <w:lock w:val="sdtLocked"/>
            <w:richText/>
          </w:sdtPr>
          <w:sdtContent>
            <w:p>
              <w:pPr>
                <w:spacing w:line="276" w:lineRule="auto"/>
                <w:ind w:left="1080" w:hanging="360"/>
                <w:jc w:val="both"/>
                <w:rPr>
                  <w:sz w:val="22"/>
                  <w:szCs w:val="24"/>
                </w:rPr>
              </w:pPr>
              <w:sdt>
                <w:sdtPr>
                  <w:alias w:val="Numeris"/>
                  <w:tag w:val="nr_32d947257e0446c5909e800060288dca"/>
                  <w:lock w:val="sdtLocked"/>
                  <w:richText/>
                </w:sdtPr>
                <w:sdtContent>
                  <w:r>
                    <w:rPr>
                      <w:szCs w:val="24"/>
                    </w:rPr>
                    <w:t>2</w:t>
                  </w:r>
                </w:sdtContent>
              </w:sdt>
              <w:r>
                <w:rPr>
                  <w:szCs w:val="24"/>
                </w:rPr>
                <w:t>.</w:t>
                <w:tab/>
              </w:r>
              <w:r>
                <w:rPr>
                  <w:sz w:val="22"/>
                  <w:szCs w:val="24"/>
                </w:rPr>
                <w:t xml:space="preserve">padidinti baudas už važiavimą transporto priemone be valstybinio numerio ženklo, su suklastotais, uždengtais ar kitaip užmaskuotais valstybinio </w:t>
              </w:r>
              <w:r>
                <w:rPr>
                  <w:color w:val="000000"/>
                  <w:sz w:val="22"/>
                  <w:szCs w:val="24"/>
                </w:rPr>
                <w:t>numerio ženklais (ženklu) arba su pritvirtintais ne tai transporto priemonei išduotais valstybinio numerio ženklais;</w:t>
              </w:r>
            </w:p>
            <w:p>
              <w:pPr>
                <w:rPr>
                  <w:sz w:val="14"/>
                  <w:szCs w:val="14"/>
                </w:rPr>
              </w:pPr>
            </w:p>
          </w:sdtContent>
        </w:sdt>
        <w:sdt>
          <w:sdtPr>
            <w:alias w:val="3 p."/>
            <w:tag w:val="part_36f18f328a3a4dc491ebb0a31901a9ff"/>
            <w:lock w:val="sdtLocked"/>
            <w:richText/>
          </w:sdtPr>
          <w:sdtContent>
            <w:p>
              <w:pPr>
                <w:spacing w:line="276" w:lineRule="auto"/>
                <w:ind w:left="1080" w:hanging="360"/>
                <w:jc w:val="both"/>
                <w:rPr>
                  <w:sz w:val="22"/>
                  <w:szCs w:val="24"/>
                </w:rPr>
              </w:pPr>
              <w:sdt>
                <w:sdtPr>
                  <w:alias w:val="Numeris"/>
                  <w:tag w:val="nr_36f18f328a3a4dc491ebb0a31901a9ff"/>
                  <w:lock w:val="sdtLocked"/>
                  <w:richText/>
                </w:sdtPr>
                <w:sdtContent>
                  <w:r>
                    <w:rPr>
                      <w:szCs w:val="24"/>
                    </w:rPr>
                    <w:t>3</w:t>
                  </w:r>
                </w:sdtContent>
              </w:sdt>
              <w:r>
                <w:rPr>
                  <w:szCs w:val="24"/>
                </w:rPr>
                <w:t>.</w:t>
                <w:tab/>
              </w:r>
              <w:r>
                <w:rPr>
                  <w:color w:val="000000"/>
                  <w:sz w:val="22"/>
                  <w:szCs w:val="24"/>
                </w:rPr>
                <w:t xml:space="preserve"> suteikti teisę policijos ir Valstybės sienos apsaugos tarnybos </w:t>
              </w:r>
              <w:r>
                <w:rPr>
                  <w:sz w:val="22"/>
                  <w:szCs w:val="24"/>
                </w:rPr>
                <w:t xml:space="preserve">prie Vidaus reikalų ministerijos pareigūnams </w:t>
              </w:r>
              <w:r>
                <w:rPr>
                  <w:color w:val="000000"/>
                  <w:sz w:val="22"/>
                  <w:szCs w:val="24"/>
                </w:rPr>
                <w:t xml:space="preserve">tirti nusižengimus ir surašyti protokolus pagal Administracinių nusižengimų kodekso 278 straipsnį. </w:t>
              </w:r>
            </w:p>
            <w:p>
              <w:pPr>
                <w:rPr>
                  <w:sz w:val="14"/>
                  <w:szCs w:val="14"/>
                </w:rPr>
              </w:pPr>
            </w:p>
            <w:p>
              <w:pPr>
                <w:spacing w:line="276" w:lineRule="auto"/>
                <w:ind w:firstLine="720"/>
                <w:jc w:val="both"/>
                <w:rPr>
                  <w:color w:val="000000"/>
                  <w:szCs w:val="24"/>
                </w:rPr>
              </w:pPr>
            </w:p>
            <w:p>
              <w:pPr>
                <w:shd w:val="clear" w:color="auto" w:fill="FFFFFF"/>
                <w:spacing w:line="276" w:lineRule="auto"/>
                <w:jc w:val="both"/>
                <w:rPr>
                  <w:spacing w:val="14"/>
                  <w:szCs w:val="24"/>
                  <w:shd w:val="clear" w:color="auto" w:fill="FFFFFF"/>
                </w:rPr>
              </w:pPr>
            </w:p>
          </w:sdtContent>
        </w:sdt>
        <w:sdt>
          <w:sdtPr>
            <w:alias w:val="2 p."/>
            <w:tag w:val="part_388d4c6e6425451bbfe5b1a6271f0da0"/>
            <w:lock w:val="sdtLocked"/>
            <w:richText/>
          </w:sdtPr>
          <w:sdtContent>
            <w:p>
              <w:pPr>
                <w:shd w:val="clear" w:color="auto" w:fill="FFFFFF"/>
                <w:spacing w:line="276" w:lineRule="auto"/>
                <w:ind w:left="927" w:hanging="360"/>
                <w:jc w:val="both"/>
                <w:rPr>
                  <w:b/>
                  <w:bCs/>
                  <w:sz w:val="22"/>
                  <w:szCs w:val="24"/>
                  <w:lang w:eastAsia="lt-LT"/>
                </w:rPr>
              </w:pPr>
              <w:sdt>
                <w:sdtPr>
                  <w:alias w:val="Numeris"/>
                  <w:tag w:val="nr_388d4c6e6425451bbfe5b1a6271f0da0"/>
                  <w:lock w:val="sdtLocked"/>
                  <w:richText/>
                </w:sdtPr>
                <w:sdtContent>
                  <w:r>
                    <w:rPr>
                      <w:b/>
                      <w:bCs/>
                      <w:szCs w:val="24"/>
                      <w:lang w:eastAsia="lt-LT"/>
                    </w:rPr>
                    <w:t>2</w:t>
                  </w:r>
                </w:sdtContent>
              </w:sdt>
              <w:r>
                <w:rPr>
                  <w:b/>
                  <w:bCs/>
                  <w:szCs w:val="24"/>
                  <w:lang w:eastAsia="lt-LT"/>
                </w:rPr>
                <w:t>.</w:t>
                <w:tab/>
              </w:r>
              <w:r>
                <w:rPr>
                  <w:b/>
                  <w:bCs/>
                  <w:sz w:val="22"/>
                  <w:szCs w:val="24"/>
                  <w:lang w:eastAsia="lt-LT"/>
                </w:rPr>
                <w:t>Įstatymo projekto iniciatoriai (institucija, asmenys ar piliečių įgalioti atstovai) ir rengėjai</w:t>
              </w:r>
            </w:p>
            <w:p>
              <w:pPr>
                <w:rPr>
                  <w:sz w:val="14"/>
                  <w:szCs w:val="14"/>
                </w:rPr>
              </w:pPr>
            </w:p>
            <w:p>
              <w:pPr>
                <w:shd w:val="clear" w:color="auto" w:fill="FFFFFF"/>
                <w:spacing w:line="276" w:lineRule="auto"/>
                <w:ind w:left="927"/>
                <w:jc w:val="both"/>
                <w:rPr>
                  <w:szCs w:val="24"/>
                  <w:lang w:eastAsia="lt-LT"/>
                </w:rPr>
              </w:pPr>
            </w:p>
            <w:p>
              <w:pPr>
                <w:shd w:val="clear" w:color="auto" w:fill="FFFFFF"/>
                <w:spacing w:line="276" w:lineRule="auto"/>
                <w:ind w:firstLine="558"/>
                <w:jc w:val="both"/>
                <w:rPr>
                  <w:szCs w:val="24"/>
                  <w:lang w:eastAsia="lt-LT"/>
                </w:rPr>
              </w:pPr>
              <w:r>
                <w:rPr>
                  <w:szCs w:val="24"/>
                  <w:lang w:eastAsia="lt-LT"/>
                </w:rPr>
                <w:t>Įstatymo projekto iniciatorius – Lietuvos Respublikos Seimo narys Linas Jonauskas.</w:t>
              </w:r>
            </w:p>
            <w:p>
              <w:pPr>
                <w:shd w:val="clear" w:color="auto" w:fill="FFFFFF"/>
                <w:spacing w:line="276" w:lineRule="auto"/>
                <w:ind w:firstLine="62"/>
                <w:jc w:val="both"/>
                <w:rPr>
                  <w:szCs w:val="24"/>
                  <w:lang w:eastAsia="lt-LT"/>
                </w:rPr>
              </w:pPr>
            </w:p>
          </w:sdtContent>
        </w:sdt>
        <w:sdt>
          <w:sdtPr>
            <w:alias w:val="3 p."/>
            <w:tag w:val="part_d191f7b0259c49dfbb28cf34e2d9db13"/>
            <w:lock w:val="sdtLocked"/>
            <w:richText/>
          </w:sdtPr>
          <w:sdtContent>
            <w:p>
              <w:pPr>
                <w:shd w:val="clear" w:color="auto" w:fill="FFFFFF"/>
                <w:spacing w:line="276" w:lineRule="auto"/>
                <w:ind w:left="927" w:hanging="360"/>
                <w:jc w:val="both"/>
                <w:rPr>
                  <w:b/>
                  <w:bCs/>
                  <w:sz w:val="22"/>
                  <w:szCs w:val="24"/>
                  <w:lang w:eastAsia="lt-LT"/>
                </w:rPr>
              </w:pPr>
              <w:sdt>
                <w:sdtPr>
                  <w:alias w:val="Numeris"/>
                  <w:tag w:val="nr_d191f7b0259c49dfbb28cf34e2d9db13"/>
                  <w:lock w:val="sdtLocked"/>
                  <w:richText/>
                </w:sdtPr>
                <w:sdtContent>
                  <w:r>
                    <w:rPr>
                      <w:b/>
                      <w:bCs/>
                      <w:szCs w:val="24"/>
                      <w:lang w:eastAsia="lt-LT"/>
                    </w:rPr>
                    <w:t>3</w:t>
                  </w:r>
                </w:sdtContent>
              </w:sdt>
              <w:r>
                <w:rPr>
                  <w:b/>
                  <w:bCs/>
                  <w:szCs w:val="24"/>
                  <w:lang w:eastAsia="lt-LT"/>
                </w:rPr>
                <w:t>.</w:t>
                <w:tab/>
              </w:r>
              <w:r>
                <w:rPr>
                  <w:b/>
                  <w:bCs/>
                  <w:sz w:val="22"/>
                  <w:szCs w:val="24"/>
                  <w:lang w:eastAsia="lt-LT"/>
                </w:rPr>
                <w:t>Kaip šiuo metu yra reguliuojami įstatymo projekte aptarti teisiniai santykiai</w:t>
              </w:r>
            </w:p>
            <w:p>
              <w:pPr>
                <w:rPr>
                  <w:sz w:val="14"/>
                  <w:szCs w:val="14"/>
                </w:rPr>
              </w:pPr>
            </w:p>
            <w:p>
              <w:pPr>
                <w:spacing w:line="276" w:lineRule="auto"/>
                <w:ind w:firstLine="844"/>
                <w:jc w:val="both"/>
                <w:rPr>
                  <w:color w:val="000000"/>
                  <w:szCs w:val="24"/>
                </w:rPr>
              </w:pPr>
              <w:r>
                <w:rPr>
                  <w:color w:val="000000"/>
                  <w:szCs w:val="24"/>
                </w:rPr>
                <w:t xml:space="preserve">Šiuo metu Administracinių nusižengimų kodekso 278 straipsnyje numatyti lankymąsi miške reglamentuojančių teisės aktų reikalavimų pažeidimai gali būti prilyginami mažai pavojingai veiklai (tai numato Administracinių nusižengimų kodekso 12 straipsnio 1 dalis), todėl gali būti išvengta administracinės nuobaudos, o pareigūnas gali netraukti asmens administracinėn atsakomybėn, o  tik pareikšti asmeniui žodinę pastabą.</w:t>
              </w:r>
            </w:p>
            <w:p>
              <w:pPr>
                <w:spacing w:line="276" w:lineRule="auto"/>
                <w:ind w:firstLine="720"/>
                <w:jc w:val="both"/>
                <w:rPr>
                  <w:color w:val="000000"/>
                  <w:szCs w:val="24"/>
                </w:rPr>
              </w:pPr>
              <w:r>
                <w:rPr>
                  <w:color w:val="000000"/>
                  <w:szCs w:val="24"/>
                </w:rPr>
                <w:t>Šiuo metu Administracinių nusižengimų kodekso 278 straipsnis numato, kad:</w:t>
              </w:r>
            </w:p>
          </w:sdtContent>
        </w:sdt>
        <w:sdt>
          <w:sdtPr>
            <w:alias w:val="1 p."/>
            <w:tag w:val="part_debfcbc2a17d4ab698f328c4c1f68a76"/>
            <w:lock w:val="sdtLocked"/>
            <w:richText/>
          </w:sdtPr>
          <w:sdtContent>
            <w:p>
              <w:pPr>
                <w:shd w:val="clear" w:color="auto" w:fill="FFFFFF"/>
                <w:spacing w:line="276" w:lineRule="auto"/>
                <w:ind w:firstLine="720"/>
                <w:jc w:val="both"/>
                <w:rPr>
                  <w:color w:val="000000"/>
                  <w:szCs w:val="24"/>
                </w:rPr>
              </w:pPr>
              <w:sdt>
                <w:sdtPr>
                  <w:alias w:val="Numeris"/>
                  <w:tag w:val="nr_debfcbc2a17d4ab698f328c4c1f68a76"/>
                  <w:lock w:val="sdtLocked"/>
                  <w:richText/>
                </w:sdtPr>
                <w:sdtContent>
                  <w:r>
                    <w:rPr>
                      <w:color w:val="000000"/>
                      <w:szCs w:val="24"/>
                    </w:rPr>
                    <w:t>1</w:t>
                  </w:r>
                </w:sdtContent>
              </w:sdt>
              <w:r>
                <w:rPr>
                  <w:color w:val="000000"/>
                  <w:szCs w:val="24"/>
                </w:rPr>
                <w:t>. Lankymąsi miške reglamentuojančių teisės aktų reikalavimų pažeidimas užtraukia įspėjimą arba baudą asmenims nuo dvidešimt iki penkiasdešimt eurų ir baudą juridinių asmenų vadovams ar kitiems atsakingiems asmenims nuo penkiasdešimt iki vieno šimto dešimt eurų.</w:t>
              </w:r>
            </w:p>
          </w:sdtContent>
        </w:sdt>
        <w:sdt>
          <w:sdtPr>
            <w:alias w:val="2 p."/>
            <w:tag w:val="part_ec5cea8a0c804e56a5903ce289fc47ff"/>
            <w:lock w:val="sdtLocked"/>
            <w:richText/>
          </w:sdtPr>
          <w:sdtContent>
            <w:p>
              <w:pPr>
                <w:shd w:val="clear" w:color="auto" w:fill="FFFFFF"/>
                <w:spacing w:line="276" w:lineRule="auto"/>
                <w:ind w:firstLine="720"/>
                <w:jc w:val="both"/>
                <w:rPr>
                  <w:color w:val="000000"/>
                  <w:szCs w:val="24"/>
                </w:rPr>
              </w:pPr>
              <w:sdt>
                <w:sdtPr>
                  <w:alias w:val="Numeris"/>
                  <w:tag w:val="nr_ec5cea8a0c804e56a5903ce289fc47ff"/>
                  <w:lock w:val="sdtLocked"/>
                  <w:richText/>
                </w:sdtPr>
                <w:sdtContent>
                  <w:r>
                    <w:rPr>
                      <w:color w:val="000000"/>
                      <w:szCs w:val="24"/>
                    </w:rPr>
                    <w:t>2</w:t>
                  </w:r>
                </w:sdtContent>
              </w:sdt>
              <w:r>
                <w:rPr>
                  <w:color w:val="000000"/>
                  <w:szCs w:val="24"/>
                </w:rPr>
                <w:t xml:space="preserve">. Transporto priemonių statymas miške </w:t>
              </w:r>
              <w:r>
                <w:rPr>
                  <w:bCs/>
                  <w:color w:val="000000"/>
                  <w:szCs w:val="24"/>
                </w:rPr>
                <w:t xml:space="preserve">arba važiavimas transporto priemonėmis miškais ten, kur tai daryti draudžiama, </w:t>
              </w:r>
              <w:r>
                <w:rPr>
                  <w:color w:val="000000"/>
                  <w:szCs w:val="24"/>
                </w:rPr>
                <w:t>užtraukia baudą nuo dvidešimt iki penkiasdešimt eurų.</w:t>
              </w:r>
            </w:p>
            <w:p>
              <w:pPr>
                <w:shd w:val="clear" w:color="auto" w:fill="FFFFFF"/>
                <w:spacing w:line="276" w:lineRule="auto"/>
                <w:ind w:firstLine="720"/>
                <w:jc w:val="both"/>
                <w:rPr>
                  <w:bCs/>
                  <w:color w:val="000000"/>
                  <w:szCs w:val="24"/>
                </w:rPr>
              </w:pPr>
              <w:r>
                <w:rPr>
                  <w:bCs/>
                  <w:color w:val="000000"/>
                  <w:szCs w:val="24"/>
                </w:rPr>
                <w:t>Šiuo metu galiojančiame Administracinių nusižengimų kodekso 282 straipsnyje už neteisėtą važiavimą per žolinę dangą, miško paklotę ar vandens telkinių ledu motorinėmis transporto priemonėmis numato tokią administracinę atsakomybę:</w:t>
              </w:r>
            </w:p>
          </w:sdtContent>
        </w:sdt>
        <w:sdt>
          <w:sdtPr>
            <w:alias w:val="1 p."/>
            <w:tag w:val="part_aa6092ba0e04422a82902f29ec00bda2"/>
            <w:lock w:val="sdtLocked"/>
            <w:richText/>
          </w:sdtPr>
          <w:sdtContent>
            <w:p>
              <w:pPr>
                <w:shd w:val="clear" w:color="auto" w:fill="FFFFFF"/>
                <w:spacing w:line="276" w:lineRule="auto"/>
                <w:ind w:firstLine="720"/>
                <w:jc w:val="both"/>
                <w:rPr>
                  <w:color w:val="000000"/>
                  <w:szCs w:val="24"/>
                </w:rPr>
              </w:pPr>
              <w:sdt>
                <w:sdtPr>
                  <w:alias w:val="Numeris"/>
                  <w:tag w:val="nr_aa6092ba0e04422a82902f29ec00bda2"/>
                  <w:lock w:val="sdtLocked"/>
                  <w:richText/>
                </w:sdtPr>
                <w:sdtContent>
                  <w:r>
                    <w:rPr>
                      <w:color w:val="000000"/>
                      <w:szCs w:val="24"/>
                    </w:rPr>
                    <w:t>1</w:t>
                  </w:r>
                </w:sdtContent>
              </w:sdt>
              <w:r>
                <w:rPr>
                  <w:color w:val="000000"/>
                  <w:szCs w:val="24"/>
                </w:rPr>
                <w:t xml:space="preserve">. Neteisėtas važiavimas per žolinę dangą, </w:t>
              </w:r>
              <w:r>
                <w:rPr>
                  <w:bCs/>
                  <w:color w:val="000000"/>
                  <w:szCs w:val="24"/>
                </w:rPr>
                <w:t>miško paklotę</w:t>
              </w:r>
              <w:r>
                <w:rPr>
                  <w:color w:val="000000"/>
                  <w:szCs w:val="24"/>
                </w:rPr>
                <w:t xml:space="preserve"> ar vandens telkinių ledu motorinėmis transporto priemonėmis užtraukia įspėjimą arba baudą nuo dvidešimt iki vieno šimto keturiasdešimt eurų.</w:t>
              </w:r>
            </w:p>
          </w:sdtContent>
        </w:sdt>
        <w:sdt>
          <w:sdtPr>
            <w:alias w:val="2 p."/>
            <w:tag w:val="part_ea84e0ee67d6478ab3bf08dbd46a3051"/>
            <w:lock w:val="sdtLocked"/>
            <w:richText/>
          </w:sdtPr>
          <w:sdtContent>
            <w:p>
              <w:pPr>
                <w:shd w:val="clear" w:color="auto" w:fill="FFFFFF"/>
                <w:spacing w:line="276" w:lineRule="auto"/>
                <w:ind w:firstLine="720"/>
                <w:jc w:val="both"/>
                <w:rPr>
                  <w:color w:val="000000"/>
                  <w:szCs w:val="24"/>
                </w:rPr>
              </w:pPr>
              <w:sdt>
                <w:sdtPr>
                  <w:alias w:val="Numeris"/>
                  <w:tag w:val="nr_ea84e0ee67d6478ab3bf08dbd46a3051"/>
                  <w:lock w:val="sdtLocked"/>
                  <w:richText/>
                </w:sdtPr>
                <w:sdtContent>
                  <w:r>
                    <w:rPr>
                      <w:color w:val="000000"/>
                      <w:szCs w:val="24"/>
                    </w:rPr>
                    <w:t>2</w:t>
                  </w:r>
                </w:sdtContent>
              </w:sdt>
              <w:r>
                <w:rPr>
                  <w:color w:val="000000"/>
                  <w:szCs w:val="24"/>
                </w:rPr>
                <w:t xml:space="preserve">. Neteisėtas važiavimas per žolinę dangą, miško paklotę motorinėmis transporto priemonėmis, kai dėl to žolinė danga </w:t>
              </w:r>
              <w:r>
                <w:rPr>
                  <w:bCs/>
                  <w:color w:val="000000"/>
                  <w:szCs w:val="24"/>
                </w:rPr>
                <w:t>ar miško paklotė</w:t>
              </w:r>
              <w:r>
                <w:rPr>
                  <w:color w:val="000000"/>
                  <w:szCs w:val="24"/>
                </w:rPr>
                <w:t xml:space="preserve"> buvo sužalota ar sunaikinta, užtraukia baudą nuo vieno šimto keturiasdešimt iki trijų šimtų eurų.</w:t>
              </w:r>
            </w:p>
            <w:p>
              <w:pPr>
                <w:shd w:val="clear" w:color="auto" w:fill="FFFFFF"/>
                <w:spacing w:line="276" w:lineRule="auto"/>
                <w:ind w:firstLine="782"/>
                <w:jc w:val="both"/>
                <w:rPr>
                  <w:color w:val="000000"/>
                  <w:szCs w:val="24"/>
                </w:rPr>
              </w:pPr>
              <w:r>
                <w:rPr>
                  <w:szCs w:val="24"/>
                  <w:lang w:eastAsia="lt-LT"/>
                </w:rPr>
                <w:t xml:space="preserve">Taip pat pagal dabar galiojantį Administracinių nusižengimų kodekso 415 straipsnį, </w:t>
              </w:r>
              <w:r>
                <w:rPr>
                  <w:b/>
                  <w:bCs/>
                  <w:szCs w:val="24"/>
                  <w:lang w:eastAsia="lt-LT"/>
                </w:rPr>
                <w:t xml:space="preserve"> </w:t>
              </w:r>
              <w:r>
                <w:rPr>
                  <w:color w:val="000000"/>
                  <w:szCs w:val="24"/>
                </w:rPr>
                <w:t>transporto priemonių be valstybinio numerio ženklų (ženklo) vairavimas užtraukia baudą vairuotojams nuo šešiasdešimt iki vieno šimto dvidešimt eurų. O transporto priemonių su suklastotais, uždengtais ar kitaip užmaskuotais arba su pritvirtintais ne tai transporto priemonei išduotais valstybinio numerio ženklais (ženklu) vairavimas užtraukia baudą vairuotojams nuo dviejų šimtų keturiasdešimt iki trijų šimtų keturiasdešimt eurų.</w:t>
              </w:r>
            </w:p>
            <w:p>
              <w:pPr>
                <w:shd w:val="clear" w:color="auto" w:fill="FFFFFF"/>
                <w:spacing w:line="276" w:lineRule="auto"/>
                <w:ind w:firstLine="720"/>
                <w:jc w:val="both"/>
                <w:rPr>
                  <w:color w:val="000000"/>
                  <w:szCs w:val="24"/>
                </w:rPr>
              </w:pPr>
              <w:r>
                <w:rPr>
                  <w:color w:val="000000"/>
                  <w:szCs w:val="24"/>
                </w:rPr>
                <w:t xml:space="preserve">Šiuo metu galiojantys, Administracinių nusižengimų kodekso 278, 282, 415 straipsniuose numatyti baudų dydžiai neatgraso pažeidėjų nuo pakartotinių pažeidimų. </w:t>
              </w:r>
            </w:p>
            <w:p>
              <w:pPr>
                <w:shd w:val="clear" w:color="auto" w:fill="FFFFFF"/>
                <w:spacing w:line="276" w:lineRule="auto"/>
                <w:ind w:firstLine="720"/>
                <w:jc w:val="both"/>
                <w:rPr>
                  <w:color w:val="000000"/>
                  <w:szCs w:val="24"/>
                </w:rPr>
              </w:pPr>
              <w:r>
                <w:rPr>
                  <w:bCs/>
                  <w:color w:val="000000"/>
                  <w:szCs w:val="24"/>
                </w:rPr>
                <w:t xml:space="preserve">Šiuo metu </w:t>
              </w:r>
              <w:r>
                <w:rPr>
                  <w:color w:val="000000"/>
                  <w:szCs w:val="24"/>
                </w:rPr>
                <w:t xml:space="preserve">Administracinių nusižengimų kodekso </w:t>
              </w:r>
              <w:r>
                <w:rPr>
                  <w:bCs/>
                  <w:color w:val="000000"/>
                  <w:szCs w:val="24"/>
                </w:rPr>
                <w:t xml:space="preserve">278 straipsnyje nurodytus lankymąsi miške reglamentuojančių teisės aktų reikalavimų pažeidimus </w:t>
              </w:r>
              <w:r>
                <w:rPr>
                  <w:color w:val="000000"/>
                  <w:szCs w:val="24"/>
                </w:rPr>
                <w:t>tirti ir protokolus surašyti gali</w:t>
              </w:r>
              <w:r>
                <w:rPr>
                  <w:b/>
                  <w:bCs/>
                  <w:color w:val="000000"/>
                  <w:szCs w:val="24"/>
                </w:rPr>
                <w:t xml:space="preserve"> </w:t>
              </w:r>
              <w:r>
                <w:rPr>
                  <w:color w:val="000000"/>
                  <w:szCs w:val="24"/>
                </w:rPr>
                <w:t xml:space="preserve">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miškų urėdijos valstybiniai miškų pareigūnai, Valstybinės miškų tarnybos valstybiniai miškų pareigūnai, valstybinių rezervatų, valstybinių parkų ir biosferos rezervatų direkcijų ir saugomų teritorijų valstybinio valdymo ir kontrolės įstaigų valstybiniai saugomų teritorijų pareigūnai. </w:t>
              </w:r>
            </w:p>
            <w:p>
              <w:pPr>
                <w:shd w:val="clear" w:color="auto" w:fill="FFFFFF"/>
                <w:spacing w:line="276" w:lineRule="auto"/>
                <w:ind w:firstLine="720"/>
                <w:jc w:val="both"/>
                <w:rPr>
                  <w:bCs/>
                  <w:color w:val="000000"/>
                  <w:szCs w:val="24"/>
                </w:rPr>
              </w:pPr>
              <w:r>
                <w:rPr>
                  <w:color w:val="000000"/>
                  <w:szCs w:val="24"/>
                </w:rPr>
                <w:t xml:space="preserve">Kadangi šiuo metu lankymąsi miške reglamentuojantys teisės aktų pažeidimai prilyginami mažai pavojingai veiklai policijos pareigūnai bei </w:t>
              </w:r>
              <w:r>
                <w:rPr>
                  <w:szCs w:val="24"/>
                </w:rPr>
                <w:t>Valstybės sienos apsaugos tarnybos prie Vidaus reikalų ministerijos pareigūnai neatlieka</w:t>
              </w:r>
              <w:r>
                <w:rPr>
                  <w:color w:val="000000"/>
                  <w:szCs w:val="24"/>
                </w:rPr>
                <w:t xml:space="preserve"> tyrimo ir protokolų surašymo pagal Administracinių nusižengimų kodekso 278 straipsnį. </w:t>
              </w:r>
            </w:p>
            <w:p>
              <w:pPr>
                <w:shd w:val="clear" w:color="auto" w:fill="FFFFFF"/>
                <w:spacing w:line="276" w:lineRule="auto"/>
                <w:ind w:left="927" w:hanging="360"/>
                <w:jc w:val="both"/>
                <w:rPr>
                  <w:color w:val="000000"/>
                  <w:szCs w:val="24"/>
                </w:rPr>
              </w:pPr>
            </w:p>
          </w:sdtContent>
        </w:sdt>
        <w:sdt>
          <w:sdtPr>
            <w:alias w:val="4 p."/>
            <w:tag w:val="part_124ff2bc2fc240628bb90da082e15c58"/>
            <w:lock w:val="sdtLocked"/>
            <w:richText/>
          </w:sdtPr>
          <w:sdtContent>
            <w:p>
              <w:pPr>
                <w:shd w:val="clear" w:color="auto" w:fill="FFFFFF"/>
                <w:spacing w:line="276" w:lineRule="auto"/>
                <w:ind w:left="927" w:hanging="360"/>
                <w:jc w:val="both"/>
                <w:rPr>
                  <w:b/>
                  <w:bCs/>
                  <w:sz w:val="22"/>
                  <w:szCs w:val="24"/>
                  <w:lang w:eastAsia="lt-LT"/>
                </w:rPr>
              </w:pPr>
              <w:sdt>
                <w:sdtPr>
                  <w:alias w:val="Numeris"/>
                  <w:tag w:val="nr_124ff2bc2fc240628bb90da082e15c58"/>
                  <w:lock w:val="sdtLocked"/>
                  <w:richText/>
                </w:sdtPr>
                <w:sdtContent>
                  <w:r>
                    <w:rPr>
                      <w:b/>
                      <w:bCs/>
                      <w:szCs w:val="24"/>
                      <w:lang w:eastAsia="lt-LT"/>
                    </w:rPr>
                    <w:t>4</w:t>
                  </w:r>
                </w:sdtContent>
              </w:sdt>
              <w:r>
                <w:rPr>
                  <w:b/>
                  <w:bCs/>
                  <w:szCs w:val="24"/>
                  <w:lang w:eastAsia="lt-LT"/>
                </w:rPr>
                <w:t>.</w:t>
                <w:tab/>
              </w:r>
              <w:r>
                <w:rPr>
                  <w:b/>
                  <w:bCs/>
                  <w:sz w:val="22"/>
                  <w:szCs w:val="24"/>
                  <w:lang w:eastAsia="lt-LT"/>
                </w:rPr>
                <w:t>Kokios siūlomos naujos teisinio reguliavimo nuostatos ir kokių teigiamų rezultatų laukiama</w:t>
              </w:r>
            </w:p>
            <w:p>
              <w:pPr>
                <w:rPr>
                  <w:sz w:val="14"/>
                  <w:szCs w:val="14"/>
                </w:rPr>
              </w:pPr>
            </w:p>
            <w:p>
              <w:pPr>
                <w:shd w:val="clear" w:color="auto" w:fill="FFFFFF"/>
                <w:spacing w:line="276" w:lineRule="auto"/>
                <w:ind w:left="927"/>
                <w:jc w:val="both"/>
                <w:rPr>
                  <w:b/>
                  <w:bCs/>
                  <w:szCs w:val="24"/>
                  <w:lang w:eastAsia="lt-LT"/>
                </w:rPr>
              </w:pPr>
            </w:p>
            <w:p>
              <w:pPr>
                <w:shd w:val="clear" w:color="auto" w:fill="FFFFFF"/>
                <w:spacing w:line="276" w:lineRule="auto"/>
                <w:ind w:firstLine="620"/>
                <w:jc w:val="both"/>
                <w:rPr>
                  <w:color w:val="000000"/>
                  <w:szCs w:val="24"/>
                </w:rPr>
              </w:pPr>
              <w:r>
                <w:rPr>
                  <w:color w:val="000000"/>
                  <w:szCs w:val="24"/>
                </w:rPr>
                <w:t xml:space="preserve">Šiuo metu galiojantys, Administracinių nusižengimų kodekso 278, 282, 415 straipsniuose numatyti baudų dydžiai neatgraso pažeidėjų nuo pakartotinių pažeidimų. Todėl siūloma: </w:t>
              </w:r>
            </w:p>
          </w:sdtContent>
        </w:sdt>
        <w:sdt>
          <w:sdtPr>
            <w:alias w:val="1 p."/>
            <w:tag w:val="part_ca4d6c68895442229cb5b03e3cb4894f"/>
            <w:lock w:val="sdtLocked"/>
            <w:richText/>
          </w:sdtPr>
          <w:sdtContent>
            <w:p>
              <w:pPr>
                <w:shd w:val="clear" w:color="auto" w:fill="FFFFFF"/>
                <w:spacing w:line="276" w:lineRule="auto"/>
                <w:ind w:left="720" w:hanging="360"/>
                <w:jc w:val="both"/>
                <w:rPr>
                  <w:color w:val="000000"/>
                  <w:szCs w:val="24"/>
                </w:rPr>
              </w:pPr>
              <w:sdt>
                <w:sdtPr>
                  <w:alias w:val="Numeris"/>
                  <w:tag w:val="nr_ca4d6c68895442229cb5b03e3cb4894f"/>
                  <w:lock w:val="sdtLocked"/>
                  <w:richText/>
                </w:sdtPr>
                <w:sdtContent>
                  <w:r>
                    <w:rPr>
                      <w:color w:val="000000"/>
                      <w:szCs w:val="24"/>
                    </w:rPr>
                    <w:t>1</w:t>
                  </w:r>
                </w:sdtContent>
              </w:sdt>
              <w:r>
                <w:rPr>
                  <w:color w:val="000000"/>
                  <w:szCs w:val="24"/>
                </w:rPr>
                <w:t>.</w:t>
                <w:tab/>
                <w:t>278 straipsnį, kuriame nurodomi lankymąsi miške reglamentuojantys teisės aktų pažeidimai, nelaikyti mažai pavojingai veikla. Tai įtvirtinama Administracinių nusižengimų kodekso 12 straipsnio 1 dalies pakeitime);</w:t>
              </w:r>
            </w:p>
          </w:sdtContent>
        </w:sdt>
        <w:sdt>
          <w:sdtPr>
            <w:alias w:val="2 p."/>
            <w:tag w:val="part_3e3be5166fcb4cbfbcf9b14f914ac90e"/>
            <w:lock w:val="sdtLocked"/>
            <w:richText/>
          </w:sdtPr>
          <w:sdtContent>
            <w:p>
              <w:pPr>
                <w:shd w:val="clear" w:color="auto" w:fill="FFFFFF"/>
                <w:spacing w:line="276" w:lineRule="auto"/>
                <w:ind w:left="720" w:hanging="360"/>
                <w:jc w:val="both"/>
                <w:rPr>
                  <w:bCs/>
                  <w:color w:val="000000"/>
                  <w:szCs w:val="24"/>
                </w:rPr>
              </w:pPr>
              <w:sdt>
                <w:sdtPr>
                  <w:alias w:val="Numeris"/>
                  <w:tag w:val="nr_3e3be5166fcb4cbfbcf9b14f914ac90e"/>
                  <w:lock w:val="sdtLocked"/>
                  <w:richText/>
                </w:sdtPr>
                <w:sdtContent>
                  <w:r>
                    <w:rPr>
                      <w:bCs/>
                      <w:color w:val="000000"/>
                      <w:szCs w:val="24"/>
                    </w:rPr>
                    <w:t>2</w:t>
                  </w:r>
                </w:sdtContent>
              </w:sdt>
              <w:r>
                <w:rPr>
                  <w:bCs/>
                  <w:color w:val="000000"/>
                  <w:szCs w:val="24"/>
                </w:rPr>
                <w:t>.</w:t>
                <w:tab/>
                <w:t xml:space="preserve">278 straipsnio pakeitimu siūloma už važiavimą transporto priemonėmis miškais ten, kur tai daryti draudžiama, numatyti baudą nuo penkių šimtų iki tūkstančio penkių šimtų eurų. Už pakartotinį nusižengimą siūloma baudą didinti nuo vieno tūkstančio penkių šimtų iki trijų tūkstančių eurų. Taip pat už šį </w:t>
              </w:r>
              <w:r>
                <w:rPr>
                  <w:bCs/>
                  <w:color w:val="000000"/>
                  <w:szCs w:val="24"/>
                  <w:shd w:val="clear" w:color="auto" w:fill="FFFFFF"/>
                </w:rPr>
                <w:t>nusižengimą siūloma privalomai</w:t>
              </w:r>
              <w:r>
                <w:rPr>
                  <w:bCs/>
                  <w:i/>
                  <w:iCs/>
                  <w:color w:val="000000"/>
                  <w:szCs w:val="24"/>
                  <w:shd w:val="clear" w:color="auto" w:fill="FFFFFF"/>
                </w:rPr>
                <w:t> </w:t>
              </w:r>
              <w:r>
                <w:rPr>
                  <w:bCs/>
                  <w:color w:val="000000"/>
                  <w:szCs w:val="24"/>
                  <w:shd w:val="clear" w:color="auto" w:fill="FFFFFF"/>
                </w:rPr>
                <w:t xml:space="preserve">skirti transporto priemonių konfiskavimą. </w:t>
              </w:r>
            </w:p>
          </w:sdtContent>
        </w:sdt>
        <w:sdt>
          <w:sdtPr>
            <w:alias w:val="3 p."/>
            <w:tag w:val="part_bd66e489f92e4962ba012f738898293e"/>
            <w:lock w:val="sdtLocked"/>
            <w:richText/>
          </w:sdtPr>
          <w:sdtContent>
            <w:p>
              <w:pPr>
                <w:shd w:val="clear" w:color="auto" w:fill="FFFFFF"/>
                <w:spacing w:line="276" w:lineRule="auto"/>
                <w:ind w:left="720" w:hanging="360"/>
                <w:jc w:val="both"/>
                <w:rPr>
                  <w:bCs/>
                  <w:color w:val="000000"/>
                  <w:szCs w:val="24"/>
                </w:rPr>
              </w:pPr>
              <w:sdt>
                <w:sdtPr>
                  <w:alias w:val="Numeris"/>
                  <w:tag w:val="nr_bd66e489f92e4962ba012f738898293e"/>
                  <w:lock w:val="sdtLocked"/>
                  <w:richText/>
                </w:sdtPr>
                <w:sdtContent>
                  <w:r>
                    <w:rPr>
                      <w:bCs/>
                      <w:color w:val="000000"/>
                      <w:szCs w:val="24"/>
                    </w:rPr>
                    <w:t>3</w:t>
                  </w:r>
                </w:sdtContent>
              </w:sdt>
              <w:r>
                <w:rPr>
                  <w:bCs/>
                  <w:color w:val="000000"/>
                  <w:szCs w:val="24"/>
                </w:rPr>
                <w:t>.</w:t>
                <w:tab/>
                <w:t xml:space="preserve">282 straipsnio pakeitimu už neteisėtą važiavimą per miško paklotę motorinėmis transporto priemonėmis siūloma bausti nuo penkių šimtų iki tūkstančio penkių šimtų eurų bauda, o už pakartotinį nusižengimą </w:t>
              </w:r>
              <w:r>
                <w:rPr>
                  <w:color w:val="000000"/>
                  <w:szCs w:val="24"/>
                </w:rPr>
                <w:t xml:space="preserve">– </w:t>
              </w:r>
              <w:r>
                <w:rPr>
                  <w:bCs/>
                  <w:color w:val="000000"/>
                  <w:szCs w:val="24"/>
                </w:rPr>
                <w:t xml:space="preserve">nuo vieno tūkstančio penkių šimtų iki trijų tūkstančių eurų siekiančia bauda. Už šį nusižengimą taip pat siūloma </w:t>
              </w:r>
              <w:r>
                <w:rPr>
                  <w:bCs/>
                  <w:color w:val="000000"/>
                  <w:szCs w:val="24"/>
                  <w:shd w:val="clear" w:color="auto" w:fill="FFFFFF"/>
                </w:rPr>
                <w:t>privalomai</w:t>
              </w:r>
              <w:r>
                <w:rPr>
                  <w:bCs/>
                  <w:i/>
                  <w:iCs/>
                  <w:color w:val="000000"/>
                  <w:szCs w:val="24"/>
                  <w:shd w:val="clear" w:color="auto" w:fill="FFFFFF"/>
                </w:rPr>
                <w:t> </w:t>
              </w:r>
              <w:r>
                <w:rPr>
                  <w:bCs/>
                  <w:color w:val="000000"/>
                  <w:szCs w:val="24"/>
                  <w:shd w:val="clear" w:color="auto" w:fill="FFFFFF"/>
                </w:rPr>
                <w:t>skirti transporto priemonių konfiskavimą.</w:t>
              </w:r>
            </w:p>
          </w:sdtContent>
        </w:sdt>
        <w:sdt>
          <w:sdtPr>
            <w:alias w:val="4 p."/>
            <w:tag w:val="part_982881e47ef74b6ea0a0231bc08681f8"/>
            <w:lock w:val="sdtLocked"/>
            <w:richText/>
          </w:sdtPr>
          <w:sdtContent>
            <w:p>
              <w:pPr>
                <w:shd w:val="clear" w:color="auto" w:fill="FFFFFF"/>
                <w:spacing w:line="276" w:lineRule="auto"/>
                <w:ind w:left="720" w:hanging="360"/>
                <w:jc w:val="both"/>
                <w:rPr>
                  <w:color w:val="000000"/>
                  <w:szCs w:val="24"/>
                </w:rPr>
              </w:pPr>
              <w:sdt>
                <w:sdtPr>
                  <w:alias w:val="Numeris"/>
                  <w:tag w:val="nr_982881e47ef74b6ea0a0231bc08681f8"/>
                  <w:lock w:val="sdtLocked"/>
                  <w:richText/>
                </w:sdtPr>
                <w:sdtContent>
                  <w:r>
                    <w:rPr>
                      <w:color w:val="000000"/>
                      <w:szCs w:val="24"/>
                    </w:rPr>
                    <w:t>4</w:t>
                  </w:r>
                </w:sdtContent>
              </w:sdt>
              <w:r>
                <w:rPr>
                  <w:color w:val="000000"/>
                  <w:szCs w:val="24"/>
                </w:rPr>
                <w:t>.</w:t>
                <w:tab/>
              </w:r>
              <w:r>
                <w:rPr>
                  <w:szCs w:val="24"/>
                  <w:lang w:eastAsia="lt-LT"/>
                </w:rPr>
                <w:t xml:space="preserve">Administracinių nusižengimų kodekso 415 straipsnio pataisomis siūloma, kad už </w:t>
              </w:r>
              <w:r>
                <w:rPr>
                  <w:color w:val="000000"/>
                  <w:szCs w:val="24"/>
                </w:rPr>
                <w:t xml:space="preserve">transporto priemonių be valstybinio numerio ženklų (ženklo), transporto priemonių su suklastotais, uždengtais ar kitaip užmaskuotais arba su pritvirtintais ne tai transporto priemonei išduotais valstybinio numerio ženklais (ženklu) vairavimą vairuotojams būtų skiriama bauda nuo  trijų šimtų iki šešių šimtų eurų. </w:t>
              </w:r>
            </w:p>
          </w:sdtContent>
        </w:sdt>
        <w:sdt>
          <w:sdtPr>
            <w:alias w:val="5 p."/>
            <w:tag w:val="part_9f53567dce5f4b7d8d4e4a799d44969d"/>
            <w:lock w:val="sdtLocked"/>
            <w:richText/>
          </w:sdtPr>
          <w:sdtContent>
            <w:p>
              <w:pPr>
                <w:shd w:val="clear" w:color="auto" w:fill="FFFFFF"/>
                <w:spacing w:line="276" w:lineRule="auto"/>
                <w:ind w:left="720" w:hanging="360"/>
                <w:jc w:val="both"/>
                <w:rPr>
                  <w:bCs/>
                  <w:color w:val="000000"/>
                  <w:szCs w:val="24"/>
                </w:rPr>
              </w:pPr>
              <w:sdt>
                <w:sdtPr>
                  <w:alias w:val="Numeris"/>
                  <w:tag w:val="nr_9f53567dce5f4b7d8d4e4a799d44969d"/>
                  <w:lock w:val="sdtLocked"/>
                  <w:richText/>
                </w:sdtPr>
                <w:sdtContent>
                  <w:r>
                    <w:rPr>
                      <w:bCs/>
                      <w:color w:val="000000"/>
                      <w:szCs w:val="24"/>
                    </w:rPr>
                    <w:t>5</w:t>
                  </w:r>
                </w:sdtContent>
              </w:sdt>
              <w:r>
                <w:rPr>
                  <w:bCs/>
                  <w:color w:val="000000"/>
                  <w:szCs w:val="24"/>
                </w:rPr>
                <w:t>.</w:t>
                <w:tab/>
              </w:r>
              <w:r>
                <w:rPr>
                  <w:color w:val="000000"/>
                  <w:szCs w:val="24"/>
                </w:rPr>
                <w:t xml:space="preserve">Siūloma policijos ir </w:t>
              </w:r>
              <w:r>
                <w:rPr>
                  <w:szCs w:val="24"/>
                </w:rPr>
                <w:t xml:space="preserve">Valstybės sienos apsaugos tarnybos prie Vidaus reikalų ministerijos pareigūnams </w:t>
              </w:r>
              <w:r>
                <w:rPr>
                  <w:color w:val="000000"/>
                  <w:szCs w:val="24"/>
                </w:rPr>
                <w:t xml:space="preserve">leisti tirti ir išrašyti administracinio nusižengimo protokolą už lankymąsi miške reglamentuojančių teisės aktų pažeidimus. </w:t>
              </w:r>
              <w:r>
                <w:rPr>
                  <w:szCs w:val="24"/>
                </w:rPr>
                <w:t xml:space="preserve">Valstybės sienos apsaugos tarnybos pareigūnai, patruliuodami miškuose dažnai susiduria su neteisėtai miškais transporto priemonėmis važinėjančiais pažeidėjais, tačiau neturi galių tirti šio pobūdžio pažeidimų ir išrašyti už juos administracinio nusižengimo protokolą. </w:t>
              </w:r>
            </w:p>
            <w:p>
              <w:pPr>
                <w:shd w:val="clear" w:color="auto" w:fill="FFFFFF"/>
                <w:spacing w:line="276" w:lineRule="auto"/>
                <w:jc w:val="both"/>
                <w:rPr>
                  <w:b/>
                  <w:bCs/>
                  <w:sz w:val="22"/>
                  <w:szCs w:val="24"/>
                  <w:lang w:eastAsia="lt-LT"/>
                </w:rPr>
              </w:pPr>
            </w:p>
            <w:p>
              <w:pPr>
                <w:rPr>
                  <w:sz w:val="14"/>
                  <w:szCs w:val="14"/>
                </w:rPr>
              </w:pPr>
            </w:p>
          </w:sdtContent>
        </w:sdt>
        <w:sdt>
          <w:sdtPr>
            <w:alias w:val="5 p."/>
            <w:tag w:val="part_cd3d0696f94a498294e2ba1b324bf470"/>
            <w:lock w:val="sdtLocked"/>
            <w:richText/>
          </w:sdtPr>
          <w:sdtContent>
            <w:p>
              <w:pPr>
                <w:shd w:val="clear" w:color="auto" w:fill="FFFFFF"/>
                <w:spacing w:line="276" w:lineRule="auto"/>
                <w:ind w:firstLine="567"/>
                <w:jc w:val="both"/>
                <w:rPr>
                  <w:b/>
                  <w:bCs/>
                  <w:szCs w:val="24"/>
                  <w:lang w:eastAsia="lt-LT"/>
                </w:rPr>
              </w:pPr>
              <w:sdt>
                <w:sdtPr>
                  <w:alias w:val="Numeris"/>
                  <w:tag w:val="nr_cd3d0696f94a498294e2ba1b324bf470"/>
                  <w:lock w:val="sdtLocked"/>
                  <w:richText/>
                </w:sdtPr>
                <w:sdtContent>
                  <w:r>
                    <w:rPr>
                      <w:b/>
                      <w:bCs/>
                      <w:szCs w:val="24"/>
                      <w:lang w:eastAsia="lt-LT"/>
                    </w:rPr>
                    <w:t>5</w:t>
                  </w:r>
                </w:sdtContent>
              </w:sdt>
              <w:r>
                <w:rPr>
                  <w:b/>
                  <w:bCs/>
                  <w:szCs w:val="24"/>
                  <w:lang w:eastAsia="lt-LT"/>
                </w:rPr>
                <w:t xml:space="preserve">.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 </w:t>
              </w:r>
            </w:p>
            <w:p>
              <w:pPr>
                <w:shd w:val="clear" w:color="auto" w:fill="FFFFFF"/>
                <w:spacing w:line="276" w:lineRule="auto"/>
                <w:ind w:firstLine="567"/>
                <w:jc w:val="both"/>
                <w:rPr>
                  <w:szCs w:val="24"/>
                  <w:lang w:eastAsia="lt-LT"/>
                </w:rPr>
              </w:pPr>
              <w:r>
                <w:rPr>
                  <w:szCs w:val="24"/>
                  <w:lang w:eastAsia="lt-LT"/>
                </w:rPr>
                <w:t xml:space="preserve">Neigiamų priimto įstatymo pasekmių nenumatoma. </w:t>
              </w:r>
            </w:p>
            <w:p>
              <w:pPr>
                <w:shd w:val="clear" w:color="auto" w:fill="FFFFFF"/>
                <w:spacing w:line="276" w:lineRule="auto"/>
                <w:ind w:firstLine="567"/>
                <w:jc w:val="both"/>
                <w:rPr>
                  <w:szCs w:val="24"/>
                  <w:lang w:eastAsia="lt-LT"/>
                </w:rPr>
              </w:pPr>
            </w:p>
          </w:sdtContent>
        </w:sdt>
        <w:sdt>
          <w:sdtPr>
            <w:alias w:val="6 p."/>
            <w:tag w:val="part_ec64e8381b304d59abc828095355ff6b"/>
            <w:lock w:val="sdtLocked"/>
            <w:richText/>
          </w:sdtPr>
          <w:sdtContent>
            <w:p>
              <w:pPr>
                <w:shd w:val="clear" w:color="auto" w:fill="FFFFFF"/>
                <w:spacing w:line="276" w:lineRule="auto"/>
                <w:ind w:firstLine="567"/>
                <w:jc w:val="both"/>
                <w:rPr>
                  <w:szCs w:val="24"/>
                  <w:lang w:eastAsia="lt-LT"/>
                </w:rPr>
              </w:pPr>
              <w:sdt>
                <w:sdtPr>
                  <w:alias w:val="Numeris"/>
                  <w:tag w:val="nr_ec64e8381b304d59abc828095355ff6b"/>
                  <w:lock w:val="sdtLocked"/>
                  <w:richText/>
                </w:sdtPr>
                <w:sdtContent>
                  <w:r>
                    <w:rPr>
                      <w:b/>
                      <w:bCs/>
                      <w:szCs w:val="24"/>
                      <w:lang w:eastAsia="lt-LT"/>
                    </w:rPr>
                    <w:t>6</w:t>
                  </w:r>
                </w:sdtContent>
              </w:sdt>
              <w:r>
                <w:rPr>
                  <w:b/>
                  <w:bCs/>
                  <w:szCs w:val="24"/>
                  <w:lang w:eastAsia="lt-LT"/>
                </w:rPr>
                <w:t>. Kokią įtaką priimtas įstatymas turės kriminogeninei situacijai, korupcijai</w:t>
              </w:r>
            </w:p>
            <w:p>
              <w:pPr>
                <w:shd w:val="clear" w:color="auto" w:fill="FFFFFF"/>
                <w:spacing w:line="276" w:lineRule="auto"/>
                <w:ind w:left="360" w:firstLine="207"/>
                <w:jc w:val="both"/>
                <w:rPr>
                  <w:szCs w:val="24"/>
                  <w:lang w:eastAsia="lt-LT"/>
                </w:rPr>
              </w:pPr>
              <w:r>
                <w:rPr>
                  <w:szCs w:val="24"/>
                  <w:lang w:eastAsia="lt-LT"/>
                </w:rPr>
                <w:t xml:space="preserve">Priimtas Įstatymo projektas neigiamos įtakos kriminogeninei situacijai ir korupcijai neturės. </w:t>
              </w:r>
            </w:p>
            <w:p>
              <w:pPr>
                <w:shd w:val="clear" w:color="auto" w:fill="FFFFFF"/>
                <w:spacing w:line="276" w:lineRule="auto"/>
                <w:ind w:left="360" w:firstLine="269"/>
                <w:jc w:val="both"/>
                <w:rPr>
                  <w:szCs w:val="24"/>
                  <w:lang w:eastAsia="lt-LT"/>
                </w:rPr>
              </w:pPr>
            </w:p>
          </w:sdtContent>
        </w:sdt>
        <w:sdt>
          <w:sdtPr>
            <w:alias w:val="7 p."/>
            <w:tag w:val="part_7e729232d696476d8ce9e06922038bd5"/>
            <w:lock w:val="sdtLocked"/>
            <w:richText/>
          </w:sdtPr>
          <w:sdtContent>
            <w:p>
              <w:pPr>
                <w:shd w:val="clear" w:color="auto" w:fill="FFFFFF"/>
                <w:spacing w:line="276" w:lineRule="auto"/>
                <w:ind w:firstLine="620"/>
                <w:jc w:val="both"/>
                <w:rPr>
                  <w:szCs w:val="24"/>
                  <w:lang w:eastAsia="lt-LT"/>
                </w:rPr>
              </w:pPr>
              <w:sdt>
                <w:sdtPr>
                  <w:alias w:val="Numeris"/>
                  <w:tag w:val="nr_7e729232d696476d8ce9e06922038bd5"/>
                  <w:lock w:val="sdtLocked"/>
                  <w:richText/>
                </w:sdtPr>
                <w:sdtContent>
                  <w:r>
                    <w:rPr>
                      <w:b/>
                      <w:bCs/>
                      <w:szCs w:val="24"/>
                      <w:lang w:eastAsia="lt-LT"/>
                    </w:rPr>
                    <w:t>7</w:t>
                  </w:r>
                </w:sdtContent>
              </w:sdt>
              <w:r>
                <w:rPr>
                  <w:b/>
                  <w:bCs/>
                  <w:szCs w:val="24"/>
                  <w:lang w:eastAsia="lt-LT"/>
                </w:rPr>
                <w:t>. Kaip įstatymo įgyvendinimas atsilieps verslo sąlygoms ir jo plėtrai</w:t>
              </w:r>
            </w:p>
            <w:p>
              <w:pPr>
                <w:shd w:val="clear" w:color="auto" w:fill="FFFFFF"/>
                <w:spacing w:line="276" w:lineRule="auto"/>
                <w:ind w:left="360" w:firstLine="207"/>
                <w:jc w:val="both"/>
                <w:rPr>
                  <w:szCs w:val="24"/>
                  <w:lang w:eastAsia="lt-LT"/>
                </w:rPr>
              </w:pPr>
              <w:r>
                <w:rPr>
                  <w:szCs w:val="24"/>
                  <w:lang w:eastAsia="lt-LT"/>
                </w:rPr>
                <w:t xml:space="preserve">Priimtas Įstatymo projektas neturės įtakos verslo sąlygoms ir jų plėtrai. </w:t>
              </w:r>
            </w:p>
            <w:p>
              <w:pPr>
                <w:shd w:val="clear" w:color="auto" w:fill="FFFFFF"/>
                <w:spacing w:line="276" w:lineRule="auto"/>
                <w:jc w:val="both"/>
                <w:rPr>
                  <w:szCs w:val="24"/>
                  <w:lang w:eastAsia="lt-LT"/>
                </w:rPr>
              </w:pPr>
            </w:p>
          </w:sdtContent>
        </w:sdt>
        <w:sdt>
          <w:sdtPr>
            <w:alias w:val="8 p."/>
            <w:tag w:val="part_3dc9de85a19b4ead9b496a11b1c4e739"/>
            <w:lock w:val="sdtLocked"/>
            <w:richText/>
          </w:sdtPr>
          <w:sdtContent>
            <w:p>
              <w:pPr>
                <w:shd w:val="clear" w:color="auto" w:fill="FFFFFF"/>
                <w:spacing w:line="276" w:lineRule="auto"/>
                <w:ind w:firstLine="620"/>
                <w:jc w:val="both"/>
                <w:rPr>
                  <w:szCs w:val="24"/>
                  <w:lang w:eastAsia="lt-LT"/>
                </w:rPr>
              </w:pPr>
              <w:sdt>
                <w:sdtPr>
                  <w:alias w:val="Numeris"/>
                  <w:tag w:val="nr_3dc9de85a19b4ead9b496a11b1c4e739"/>
                  <w:lock w:val="sdtLocked"/>
                  <w:richText/>
                </w:sdtPr>
                <w:sdtContent>
                  <w:r>
                    <w:rPr>
                      <w:b/>
                      <w:bCs/>
                      <w:szCs w:val="24"/>
                      <w:lang w:eastAsia="lt-LT"/>
                    </w:rPr>
                    <w:t>8</w:t>
                  </w:r>
                </w:sdtContent>
              </w:sdt>
              <w:r>
                <w:rPr>
                  <w:b/>
                  <w:bCs/>
                  <w:szCs w:val="24"/>
                  <w:lang w:eastAsia="lt-LT"/>
                </w:rPr>
                <w:t>. Įstatymo inkorporavimas į teisinę sistemą, kokius teisės aktus būtina priimti, kokius galiojančius teisės aktus reikia pakeisti ar pripažinti netekusiais galios:</w:t>
              </w:r>
            </w:p>
            <w:p>
              <w:pPr>
                <w:shd w:val="clear" w:color="auto" w:fill="FFFFFF"/>
                <w:spacing w:line="276" w:lineRule="auto"/>
                <w:ind w:firstLine="868"/>
                <w:jc w:val="both"/>
                <w:rPr>
                  <w:color w:val="FF0000"/>
                  <w:szCs w:val="24"/>
                  <w:lang w:eastAsia="lt-LT"/>
                </w:rPr>
              </w:pPr>
              <w:r>
                <w:rPr>
                  <w:color w:val="000000"/>
                  <w:szCs w:val="24"/>
                </w:rPr>
                <w:t>Priimti naujų, pakeisti ar pripažinti netekusiais galios galiojančių įstatymų nereikės.</w:t>
              </w:r>
            </w:p>
            <w:p>
              <w:pPr>
                <w:shd w:val="clear" w:color="auto" w:fill="FFFFFF"/>
                <w:spacing w:line="276" w:lineRule="auto"/>
                <w:jc w:val="both"/>
                <w:rPr>
                  <w:szCs w:val="24"/>
                  <w:lang w:eastAsia="lt-LT"/>
                </w:rPr>
              </w:pPr>
            </w:p>
          </w:sdtContent>
        </w:sdt>
        <w:sdt>
          <w:sdtPr>
            <w:alias w:val="9 p."/>
            <w:tag w:val="part_9a123160fea34ceebef4405682935966"/>
            <w:lock w:val="sdtLocked"/>
            <w:richText/>
          </w:sdtPr>
          <w:sdtContent>
            <w:p>
              <w:pPr>
                <w:shd w:val="clear" w:color="auto" w:fill="FFFFFF"/>
                <w:spacing w:line="276" w:lineRule="auto"/>
                <w:ind w:firstLine="620"/>
                <w:jc w:val="both"/>
                <w:rPr>
                  <w:szCs w:val="24"/>
                  <w:lang w:eastAsia="lt-LT"/>
                </w:rPr>
              </w:pPr>
              <w:sdt>
                <w:sdtPr>
                  <w:alias w:val="Numeris"/>
                  <w:tag w:val="nr_9a123160fea34ceebef4405682935966"/>
                  <w:lock w:val="sdtLocked"/>
                  <w:richText/>
                </w:sdtPr>
                <w:sdtContent>
                  <w:r>
                    <w:rPr>
                      <w:b/>
                      <w:bCs/>
                      <w:szCs w:val="24"/>
                      <w:lang w:eastAsia="lt-LT"/>
                    </w:rPr>
                    <w:t>9</w:t>
                  </w:r>
                </w:sdtContent>
              </w:sdt>
              <w:r>
                <w:rPr>
                  <w:b/>
                  <w:bCs/>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shd w:val="clear" w:color="auto" w:fill="FFFFFF"/>
                <w:spacing w:line="276" w:lineRule="auto"/>
                <w:ind w:firstLine="620"/>
                <w:jc w:val="both"/>
                <w:rPr>
                  <w:szCs w:val="24"/>
                  <w:lang w:eastAsia="lt-LT"/>
                </w:rPr>
              </w:pPr>
              <w:r>
                <w:rPr>
                  <w:szCs w:val="24"/>
                  <w:lang w:eastAsia="lt-LT"/>
                </w:rPr>
                <w:t>Įstatymo projektas atitinka Lietuvos Respublikos valstybinės kalbos įstatymo ir Lietuvos Respublikos teisėkūros pagrindų įstatymo reikalavimus.</w:t>
              </w:r>
            </w:p>
            <w:p>
              <w:pPr>
                <w:shd w:val="clear" w:color="auto" w:fill="FFFFFF"/>
                <w:spacing w:line="276" w:lineRule="auto"/>
                <w:ind w:firstLine="62"/>
                <w:jc w:val="both"/>
                <w:rPr>
                  <w:szCs w:val="24"/>
                  <w:lang w:eastAsia="lt-LT"/>
                </w:rPr>
              </w:pPr>
            </w:p>
          </w:sdtContent>
        </w:sdt>
        <w:sdt>
          <w:sdtPr>
            <w:alias w:val="10 p."/>
            <w:tag w:val="part_6e62d7c8b7e64f039bfb5230d1c02166"/>
            <w:lock w:val="sdtLocked"/>
            <w:richText/>
          </w:sdtPr>
          <w:sdtContent>
            <w:p>
              <w:pPr>
                <w:shd w:val="clear" w:color="auto" w:fill="FFFFFF"/>
                <w:spacing w:line="276" w:lineRule="auto"/>
                <w:ind w:firstLine="567"/>
                <w:jc w:val="both"/>
                <w:rPr>
                  <w:szCs w:val="24"/>
                  <w:lang w:eastAsia="lt-LT"/>
                </w:rPr>
              </w:pPr>
              <w:sdt>
                <w:sdtPr>
                  <w:alias w:val="Numeris"/>
                  <w:tag w:val="nr_6e62d7c8b7e64f039bfb5230d1c02166"/>
                  <w:lock w:val="sdtLocked"/>
                  <w:richText/>
                </w:sdtPr>
                <w:sdtContent>
                  <w:r>
                    <w:rPr>
                      <w:b/>
                      <w:bCs/>
                      <w:szCs w:val="24"/>
                      <w:lang w:eastAsia="lt-LT"/>
                    </w:rPr>
                    <w:t>10</w:t>
                  </w:r>
                </w:sdtContent>
              </w:sdt>
              <w:r>
                <w:rPr>
                  <w:b/>
                  <w:bCs/>
                  <w:szCs w:val="24"/>
                  <w:lang w:eastAsia="lt-LT"/>
                </w:rPr>
                <w:t>. Ar įstatymo projektas atitinka Žmogaus teisių ir pagrindinių laisvių apsaugos konvencijos nuostatas ir Europos Sąjungos dokumentus</w:t>
              </w:r>
            </w:p>
            <w:p>
              <w:pPr>
                <w:shd w:val="clear" w:color="auto" w:fill="FFFFFF"/>
                <w:spacing w:line="276" w:lineRule="auto"/>
                <w:ind w:firstLine="567"/>
                <w:jc w:val="both"/>
                <w:rPr>
                  <w:szCs w:val="24"/>
                  <w:lang w:eastAsia="lt-LT"/>
                </w:rPr>
              </w:pPr>
              <w:r>
                <w:rPr>
                  <w:szCs w:val="24"/>
                  <w:lang w:eastAsia="lt-LT"/>
                </w:rPr>
                <w:t>Įstatymo projektas neprieštarauja Europos žmogaus teisių ir pagrindinių laisvių apsaugos konvencijos nuostatoms ir Europos Sąjungos teisės aktams.</w:t>
              </w:r>
            </w:p>
            <w:p>
              <w:pPr>
                <w:shd w:val="clear" w:color="auto" w:fill="FFFFFF"/>
                <w:spacing w:line="276" w:lineRule="auto"/>
                <w:ind w:firstLine="629"/>
                <w:jc w:val="both"/>
                <w:rPr>
                  <w:szCs w:val="24"/>
                  <w:lang w:eastAsia="lt-LT"/>
                </w:rPr>
              </w:pPr>
            </w:p>
          </w:sdtContent>
        </w:sdt>
        <w:sdt>
          <w:sdtPr>
            <w:alias w:val="11 p."/>
            <w:tag w:val="part_b4b76e258ac4497e9428c59dc6724555"/>
            <w:lock w:val="sdtLocked"/>
            <w:richText/>
          </w:sdtPr>
          <w:sdtContent>
            <w:p>
              <w:pPr>
                <w:shd w:val="clear" w:color="auto" w:fill="FFFFFF"/>
                <w:spacing w:line="276" w:lineRule="auto"/>
                <w:ind w:firstLine="567"/>
                <w:jc w:val="both"/>
                <w:rPr>
                  <w:szCs w:val="24"/>
                  <w:lang w:eastAsia="lt-LT"/>
                </w:rPr>
              </w:pPr>
              <w:sdt>
                <w:sdtPr>
                  <w:alias w:val="Numeris"/>
                  <w:tag w:val="nr_b4b76e258ac4497e9428c59dc6724555"/>
                  <w:lock w:val="sdtLocked"/>
                  <w:richText/>
                </w:sdtPr>
                <w:sdtContent>
                  <w:r>
                    <w:rPr>
                      <w:b/>
                      <w:bCs/>
                      <w:szCs w:val="24"/>
                      <w:lang w:eastAsia="lt-LT"/>
                    </w:rPr>
                    <w:t>11</w:t>
                  </w:r>
                </w:sdtContent>
              </w:sdt>
              <w:r>
                <w:rPr>
                  <w:b/>
                  <w:bCs/>
                  <w:szCs w:val="24"/>
                  <w:lang w:eastAsia="lt-LT"/>
                </w:rPr>
                <w:t>. Jeigu įstatymui įgyvendinti reikia įgyvendinamųjų teisės aktų, – kas ir kada juos turėtų priimti</w:t>
              </w:r>
            </w:p>
            <w:p>
              <w:pPr>
                <w:shd w:val="clear" w:color="auto" w:fill="FFFFFF"/>
                <w:spacing w:line="276" w:lineRule="auto"/>
                <w:ind w:firstLine="682"/>
                <w:jc w:val="both"/>
                <w:rPr>
                  <w:b/>
                  <w:bCs/>
                  <w:szCs w:val="24"/>
                  <w:lang w:eastAsia="lt-LT"/>
                </w:rPr>
              </w:pPr>
              <w:r>
                <w:rPr>
                  <w:szCs w:val="24"/>
                  <w:lang w:eastAsia="lt-LT"/>
                </w:rPr>
                <w:t xml:space="preserve">Lietuvos Respublikos Vyriausybė arba jos įgaliota institucija.  </w:t>
              </w:r>
            </w:p>
            <w:p>
              <w:pPr>
                <w:shd w:val="clear" w:color="auto" w:fill="FFFFFF"/>
                <w:spacing w:line="276" w:lineRule="auto"/>
                <w:ind w:right="100" w:firstLine="62"/>
                <w:jc w:val="both"/>
                <w:rPr>
                  <w:szCs w:val="24"/>
                  <w:lang w:eastAsia="lt-LT"/>
                </w:rPr>
              </w:pPr>
            </w:p>
          </w:sdtContent>
        </w:sdt>
        <w:sdt>
          <w:sdtPr>
            <w:alias w:val="12 p."/>
            <w:tag w:val="part_3e18e06e6e974d1a8dbbfa15f72333b8"/>
            <w:lock w:val="sdtLocked"/>
            <w:richText/>
          </w:sdtPr>
          <w:sdtContent>
            <w:p>
              <w:pPr>
                <w:shd w:val="clear" w:color="auto" w:fill="FFFFFF"/>
                <w:spacing w:line="276" w:lineRule="auto"/>
                <w:ind w:firstLine="567"/>
                <w:jc w:val="both"/>
                <w:rPr>
                  <w:b/>
                  <w:bCs/>
                  <w:szCs w:val="24"/>
                  <w:lang w:eastAsia="lt-LT"/>
                </w:rPr>
              </w:pPr>
              <w:sdt>
                <w:sdtPr>
                  <w:alias w:val="Numeris"/>
                  <w:tag w:val="nr_3e18e06e6e974d1a8dbbfa15f72333b8"/>
                  <w:lock w:val="sdtLocked"/>
                  <w:richText/>
                </w:sdtPr>
                <w:sdtContent>
                  <w:r>
                    <w:rPr>
                      <w:b/>
                      <w:bCs/>
                      <w:szCs w:val="24"/>
                      <w:lang w:eastAsia="lt-LT"/>
                    </w:rPr>
                    <w:t>12</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shd w:val="clear" w:color="auto" w:fill="FFFFFF"/>
                <w:spacing w:line="276" w:lineRule="auto"/>
                <w:ind w:firstLine="629"/>
                <w:jc w:val="both"/>
                <w:rPr>
                  <w:szCs w:val="24"/>
                  <w:lang w:eastAsia="lt-LT"/>
                </w:rPr>
              </w:pPr>
              <w:r>
                <w:rPr>
                  <w:szCs w:val="24"/>
                  <w:lang w:eastAsia="lt-LT"/>
                </w:rPr>
                <w:t xml:space="preserve">Įstatymo įgyvendinimui neprireiks valstybės biudžeto lėšų. </w:t>
              </w:r>
            </w:p>
            <w:p>
              <w:pPr>
                <w:shd w:val="clear" w:color="auto" w:fill="FFFFFF"/>
                <w:spacing w:line="276" w:lineRule="auto"/>
                <w:ind w:firstLine="567"/>
                <w:jc w:val="both"/>
                <w:rPr>
                  <w:szCs w:val="24"/>
                  <w:lang w:eastAsia="lt-LT"/>
                </w:rPr>
              </w:pPr>
            </w:p>
          </w:sdtContent>
        </w:sdt>
        <w:sdt>
          <w:sdtPr>
            <w:alias w:val="13 p."/>
            <w:tag w:val="part_01d13b3a658c41bcb9e63a459df4c60c"/>
            <w:lock w:val="sdtLocked"/>
            <w:richText/>
          </w:sdtPr>
          <w:sdtContent>
            <w:p>
              <w:pPr>
                <w:shd w:val="clear" w:color="auto" w:fill="FFFFFF"/>
                <w:spacing w:line="276" w:lineRule="auto"/>
                <w:ind w:firstLine="567"/>
                <w:jc w:val="both"/>
                <w:rPr>
                  <w:szCs w:val="24"/>
                  <w:lang w:eastAsia="lt-LT"/>
                </w:rPr>
              </w:pPr>
              <w:sdt>
                <w:sdtPr>
                  <w:alias w:val="Numeris"/>
                  <w:tag w:val="nr_01d13b3a658c41bcb9e63a459df4c60c"/>
                  <w:lock w:val="sdtLocked"/>
                  <w:richText/>
                </w:sdtPr>
                <w:sdtContent>
                  <w:r>
                    <w:rPr>
                      <w:b/>
                      <w:bCs/>
                      <w:szCs w:val="24"/>
                      <w:lang w:eastAsia="lt-LT"/>
                    </w:rPr>
                    <w:t>13</w:t>
                  </w:r>
                </w:sdtContent>
              </w:sdt>
              <w:r>
                <w:rPr>
                  <w:b/>
                  <w:bCs/>
                  <w:szCs w:val="24"/>
                  <w:lang w:eastAsia="lt-LT"/>
                </w:rPr>
                <w:t>.</w:t>
              </w:r>
              <w:r>
                <w:rPr>
                  <w:szCs w:val="24"/>
                  <w:lang w:eastAsia="lt-LT"/>
                </w:rPr>
                <w:t> </w:t>
              </w:r>
              <w:r>
                <w:rPr>
                  <w:b/>
                  <w:bCs/>
                  <w:szCs w:val="24"/>
                  <w:lang w:eastAsia="lt-LT"/>
                </w:rPr>
                <w:t>Įstatymo projekto rengimo metu gauti specialistų vertinimai ir išvados</w:t>
              </w:r>
            </w:p>
            <w:p>
              <w:pPr>
                <w:shd w:val="clear" w:color="auto" w:fill="FFFFFF"/>
                <w:spacing w:line="276" w:lineRule="auto"/>
                <w:ind w:firstLine="567"/>
                <w:jc w:val="both"/>
                <w:rPr>
                  <w:szCs w:val="24"/>
                  <w:lang w:eastAsia="lt-LT"/>
                </w:rPr>
              </w:pPr>
              <w:r>
                <w:rPr>
                  <w:szCs w:val="24"/>
                  <w:lang w:eastAsia="lt-LT"/>
                </w:rPr>
                <w:t>Nėra gauta.</w:t>
              </w:r>
            </w:p>
            <w:p>
              <w:pPr>
                <w:shd w:val="clear" w:color="auto" w:fill="FFFFFF"/>
                <w:spacing w:line="276" w:lineRule="auto"/>
                <w:ind w:firstLine="629"/>
                <w:jc w:val="both"/>
                <w:rPr>
                  <w:szCs w:val="24"/>
                  <w:lang w:eastAsia="lt-LT"/>
                </w:rPr>
              </w:pPr>
            </w:p>
          </w:sdtContent>
        </w:sdt>
        <w:sdt>
          <w:sdtPr>
            <w:alias w:val="14 p."/>
            <w:tag w:val="part_00d58289a17c48279f4c2215820b43a7"/>
            <w:lock w:val="sdtLocked"/>
            <w:richText/>
          </w:sdtPr>
          <w:sdtContent>
            <w:p>
              <w:pPr>
                <w:shd w:val="clear" w:color="auto" w:fill="FFFFFF"/>
                <w:spacing w:line="276" w:lineRule="auto"/>
                <w:ind w:firstLine="567"/>
                <w:jc w:val="both"/>
                <w:rPr>
                  <w:szCs w:val="24"/>
                  <w:lang w:eastAsia="lt-LT"/>
                </w:rPr>
              </w:pPr>
              <w:sdt>
                <w:sdtPr>
                  <w:alias w:val="Numeris"/>
                  <w:tag w:val="nr_00d58289a17c48279f4c2215820b43a7"/>
                  <w:lock w:val="sdtLocked"/>
                  <w:richText/>
                </w:sdtPr>
                <w:sdtContent>
                  <w:r>
                    <w:rPr>
                      <w:b/>
                      <w:bCs/>
                      <w:szCs w:val="24"/>
                      <w:lang w:eastAsia="lt-LT"/>
                    </w:rPr>
                    <w:t>14</w:t>
                  </w:r>
                </w:sdtContent>
              </w:sdt>
              <w:r>
                <w:rPr>
                  <w:b/>
                  <w:bCs/>
                  <w:szCs w:val="24"/>
                  <w:lang w:eastAsia="lt-LT"/>
                </w:rPr>
                <w:t>. Reikšminiai žodžiai, kurių reikia šiam projektui įtraukti į kompiuterinę paieškos sistemą, įskaitant Europos žodyno „Eurovoc“ terminus, temas bei sritis</w:t>
              </w:r>
            </w:p>
            <w:p>
              <w:pPr>
                <w:shd w:val="clear" w:color="auto" w:fill="FFFFFF"/>
                <w:spacing w:line="276" w:lineRule="auto"/>
                <w:ind w:firstLine="629"/>
                <w:jc w:val="both"/>
                <w:rPr>
                  <w:szCs w:val="24"/>
                  <w:lang w:eastAsia="lt-LT"/>
                </w:rPr>
              </w:pPr>
            </w:p>
            <w:p>
              <w:pPr>
                <w:shd w:val="clear" w:color="auto" w:fill="FFFFFF"/>
                <w:spacing w:line="276" w:lineRule="auto"/>
                <w:ind w:firstLine="567"/>
                <w:jc w:val="both"/>
                <w:rPr>
                  <w:szCs w:val="24"/>
                  <w:lang w:eastAsia="lt-LT"/>
                </w:rPr>
              </w:pPr>
              <w:r>
                <w:rPr>
                  <w:szCs w:val="24"/>
                  <w:lang w:eastAsia="lt-LT"/>
                </w:rPr>
                <w:t xml:space="preserve">„Neteisėtas važiavimas mišku“, „Neteisėtas važiavimas miško paklote“, „Administracinė atsakomybė už neteisėtą važiavimą mišku“, „Administracinė atsakomybė už neteisėtą važiavimą miško paklote“, „Transporto priemonės konfiskavimas už neteisėtą važiavimą mišku“.  </w:t>
              </w:r>
            </w:p>
            <w:p>
              <w:pPr>
                <w:shd w:val="clear" w:color="auto" w:fill="FFFFFF"/>
                <w:spacing w:line="276" w:lineRule="auto"/>
                <w:ind w:firstLine="629"/>
                <w:jc w:val="both"/>
                <w:rPr>
                  <w:szCs w:val="24"/>
                  <w:lang w:eastAsia="lt-LT"/>
                </w:rPr>
              </w:pPr>
            </w:p>
          </w:sdtContent>
        </w:sdt>
        <w:sdt>
          <w:sdtPr>
            <w:alias w:val="15 p."/>
            <w:tag w:val="part_23d37a7b29854f62a8242fbeb3d3c052"/>
            <w:lock w:val="sdtLocked"/>
            <w:richText/>
          </w:sdtPr>
          <w:sdtContent>
            <w:p>
              <w:pPr>
                <w:shd w:val="clear" w:color="auto" w:fill="FFFFFF"/>
                <w:spacing w:line="276" w:lineRule="auto"/>
                <w:ind w:firstLine="567"/>
                <w:jc w:val="both"/>
                <w:rPr>
                  <w:szCs w:val="24"/>
                  <w:lang w:eastAsia="lt-LT"/>
                </w:rPr>
              </w:pPr>
              <w:sdt>
                <w:sdtPr>
                  <w:alias w:val="Numeris"/>
                  <w:tag w:val="nr_23d37a7b29854f62a8242fbeb3d3c052"/>
                  <w:lock w:val="sdtLocked"/>
                  <w:richText/>
                </w:sdtPr>
                <w:sdtContent>
                  <w:r>
                    <w:rPr>
                      <w:b/>
                      <w:bCs/>
                      <w:szCs w:val="24"/>
                      <w:lang w:eastAsia="lt-LT"/>
                    </w:rPr>
                    <w:t>15</w:t>
                  </w:r>
                </w:sdtContent>
              </w:sdt>
              <w:r>
                <w:rPr>
                  <w:b/>
                  <w:bCs/>
                  <w:szCs w:val="24"/>
                  <w:lang w:eastAsia="lt-LT"/>
                </w:rPr>
                <w:t>. Kiti, iniciatorių nuomone, reikalingi pagrindimai ir paaiškinimai</w:t>
              </w:r>
            </w:p>
            <w:p>
              <w:pPr>
                <w:shd w:val="clear" w:color="auto" w:fill="FFFFFF"/>
                <w:spacing w:line="276" w:lineRule="auto"/>
                <w:ind w:firstLine="567"/>
                <w:jc w:val="both"/>
                <w:rPr>
                  <w:szCs w:val="24"/>
                  <w:lang w:eastAsia="lt-LT"/>
                </w:rPr>
              </w:pPr>
              <w:r>
                <w:rPr>
                  <w:szCs w:val="24"/>
                  <w:lang w:eastAsia="lt-LT"/>
                </w:rPr>
                <w:t>Nėra.</w:t>
              </w:r>
            </w:p>
            <w:p>
              <w:pPr>
                <w:shd w:val="clear" w:color="auto" w:fill="FFFFFF"/>
                <w:spacing w:line="276" w:lineRule="auto"/>
                <w:ind w:firstLine="629"/>
                <w:jc w:val="both"/>
                <w:rPr>
                  <w:szCs w:val="24"/>
                  <w:lang w:eastAsia="lt-LT"/>
                </w:rPr>
              </w:pPr>
            </w:p>
            <w:p>
              <w:pPr>
                <w:shd w:val="clear" w:color="auto" w:fill="FFFFFF"/>
                <w:spacing w:line="276" w:lineRule="auto"/>
                <w:ind w:firstLine="567"/>
                <w:jc w:val="both"/>
                <w:rPr>
                  <w:szCs w:val="24"/>
                  <w:lang w:eastAsia="lt-LT"/>
                </w:rPr>
              </w:pPr>
              <w:r>
                <w:rPr>
                  <w:szCs w:val="24"/>
                  <w:lang w:eastAsia="lt-LT"/>
                </w:rPr>
                <w:t>Teikia Seimo nariai:</w:t>
              </w:r>
            </w:p>
            <w:p>
              <w:pPr>
                <w:shd w:val="clear" w:color="auto" w:fill="FFFFFF"/>
                <w:spacing w:line="276" w:lineRule="auto"/>
                <w:ind w:firstLine="567"/>
                <w:jc w:val="both"/>
                <w:rPr>
                  <w:szCs w:val="24"/>
                  <w:lang w:eastAsia="lt-LT"/>
                </w:rPr>
              </w:pPr>
            </w:p>
          </w:sdtContent>
        </w:sdt>
        <w:sdt>
          <w:sdtPr>
            <w:alias w:val="signatura"/>
            <w:tag w:val="part_48c1b0be26f749f49e4b3606e084c36c"/>
            <w:lock w:val="sdtLocked"/>
            <w:richText/>
          </w:sdtPr>
          <w:sdtContent>
            <w:p>
              <w:pPr>
                <w:rPr>
                  <w:color w:val="000000"/>
                  <w:szCs w:val="24"/>
                </w:rPr>
              </w:pPr>
              <w:r>
                <w:rPr>
                  <w:color w:val="000000"/>
                  <w:szCs w:val="24"/>
                </w:rPr>
                <w:t>Linas Jonauskas,</w:t>
              </w:r>
            </w:p>
            <w:p>
              <w:pPr>
                <w:rPr>
                  <w:color w:val="000000"/>
                  <w:szCs w:val="24"/>
                </w:rPr>
              </w:pPr>
              <w:r>
                <w:rPr>
                  <w:color w:val="000000"/>
                  <w:szCs w:val="24"/>
                </w:rPr>
                <w:t>Liudas Jonaitis,</w:t>
              </w:r>
            </w:p>
            <w:p>
              <w:pPr>
                <w:rPr>
                  <w:color w:val="000000"/>
                  <w:szCs w:val="24"/>
                </w:rPr>
              </w:pPr>
              <w:r>
                <w:rPr>
                  <w:color w:val="000000"/>
                  <w:szCs w:val="24"/>
                </w:rPr>
                <w:t>Tomas Bičiūnas,</w:t>
              </w:r>
            </w:p>
            <w:p>
              <w:pPr>
                <w:rPr>
                  <w:color w:val="000000"/>
                  <w:szCs w:val="24"/>
                </w:rPr>
              </w:pPr>
              <w:r>
                <w:rPr>
                  <w:color w:val="000000"/>
                  <w:szCs w:val="24"/>
                </w:rPr>
                <w:t>Vidmantas Kanopa,</w:t>
              </w:r>
            </w:p>
            <w:p>
              <w:pPr>
                <w:rPr>
                  <w:color w:val="000000"/>
                  <w:szCs w:val="24"/>
                </w:rPr>
              </w:pPr>
              <w:r>
                <w:rPr>
                  <w:color w:val="000000"/>
                  <w:szCs w:val="24"/>
                </w:rPr>
                <w:t>Orinta Leiputė,</w:t>
              </w:r>
            </w:p>
            <w:p>
              <w:pPr>
                <w:rPr>
                  <w:color w:val="000000"/>
                  <w:szCs w:val="24"/>
                </w:rPr>
              </w:pPr>
              <w:r>
                <w:rPr>
                  <w:color w:val="000000"/>
                  <w:szCs w:val="24"/>
                </w:rPr>
                <w:t>Gintautas Paluckas,</w:t>
              </w:r>
            </w:p>
            <w:p>
              <w:pPr>
                <w:rPr>
                  <w:color w:val="000000"/>
                  <w:szCs w:val="24"/>
                </w:rPr>
              </w:pPr>
              <w:r>
                <w:rPr>
                  <w:color w:val="000000"/>
                  <w:szCs w:val="24"/>
                </w:rPr>
                <w:t>Julius Sabatauskas,</w:t>
              </w:r>
            </w:p>
            <w:p>
              <w:pPr>
                <w:rPr>
                  <w:color w:val="000000"/>
                  <w:szCs w:val="24"/>
                </w:rPr>
              </w:pPr>
              <w:r>
                <w:rPr>
                  <w:color w:val="000000"/>
                  <w:szCs w:val="24"/>
                </w:rPr>
                <w:t xml:space="preserve">Eugenijus Sabutis, </w:t>
              </w:r>
            </w:p>
            <w:p>
              <w:pPr>
                <w:rPr>
                  <w:color w:val="000000"/>
                  <w:szCs w:val="24"/>
                </w:rPr>
              </w:pPr>
              <w:r>
                <w:rPr>
                  <w:color w:val="000000"/>
                  <w:szCs w:val="24"/>
                </w:rPr>
                <w:t xml:space="preserve">Dovilė Šakalienė, </w:t>
              </w:r>
            </w:p>
            <w:p>
              <w:pPr>
                <w:rPr>
                  <w:color w:val="000000"/>
                  <w:szCs w:val="24"/>
                </w:rPr>
              </w:pPr>
              <w:r>
                <w:rPr>
                  <w:color w:val="000000"/>
                  <w:szCs w:val="24"/>
                </w:rPr>
                <w:t>Vilija Targamadzė,</w:t>
              </w:r>
            </w:p>
            <w:p>
              <w:pPr>
                <w:rPr>
                  <w:color w:val="000000"/>
                  <w:szCs w:val="24"/>
                </w:rPr>
              </w:pPr>
              <w:r>
                <w:rPr>
                  <w:color w:val="000000"/>
                  <w:szCs w:val="24"/>
                </w:rPr>
                <w:t>Kęstutis Vilkauskas</w:t>
              </w:r>
            </w:p>
            <w:p>
              <w:pPr>
                <w:rPr>
                  <w:color w:val="000000"/>
                  <w:szCs w:val="24"/>
                </w:rPr>
              </w:pPr>
            </w:p>
            <w:p>
              <w:pPr>
                <w:ind w:firstLine="720"/>
                <w:rPr>
                  <w:szCs w:val="24"/>
                </w:rPr>
              </w:pPr>
            </w:p>
            <w:p>
              <w:pPr>
                <w:shd w:val="clear" w:color="auto" w:fill="FFFFFF"/>
                <w:spacing w:line="276" w:lineRule="auto"/>
                <w:jc w:val="both"/>
                <w:rPr>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4B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2223902">
      <w:bodyDiv w:val="1"/>
      <w:marLeft w:val="0"/>
      <w:marRight w:val="0"/>
      <w:marTop w:val="0"/>
      <w:marBottom w:val="0"/>
      <w:divBdr>
        <w:top w:val="none" w:sz="0" w:space="0" w:color="auto"/>
        <w:left w:val="none" w:sz="0" w:space="0" w:color="auto"/>
        <w:bottom w:val="none" w:sz="0" w:space="0" w:color="auto"/>
        <w:right w:val="none" w:sz="0" w:space="0" w:color="auto"/>
      </w:divBdr>
    </w:div>
    <w:div w:id="185873340">
      <w:bodyDiv w:val="1"/>
      <w:marLeft w:val="0"/>
      <w:marRight w:val="0"/>
      <w:marTop w:val="0"/>
      <w:marBottom w:val="0"/>
      <w:divBdr>
        <w:top w:val="none" w:sz="0" w:space="0" w:color="auto"/>
        <w:left w:val="none" w:sz="0" w:space="0" w:color="auto"/>
        <w:bottom w:val="none" w:sz="0" w:space="0" w:color="auto"/>
        <w:right w:val="none" w:sz="0" w:space="0" w:color="auto"/>
      </w:divBdr>
    </w:div>
    <w:div w:id="217322505">
      <w:bodyDiv w:val="1"/>
      <w:marLeft w:val="0"/>
      <w:marRight w:val="0"/>
      <w:marTop w:val="0"/>
      <w:marBottom w:val="0"/>
      <w:divBdr>
        <w:top w:val="none" w:sz="0" w:space="0" w:color="auto"/>
        <w:left w:val="none" w:sz="0" w:space="0" w:color="auto"/>
        <w:bottom w:val="none" w:sz="0" w:space="0" w:color="auto"/>
        <w:right w:val="none" w:sz="0" w:space="0" w:color="auto"/>
      </w:divBdr>
      <w:divsChild>
        <w:div w:id="1870678101">
          <w:marLeft w:val="0"/>
          <w:marRight w:val="0"/>
          <w:marTop w:val="0"/>
          <w:marBottom w:val="0"/>
          <w:divBdr>
            <w:top w:val="none" w:sz="0" w:space="0" w:color="auto"/>
            <w:left w:val="none" w:sz="0" w:space="0" w:color="auto"/>
            <w:bottom w:val="none" w:sz="0" w:space="0" w:color="auto"/>
            <w:right w:val="none" w:sz="0" w:space="0" w:color="auto"/>
          </w:divBdr>
        </w:div>
      </w:divsChild>
    </w:div>
    <w:div w:id="294679661">
      <w:bodyDiv w:val="1"/>
      <w:marLeft w:val="0"/>
      <w:marRight w:val="0"/>
      <w:marTop w:val="0"/>
      <w:marBottom w:val="0"/>
      <w:divBdr>
        <w:top w:val="none" w:sz="0" w:space="0" w:color="auto"/>
        <w:left w:val="none" w:sz="0" w:space="0" w:color="auto"/>
        <w:bottom w:val="none" w:sz="0" w:space="0" w:color="auto"/>
        <w:right w:val="none" w:sz="0" w:space="0" w:color="auto"/>
      </w:divBdr>
    </w:div>
    <w:div w:id="422338612">
      <w:bodyDiv w:val="1"/>
      <w:marLeft w:val="0"/>
      <w:marRight w:val="0"/>
      <w:marTop w:val="0"/>
      <w:marBottom w:val="0"/>
      <w:divBdr>
        <w:top w:val="none" w:sz="0" w:space="0" w:color="auto"/>
        <w:left w:val="none" w:sz="0" w:space="0" w:color="auto"/>
        <w:bottom w:val="none" w:sz="0" w:space="0" w:color="auto"/>
        <w:right w:val="none" w:sz="0" w:space="0" w:color="auto"/>
      </w:divBdr>
    </w:div>
    <w:div w:id="580457084">
      <w:bodyDiv w:val="1"/>
      <w:marLeft w:val="0"/>
      <w:marRight w:val="0"/>
      <w:marTop w:val="0"/>
      <w:marBottom w:val="0"/>
      <w:divBdr>
        <w:top w:val="none" w:sz="0" w:space="0" w:color="auto"/>
        <w:left w:val="none" w:sz="0" w:space="0" w:color="auto"/>
        <w:bottom w:val="none" w:sz="0" w:space="0" w:color="auto"/>
        <w:right w:val="none" w:sz="0" w:space="0" w:color="auto"/>
      </w:divBdr>
    </w:div>
    <w:div w:id="840973292">
      <w:bodyDiv w:val="1"/>
      <w:marLeft w:val="0"/>
      <w:marRight w:val="0"/>
      <w:marTop w:val="0"/>
      <w:marBottom w:val="0"/>
      <w:divBdr>
        <w:top w:val="none" w:sz="0" w:space="0" w:color="auto"/>
        <w:left w:val="none" w:sz="0" w:space="0" w:color="auto"/>
        <w:bottom w:val="none" w:sz="0" w:space="0" w:color="auto"/>
        <w:right w:val="none" w:sz="0" w:space="0" w:color="auto"/>
      </w:divBdr>
    </w:div>
    <w:div w:id="860165479">
      <w:bodyDiv w:val="1"/>
      <w:marLeft w:val="0"/>
      <w:marRight w:val="0"/>
      <w:marTop w:val="0"/>
      <w:marBottom w:val="0"/>
      <w:divBdr>
        <w:top w:val="none" w:sz="0" w:space="0" w:color="auto"/>
        <w:left w:val="none" w:sz="0" w:space="0" w:color="auto"/>
        <w:bottom w:val="none" w:sz="0" w:space="0" w:color="auto"/>
        <w:right w:val="none" w:sz="0" w:space="0" w:color="auto"/>
      </w:divBdr>
      <w:divsChild>
        <w:div w:id="934291008">
          <w:marLeft w:val="0"/>
          <w:marRight w:val="0"/>
          <w:marTop w:val="120"/>
          <w:marBottom w:val="0"/>
          <w:divBdr>
            <w:top w:val="none" w:sz="0" w:space="0" w:color="auto"/>
            <w:left w:val="none" w:sz="0" w:space="0" w:color="auto"/>
            <w:bottom w:val="none" w:sz="0" w:space="0" w:color="auto"/>
            <w:right w:val="none" w:sz="0" w:space="0" w:color="auto"/>
          </w:divBdr>
          <w:divsChild>
            <w:div w:id="918170615">
              <w:marLeft w:val="0"/>
              <w:marRight w:val="0"/>
              <w:marTop w:val="0"/>
              <w:marBottom w:val="0"/>
              <w:divBdr>
                <w:top w:val="none" w:sz="0" w:space="0" w:color="auto"/>
                <w:left w:val="none" w:sz="0" w:space="0" w:color="auto"/>
                <w:bottom w:val="none" w:sz="0" w:space="0" w:color="auto"/>
                <w:right w:val="none" w:sz="0" w:space="0" w:color="auto"/>
              </w:divBdr>
            </w:div>
          </w:divsChild>
        </w:div>
        <w:div w:id="1899168485">
          <w:marLeft w:val="0"/>
          <w:marRight w:val="0"/>
          <w:marTop w:val="120"/>
          <w:marBottom w:val="0"/>
          <w:divBdr>
            <w:top w:val="none" w:sz="0" w:space="0" w:color="auto"/>
            <w:left w:val="none" w:sz="0" w:space="0" w:color="auto"/>
            <w:bottom w:val="none" w:sz="0" w:space="0" w:color="auto"/>
            <w:right w:val="none" w:sz="0" w:space="0" w:color="auto"/>
          </w:divBdr>
          <w:divsChild>
            <w:div w:id="81731546">
              <w:marLeft w:val="0"/>
              <w:marRight w:val="0"/>
              <w:marTop w:val="0"/>
              <w:marBottom w:val="0"/>
              <w:divBdr>
                <w:top w:val="none" w:sz="0" w:space="0" w:color="auto"/>
                <w:left w:val="none" w:sz="0" w:space="0" w:color="auto"/>
                <w:bottom w:val="none" w:sz="0" w:space="0" w:color="auto"/>
                <w:right w:val="none" w:sz="0" w:space="0" w:color="auto"/>
              </w:divBdr>
            </w:div>
          </w:divsChild>
        </w:div>
        <w:div w:id="731579525">
          <w:marLeft w:val="0"/>
          <w:marRight w:val="0"/>
          <w:marTop w:val="120"/>
          <w:marBottom w:val="0"/>
          <w:divBdr>
            <w:top w:val="none" w:sz="0" w:space="0" w:color="auto"/>
            <w:left w:val="none" w:sz="0" w:space="0" w:color="auto"/>
            <w:bottom w:val="none" w:sz="0" w:space="0" w:color="auto"/>
            <w:right w:val="none" w:sz="0" w:space="0" w:color="auto"/>
          </w:divBdr>
          <w:divsChild>
            <w:div w:id="655299423">
              <w:marLeft w:val="0"/>
              <w:marRight w:val="0"/>
              <w:marTop w:val="0"/>
              <w:marBottom w:val="0"/>
              <w:divBdr>
                <w:top w:val="none" w:sz="0" w:space="0" w:color="auto"/>
                <w:left w:val="none" w:sz="0" w:space="0" w:color="auto"/>
                <w:bottom w:val="none" w:sz="0" w:space="0" w:color="auto"/>
                <w:right w:val="none" w:sz="0" w:space="0" w:color="auto"/>
              </w:divBdr>
            </w:div>
          </w:divsChild>
        </w:div>
        <w:div w:id="70588762">
          <w:marLeft w:val="0"/>
          <w:marRight w:val="0"/>
          <w:marTop w:val="120"/>
          <w:marBottom w:val="0"/>
          <w:divBdr>
            <w:top w:val="none" w:sz="0" w:space="0" w:color="auto"/>
            <w:left w:val="none" w:sz="0" w:space="0" w:color="auto"/>
            <w:bottom w:val="none" w:sz="0" w:space="0" w:color="auto"/>
            <w:right w:val="none" w:sz="0" w:space="0" w:color="auto"/>
          </w:divBdr>
          <w:divsChild>
            <w:div w:id="1952738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516964">
      <w:bodyDiv w:val="1"/>
      <w:marLeft w:val="0"/>
      <w:marRight w:val="0"/>
      <w:marTop w:val="0"/>
      <w:marBottom w:val="0"/>
      <w:divBdr>
        <w:top w:val="none" w:sz="0" w:space="0" w:color="auto"/>
        <w:left w:val="none" w:sz="0" w:space="0" w:color="auto"/>
        <w:bottom w:val="none" w:sz="0" w:space="0" w:color="auto"/>
        <w:right w:val="none" w:sz="0" w:space="0" w:color="auto"/>
      </w:divBdr>
    </w:div>
    <w:div w:id="1461221289">
      <w:bodyDiv w:val="1"/>
      <w:marLeft w:val="0"/>
      <w:marRight w:val="0"/>
      <w:marTop w:val="0"/>
      <w:marBottom w:val="0"/>
      <w:divBdr>
        <w:top w:val="none" w:sz="0" w:space="0" w:color="auto"/>
        <w:left w:val="none" w:sz="0" w:space="0" w:color="auto"/>
        <w:bottom w:val="none" w:sz="0" w:space="0" w:color="auto"/>
        <w:right w:val="none" w:sz="0" w:space="0" w:color="auto"/>
      </w:divBdr>
    </w:div>
    <w:div w:id="1558935484">
      <w:bodyDiv w:val="1"/>
      <w:marLeft w:val="0"/>
      <w:marRight w:val="0"/>
      <w:marTop w:val="0"/>
      <w:marBottom w:val="0"/>
      <w:divBdr>
        <w:top w:val="none" w:sz="0" w:space="0" w:color="auto"/>
        <w:left w:val="none" w:sz="0" w:space="0" w:color="auto"/>
        <w:bottom w:val="none" w:sz="0" w:space="0" w:color="auto"/>
        <w:right w:val="none" w:sz="0" w:space="0" w:color="auto"/>
      </w:divBdr>
    </w:div>
    <w:div w:id="1948345464">
      <w:bodyDiv w:val="1"/>
      <w:marLeft w:val="0"/>
      <w:marRight w:val="0"/>
      <w:marTop w:val="0"/>
      <w:marBottom w:val="0"/>
      <w:divBdr>
        <w:top w:val="none" w:sz="0" w:space="0" w:color="auto"/>
        <w:left w:val="none" w:sz="0" w:space="0" w:color="auto"/>
        <w:bottom w:val="none" w:sz="0" w:space="0" w:color="auto"/>
        <w:right w:val="none" w:sz="0" w:space="0" w:color="auto"/>
      </w:divBdr>
      <w:divsChild>
        <w:div w:id="1169441232">
          <w:marLeft w:val="0"/>
          <w:marRight w:val="0"/>
          <w:marTop w:val="0"/>
          <w:marBottom w:val="0"/>
          <w:divBdr>
            <w:top w:val="none" w:sz="0" w:space="0" w:color="auto"/>
            <w:left w:val="none" w:sz="0" w:space="0" w:color="auto"/>
            <w:bottom w:val="none" w:sz="0" w:space="0" w:color="auto"/>
            <w:right w:val="none" w:sz="0" w:space="0" w:color="auto"/>
          </w:divBdr>
        </w:div>
      </w:divsChild>
    </w:div>
    <w:div w:id="1994865640">
      <w:bodyDiv w:val="1"/>
      <w:marLeft w:val="0"/>
      <w:marRight w:val="0"/>
      <w:marTop w:val="0"/>
      <w:marBottom w:val="0"/>
      <w:divBdr>
        <w:top w:val="none" w:sz="0" w:space="0" w:color="auto"/>
        <w:left w:val="none" w:sz="0" w:space="0" w:color="auto"/>
        <w:bottom w:val="none" w:sz="0" w:space="0" w:color="auto"/>
        <w:right w:val="none" w:sz="0" w:space="0" w:color="auto"/>
      </w:divBdr>
    </w:div>
    <w:div w:id="2066878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1428f3781e49fdb6b789d886e5cd7e" PartId="09ff03a0f7984644a8dec7c156e15aca">
    <Part Type="punktas" Nr="1" Abbr="1 p." DocPartId="f0f38846080945f8aaff96c5f33ee885" PartId="3125c191e83c40e29b1d96e90d0b9a5e"/>
    <Part Type="punktas" Nr="1" Abbr="1 p." Notes="Numeris ne iš eilės. Trūksta dalių? [DocDalys]" DocPartId="e0fb2fa6856b4dce9a1aa82e4e375452" PartId="23e9cae598a944d7a5f58c1301875649"/>
    <Part Type="punktas" Nr="2" Abbr="2 p." DocPartId="df499ebab9ab4763872ba9146168e2c2" PartId="32d947257e0446c5909e800060288dca"/>
    <Part Type="punktas" Nr="3" Abbr="3 p." DocPartId="aafc61864332487d9eef2467e642d5e3" PartId="36f18f328a3a4dc491ebb0a31901a9ff"/>
    <Part Type="punktas" Nr="2" Abbr="2 p." Notes="Numeris ne iš eilės. Trūksta dalių? [DocDalys]" DocPartId="7cc141fe208f499dbb4eb218732250d3" PartId="388d4c6e6425451bbfe5b1a6271f0da0"/>
    <Part Type="punktas" Nr="3" Abbr="3 p." DocPartId="6e11c3c1213e4134aa3ad6e9849d76fb" PartId="d191f7b0259c49dfbb28cf34e2d9db13"/>
    <Part Type="punktas" Nr="1" Abbr="1 p." Notes="Numeris ne iš eilės. Trūksta dalių? [DocDalys]" DocPartId="a3044b0aadd5406a8fd4d8cd15c7a962" PartId="debfcbc2a17d4ab698f328c4c1f68a76"/>
    <Part Type="punktas" Nr="2" Abbr="2 p." DocPartId="9e17e0d98a844512b35b00311df7b78a" PartId="ec5cea8a0c804e56a5903ce289fc47ff"/>
    <Part Type="punktas" Nr="1" Abbr="1 p." Notes="Numeris ne iš eilės. Trūksta dalių? [DocDalys]" DocPartId="b1fa9a968d6d408d8fa3012c1e123b91" PartId="aa6092ba0e04422a82902f29ec00bda2"/>
    <Part Type="punktas" Nr="2" Abbr="2 p." DocPartId="08d8ba3f832c441ba1ac0f398ff5db9a" PartId="ea84e0ee67d6478ab3bf08dbd46a3051"/>
    <Part Type="punktas" Nr="4" Abbr="4 p." Notes="Numeris ne iš eilės. Trūksta dalių? [DocDalys]" DocPartId="48f904281c6e486c84d717a583507106" PartId="124ff2bc2fc240628bb90da082e15c58"/>
    <Part Type="punktas" Nr="1" Abbr="1 p." Notes="Numeris ne iš eilės. Trūksta dalių? [DocDalys]" DocPartId="73227f9f23ee4c00862ca65b4fdcbfdd" PartId="ca4d6c68895442229cb5b03e3cb4894f"/>
    <Part Type="punktas" Nr="2" Abbr="2 p." DocPartId="c571fdf7c9a7456d9647a091816d7792" PartId="3e3be5166fcb4cbfbcf9b14f914ac90e"/>
    <Part Type="punktas" Nr="3" Abbr="3 p." DocPartId="6bc14b7c21bc474c8526ba4630ec83a6" PartId="bd66e489f92e4962ba012f738898293e"/>
    <Part Type="punktas" Nr="4" Abbr="4 p." DocPartId="bc55ba928c704a53baa366e34e24d227" PartId="982881e47ef74b6ea0a0231bc08681f8"/>
    <Part Type="punktas" Nr="5" Abbr="5 p." DocPartId="0ddcad78455c434183f2b01bd2d877b2" PartId="9f53567dce5f4b7d8d4e4a799d44969d"/>
    <Part Type="punktas" Nr="5" Abbr="5 p." Notes="Numeris ne iš eilės. Trūksta dalių? [DocDalys]" DocPartId="1cf6564b78df4e239f95d2ef09da1c5d" PartId="cd3d0696f94a498294e2ba1b324bf470"/>
    <Part Type="punktas" Nr="6" Abbr="6 p." DocPartId="f8e9a0c5a4ba45049ce464ae82eb520b" PartId="ec64e8381b304d59abc828095355ff6b"/>
    <Part Type="punktas" Nr="7" Abbr="7 p." DocPartId="327f5554adf24510b64e4cabc2a0e35d" PartId="7e729232d696476d8ce9e06922038bd5"/>
    <Part Type="punktas" Nr="8" Abbr="8 p." DocPartId="b3387534db9c45b9996b4ff91a23d10f" PartId="3dc9de85a19b4ead9b496a11b1c4e739"/>
    <Part Type="punktas" Nr="9" Abbr="9 p." DocPartId="e6578b4543bf477c8bb8c728f1cf24e6" PartId="9a123160fea34ceebef4405682935966"/>
    <Part Type="punktas" Nr="10" Abbr="10 p." DocPartId="ab9607728ddb49f6b1b532974f7cc014" PartId="6e62d7c8b7e64f039bfb5230d1c02166"/>
    <Part Type="punktas" Nr="11" Abbr="11 p." DocPartId="b71e7022e1df4d1a97dbe4d52fb617d5" PartId="b4b76e258ac4497e9428c59dc6724555"/>
    <Part Type="punktas" Nr="12" Abbr="12 p." DocPartId="23cdba99e5414bdb8470c08b1e0cd699" PartId="3e18e06e6e974d1a8dbbfa15f72333b8"/>
    <Part Type="punktas" Nr="13" Abbr="13 p." DocPartId="9d85294bdb2d45f58bf20be4a7e3c93b" PartId="01d13b3a658c41bcb9e63a459df4c60c"/>
    <Part Type="punktas" Nr="14" Abbr="14 p." DocPartId="9a70f1c921e7481e97f4b5ac50efac33" PartId="00d58289a17c48279f4c2215820b43a7"/>
    <Part Type="punktas" Nr="15" Abbr="15 p." DocPartId="ff33d1c256c547a2b3ecfd10591a4649" PartId="23d37a7b29854f62a8242fbeb3d3c052"/>
    <Part Type="signatura" DocPartId="90fdc86fb3224631948bea1e9db4242a" PartId="48c1b0be26f749f49e4b3606e084c36c"/>
  </Part>
</Parts>
</file>

<file path=customXml/itemProps1.xml><?xml version="1.0" encoding="utf-8"?>
<ds:datastoreItem xmlns:ds="http://schemas.openxmlformats.org/officeDocument/2006/customXml" ds:itemID="{722FE5A2-194C-4863-A198-6043A558C3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1355</Words>
  <Characters>9868</Characters>
  <Application>Microsoft Office Word</Application>
  <DocSecurity>4</DocSecurity>
  <Lines>186</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2021-04-28T13:49:00Z</dcterms:created>
  <dc:creator>Sonata Dirsyte</dc:creator>
  <lastModifiedBy>adlibuser</lastModifiedBy>
  <lastPrinted>2018-08-20T10:55:00Z</lastPrinted>
  <dcterms:modified xsi:type="dcterms:W3CDTF">2021-04-28T13:49:00Z</dcterms:modified>
  <revision>2</revision>
</coreProperties>
</file>