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6ffe7a71098c46e7adcd9bdc1f7e2035"/>
        <w:lock w:val="sdtLocked"/>
        <w:richText/>
      </w:sdtPr>
      <w:sdtContent>
        <w:p w14:paraId="55050E87" w14:textId="77777777">
          <w:pPr>
            <w:jc w:val="center"/>
            <w:rPr>
              <w:b/>
              <w:bCs/>
              <w:szCs w:val="24"/>
              <w:lang w:val="en-US"/>
            </w:rPr>
          </w:pPr>
        </w:p>
        <w:p w14:paraId="0A2D9E01" w14:textId="6088C231">
          <w:pPr>
            <w:jc w:val="center"/>
            <w:rPr>
              <w:b/>
              <w:caps/>
              <w:szCs w:val="24"/>
            </w:rPr>
          </w:pPr>
          <w:r>
            <w:rPr>
              <w:b/>
              <w:bCs/>
              <w:szCs w:val="24"/>
            </w:rPr>
            <w:t>DIREKTYVOS 2022/2381(ES) IR</w:t>
          </w:r>
          <w:r>
            <w:rPr>
              <w:szCs w:val="24"/>
            </w:rPr>
            <w:t xml:space="preserve"> </w:t>
          </w:r>
          <w:r>
            <w:rPr>
              <w:b/>
              <w:bCs/>
              <w:caps/>
              <w:szCs w:val="24"/>
            </w:rPr>
            <w:t xml:space="preserve">NACIONALINIŲ TEISĖS AKTŲ </w:t>
          </w:r>
          <w:r>
            <w:rPr>
              <w:b/>
              <w:caps/>
              <w:szCs w:val="24"/>
            </w:rPr>
            <w:t>atitikties lentelė</w:t>
          </w:r>
        </w:p>
        <w:p w14:paraId="131331AE" w14:textId="77777777">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5"/>
            <w:gridCol w:w="6693"/>
            <w:gridCol w:w="1802"/>
          </w:tblGrid>
          <w:tr w14:paraId="1B5BED90" w14:textId="77777777">
            <w:tc>
              <w:tcPr>
                <w:tcW w:w="6065" w:type="dxa"/>
              </w:tcPr>
              <w:p w14:paraId="6265A538" w14:textId="546A4E6D">
                <w:pPr>
                  <w:rPr>
                    <w:szCs w:val="24"/>
                  </w:rPr>
                </w:pPr>
                <w:r>
                  <w:rPr>
                    <w:b/>
                    <w:bCs/>
                    <w:szCs w:val="24"/>
                  </w:rPr>
                  <w:t xml:space="preserve">2022 m. lapkričio 23 d. Europos Parlamento ir Tarybos direktyva </w:t>
                </w:r>
                <w:fldSimple w:instr="HYPERLINK http://eur-lex.europa.eu/legal-content/LIT/TXT/?uri=CELEX:32022L2381&amp;locale=lt \t _blank">
                  <w:r>
                    <w:rPr>
                      <w:b/>
                      <w:bCs/>
                      <w:szCs w:val="24"/>
                      <w:u w:val="single"/>
                      <w:color w:val="0000FF" w:themeColor="hyperlink"/>
                    </w:rPr>
                    <w:t>(ES) 2022/2381</w:t>
                  </w:r>
                </w:fldSimple>
                <w:r>
                  <w:rPr>
                    <w:b/>
                    <w:bCs/>
                    <w:szCs w:val="24"/>
                  </w:rPr>
                  <w:t xml:space="preserve"> dėl biržinių bendrovių direktorių pareigas einančių asmenų lyčių pusiausvyros gerinimo ir susijusių priemonių </w:t>
                </w:r>
              </w:p>
            </w:tc>
            <w:tc>
              <w:tcPr>
                <w:tcW w:w="6693" w:type="dxa"/>
              </w:tcPr>
              <w:p w14:paraId="138619C8" w14:textId="5A970AB9">
                <w:pPr>
                  <w:rPr>
                    <w:b/>
                    <w:bCs/>
                    <w:szCs w:val="24"/>
                  </w:rPr>
                </w:pPr>
                <w:r>
                  <w:rPr>
                    <w:b/>
                    <w:bCs/>
                    <w:szCs w:val="24"/>
                  </w:rPr>
                  <w:t>1. Lietuvos Respublikos lygių galimybių įstatymo Nr. IX-1826 pakeitimo įstatymo projektas (toliau - Projektas)</w:t>
                </w:r>
              </w:p>
              <w:p w14:paraId="4E3A4019" w14:textId="77777777">
                <w:pPr>
                  <w:rPr>
                    <w:b/>
                    <w:bCs/>
                    <w:szCs w:val="24"/>
                  </w:rPr>
                </w:pPr>
              </w:p>
              <w:p w14:paraId="2BB9CBA9" w14:textId="7D7E97F2">
                <w:pPr>
                  <w:jc w:val="both"/>
                  <w:rPr>
                    <w:szCs w:val="24"/>
                    <w:lang w:eastAsia="lt-LT"/>
                  </w:rPr>
                </w:pPr>
                <w:r>
                  <w:rPr>
                    <w:szCs w:val="24"/>
                  </w:rPr>
                  <w:t xml:space="preserve">2. Lietuvos Respublikos moterų ir vyrų lygių galimybių įstatymas Nr. VIII-947 (suvestinė redakcija nuo 2017-07-01 iki 2024-10-10) (toliau – </w:t>
                </w:r>
                <w:r>
                  <w:rPr>
                    <w:szCs w:val="24"/>
                    <w:lang w:eastAsia="lt-LT"/>
                  </w:rPr>
                  <w:t>MVLGĮ)</w:t>
                </w:r>
              </w:p>
              <w:p w14:paraId="51A24625" w14:textId="77777777">
                <w:pPr>
                  <w:rPr>
                    <w:b/>
                    <w:bCs/>
                    <w:szCs w:val="24"/>
                  </w:rPr>
                </w:pPr>
              </w:p>
              <w:p w14:paraId="5969C8B7" w14:textId="5234840D">
                <w:pPr>
                  <w:jc w:val="both"/>
                  <w:rPr>
                    <w:szCs w:val="24"/>
                  </w:rPr>
                </w:pPr>
                <w:r>
                  <w:rPr>
                    <w:szCs w:val="24"/>
                  </w:rPr>
                  <w:t>3. Lietuvos Respublikos moterų ir vyrų lygių galimybių įstatymo Nr. VIII-947 1, 2, 9 straipsnių, įstatymo priedo pakeitimo ir įstatymo papildymo 61, 111 ir 20 straipsniais įstatymas Nr. XIV-3011 (toliau – Įstatymas Nr. 1)</w:t>
                </w:r>
              </w:p>
              <w:p w14:paraId="4EB8989F" w14:textId="77777777">
                <w:pPr>
                  <w:rPr>
                    <w:b/>
                    <w:bCs/>
                    <w:szCs w:val="24"/>
                  </w:rPr>
                </w:pPr>
              </w:p>
              <w:p w14:paraId="1AC3ECA6" w14:textId="4AB6916D">
                <w:pPr>
                  <w:jc w:val="both"/>
                  <w:rPr>
                    <w:szCs w:val="24"/>
                  </w:rPr>
                </w:pPr>
                <w:r>
                  <w:rPr>
                    <w:szCs w:val="24"/>
                  </w:rPr>
                  <w:t>4. Lietuvos Respublikos administracinių nusižengimų kodekso patvirtinimo, įsigaliojimo ir įgyvendinimo tvarkos įstatymas. Lietuvos Respublikos administracinių nusižengimų kodeksas Nr. XII-1869 (suvestinė redakcija nuo 2022-11-01 iki 2022-12-08) (toliau – Administracinių nusižengimų kodeksas)</w:t>
                </w:r>
              </w:p>
              <w:p w14:paraId="19C3497F" w14:textId="77777777">
                <w:pPr>
                  <w:jc w:val="both"/>
                  <w:rPr>
                    <w:szCs w:val="24"/>
                  </w:rPr>
                </w:pPr>
              </w:p>
              <w:p w14:paraId="73E755BD" w14:textId="09864441">
                <w:pPr>
                  <w:jc w:val="both"/>
                  <w:rPr>
                    <w:szCs w:val="24"/>
                  </w:rPr>
                </w:pPr>
                <w:r>
                  <w:rPr>
                    <w:szCs w:val="24"/>
                  </w:rPr>
                  <w:t xml:space="preserve">5. Lietuvos Respublikos administracinių nusižengimų kodekso 108, 115, 122, 125, 137, 187, 205, 589 straipsnių pakeitimo ir Kodekso papildymo 113-1, 187-1, 474-1 straipsniais įstatymas Nr. XIV-1926 (toliau –  Įstatymas Nr. XIV-1926)</w:t>
                </w:r>
              </w:p>
              <w:p w14:paraId="0CD1343E" w14:textId="77777777">
                <w:pPr>
                  <w:jc w:val="both"/>
                  <w:rPr>
                    <w:szCs w:val="24"/>
                  </w:rPr>
                </w:pPr>
              </w:p>
              <w:p w14:paraId="50CDD64F" w14:textId="0A0E6AE2">
                <w:pPr>
                  <w:jc w:val="both"/>
                  <w:rPr>
                    <w:szCs w:val="24"/>
                  </w:rPr>
                </w:pPr>
                <w:r>
                  <w:rPr>
                    <w:szCs w:val="24"/>
                  </w:rPr>
                  <w:t xml:space="preserve">6. 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 Nr. XIV-2786 (toliau  – Įstatymas Nr. XIV-2786) </w:t>
                </w:r>
              </w:p>
              <w:p w14:paraId="03A37FDA" w14:textId="77777777">
                <w:pPr>
                  <w:jc w:val="both"/>
                  <w:rPr>
                    <w:szCs w:val="24"/>
                  </w:rPr>
                </w:pPr>
              </w:p>
              <w:p w14:paraId="326C77EE" w14:textId="13CC7FCD">
                <w:pPr>
                  <w:jc w:val="both"/>
                  <w:rPr>
                    <w:szCs w:val="24"/>
                  </w:rPr>
                </w:pPr>
                <w:r>
                  <w:rPr>
                    <w:szCs w:val="24"/>
                  </w:rPr>
                  <w:t xml:space="preserve">7. Lietuvos Respublikos administracinių nusižengimų kodekso 589 straipsnio pakeitimo ir 180 straipsnio pripažinimo netekusiu galios įstatymas Nr.  XIV-2922 (toliau – Įstatymas Nr.  XIV-2922 ) </w:t>
                </w:r>
              </w:p>
              <w:p w14:paraId="00C60C3D" w14:textId="77777777">
                <w:pPr>
                  <w:rPr>
                    <w:b/>
                    <w:bCs/>
                    <w:szCs w:val="24"/>
                  </w:rPr>
                </w:pPr>
              </w:p>
              <w:p w14:paraId="48D033DC" w14:textId="14AFC4DC">
                <w:pPr>
                  <w:jc w:val="both"/>
                  <w:rPr>
                    <w:szCs w:val="24"/>
                  </w:rPr>
                </w:pPr>
                <w:r>
                  <w:rPr>
                    <w:szCs w:val="24"/>
                  </w:rPr>
                  <w:t>8. Lietuvos Respublikos administracinių nusižengimų kodekso 242, 268, 286 ir 589 straipsnių pakeitimo įstatymo Nr. XIV-2662 1, 2, 3, 7 ir 8 straipsnių pakeitimo įstatymas Nr. XIV-2852 (toliau – Įstatymas Nr. XIV-2852)</w:t>
                </w:r>
              </w:p>
              <w:p w14:paraId="7662657F" w14:textId="77777777">
                <w:pPr>
                  <w:jc w:val="both"/>
                  <w:rPr>
                    <w:szCs w:val="24"/>
                  </w:rPr>
                </w:pPr>
              </w:p>
              <w:p w14:paraId="37DCB7FE" w14:textId="30872878">
                <w:pPr>
                  <w:jc w:val="both"/>
                  <w:rPr>
                    <w:szCs w:val="24"/>
                  </w:rPr>
                </w:pPr>
                <w:r>
                  <w:rPr>
                    <w:szCs w:val="24"/>
                  </w:rPr>
                  <w:t>9. Lietuvos Respublikos administracinių nusižengimų kodekso 223 ir 589 straipsnių pakeitimo įstatymas Nr. XIV-2021 (toliau – Įstatymas Nr. XIV-2021)</w:t>
                </w:r>
              </w:p>
              <w:p w14:paraId="70803A58" w14:textId="61E8EB69">
                <w:pPr>
                  <w:rPr>
                    <w:b/>
                    <w:bCs/>
                    <w:szCs w:val="24"/>
                  </w:rPr>
                </w:pPr>
              </w:p>
            </w:tc>
            <w:tc>
              <w:tcPr>
                <w:tcW w:w="1802" w:type="dxa"/>
              </w:tcPr>
              <w:p w14:paraId="024B3C7B" w14:textId="17D813BB">
                <w:pPr>
                  <w:jc w:val="center"/>
                  <w:rPr>
                    <w:b/>
                    <w:bCs/>
                    <w:szCs w:val="24"/>
                  </w:rPr>
                </w:pPr>
                <w:r>
                  <w:rPr>
                    <w:b/>
                    <w:bCs/>
                    <w:color w:val="000000"/>
                    <w:szCs w:val="24"/>
                  </w:rPr>
                  <w:t xml:space="preserve">Europos Sąjungos teisės akto perkėlimo (įgyvendinimo) lygis </w:t>
                </w:r>
              </w:p>
            </w:tc>
          </w:tr>
          <w:tr w14:paraId="0CD1FB2E" w14:textId="77777777">
            <w:tc>
              <w:tcPr>
                <w:tcW w:w="6065" w:type="dxa"/>
              </w:tcPr>
              <w:p w14:paraId="566F244E" w14:textId="77777777">
                <w:pPr>
                  <w:jc w:val="both"/>
                  <w:rPr>
                    <w:b/>
                    <w:bCs/>
                    <w:szCs w:val="24"/>
                  </w:rPr>
                </w:pPr>
                <w:r>
                  <w:rPr>
                    <w:b/>
                    <w:bCs/>
                    <w:szCs w:val="24"/>
                  </w:rPr>
                  <w:t>6 straipsnis</w:t>
                </w:r>
              </w:p>
              <w:p w14:paraId="1265FD57" w14:textId="00D0B5A2">
                <w:pPr>
                  <w:jc w:val="both"/>
                  <w:rPr>
                    <w:b/>
                    <w:bCs/>
                    <w:szCs w:val="24"/>
                  </w:rPr>
                </w:pPr>
                <w:r>
                  <w:rPr>
                    <w:b/>
                    <w:bCs/>
                    <w:szCs w:val="24"/>
                  </w:rPr>
                  <w:t>Tikslams pasiekti skirtos priemonės</w:t>
                </w:r>
              </w:p>
              <w:p w14:paraId="37126EFC" w14:textId="77777777">
                <w:pPr>
                  <w:jc w:val="both"/>
                  <w:rPr>
                    <w:b/>
                    <w:bCs/>
                    <w:szCs w:val="24"/>
                  </w:rPr>
                </w:pPr>
              </w:p>
              <w:p w14:paraId="4A322860" w14:textId="32877A27">
                <w:pPr>
                  <w:jc w:val="both"/>
                  <w:rPr>
                    <w:szCs w:val="24"/>
                  </w:rPr>
                </w:pPr>
                <w:r>
                  <w:rPr>
                    <w:szCs w:val="24"/>
                  </w:rPr>
                  <w:t>5. Jeigu kandidatų į skiriamą ar renkamą direktoriaus poziciją atrankos procesas vykdomas pasitelkiant akcininkų ar darbuotojų balsavimą, valstybės narės reikalauja, kad biržinės bendrovės užtikrintų, kad balsavime dalyvaujantys asmenys būtų tinkamai informuoti apie priemones, numatytas šioje direktyvoje, įskaitant sankcijas, kurios grėstų biržinei bendrovei dėl reikalavimų nesilaikymo.</w:t>
                </w:r>
              </w:p>
            </w:tc>
            <w:tc>
              <w:tcPr>
                <w:tcW w:w="6693" w:type="dxa"/>
              </w:tcPr>
              <w:p w14:paraId="3CE3113C" w14:textId="77777777">
                <w:pPr>
                  <w:jc w:val="both"/>
                  <w:rPr>
                    <w:b/>
                    <w:bCs/>
                    <w:szCs w:val="24"/>
                  </w:rPr>
                </w:pPr>
                <w:r>
                  <w:rPr>
                    <w:b/>
                    <w:bCs/>
                    <w:szCs w:val="24"/>
                  </w:rPr>
                  <w:t>Projektas</w:t>
                </w:r>
              </w:p>
              <w:p w14:paraId="469DBAD2" w14:textId="77777777">
                <w:pPr>
                  <w:jc w:val="both"/>
                  <w:rPr>
                    <w:b/>
                    <w:bCs/>
                    <w:szCs w:val="24"/>
                  </w:rPr>
                </w:pPr>
                <w:r>
                  <w:rPr>
                    <w:b/>
                    <w:bCs/>
                    <w:szCs w:val="24"/>
                  </w:rPr>
                  <w:t>29 straipsnis. Lygių galimybių kontrolieriaus sprendimai</w:t>
                </w:r>
              </w:p>
              <w:p w14:paraId="2C14EF12" w14:textId="77777777">
                <w:pPr>
                  <w:jc w:val="both"/>
                  <w:rPr>
                    <w:b/>
                    <w:bCs/>
                    <w:szCs w:val="24"/>
                  </w:rPr>
                </w:pPr>
                <w:r>
                  <w:rPr>
                    <w:b/>
                    <w:bCs/>
                    <w:szCs w:val="24"/>
                  </w:rPr>
                  <w:t xml:space="preserve">1. Lygių galimybių kontrolierius, atlikdamas lygių galimybių pažeidimo tyrimą pagal pateiktą skundą arba savo iniciatyva ar jį atlikęs, priima vieną arba kelis iš šių sprendimų:      </w:t>
                </w:r>
              </w:p>
              <w:p w14:paraId="3A2444C7" w14:textId="77777777">
                <w:pPr>
                  <w:jc w:val="both"/>
                  <w:rPr>
                    <w:b/>
                    <w:bCs/>
                    <w:szCs w:val="24"/>
                  </w:rPr>
                </w:pPr>
                <w:r>
                  <w:rPr>
                    <w:b/>
                    <w:bCs/>
                    <w:szCs w:val="24"/>
                  </w:rPr>
                  <w:t>1) perduoti turimą tyrimo informaciją ir medžiagą ikiteisminio tyrimo įstaigai ar prokurorui, jeigu nustatomi galimi nusikalstamos veikos požymiai;</w:t>
                </w:r>
              </w:p>
              <w:p w14:paraId="1C6F6BD3" w14:textId="77777777">
                <w:pPr>
                  <w:jc w:val="both"/>
                  <w:rPr>
                    <w:b/>
                    <w:bCs/>
                    <w:szCs w:val="24"/>
                  </w:rPr>
                </w:pPr>
                <w:r>
                  <w:rPr>
                    <w:b/>
                    <w:bCs/>
                    <w:szCs w:val="24"/>
                  </w:rPr>
                  <w:t>2) kreiptis į atitinkamą asmenį ir siūlyti jam nutraukti lygias galimybes pažeidžiančius veiksmus ar neveikimą;</w:t>
                </w:r>
              </w:p>
              <w:p w14:paraId="798835D8" w14:textId="77777777">
                <w:pPr>
                  <w:jc w:val="both"/>
                  <w:rPr>
                    <w:b/>
                    <w:bCs/>
                    <w:szCs w:val="24"/>
                  </w:rPr>
                </w:pPr>
                <w:r>
                  <w:rPr>
                    <w:b/>
                    <w:bCs/>
                    <w:szCs w:val="24"/>
                  </w:rPr>
                  <w:t>3) kreiptis į norminį administracinį aktą arba administracinį sprendimą priėmusį (-ius) subjektą (-us) ir siūlyti jam pakeisti ar panaikinti norminį administracinį aktą (jo dalį) arba administracinį sprendimą (jo dalį), susijusį (-ią) su lygių galimybių pažeidimu;</w:t>
                </w:r>
              </w:p>
              <w:p w14:paraId="7986A882" w14:textId="77777777">
                <w:pPr>
                  <w:jc w:val="both"/>
                  <w:rPr>
                    <w:b/>
                    <w:bCs/>
                    <w:szCs w:val="24"/>
                  </w:rPr>
                </w:pPr>
                <w:r>
                  <w:rPr>
                    <w:b/>
                    <w:bCs/>
                    <w:szCs w:val="24"/>
                  </w:rPr>
                  <w:t>4) pradėti administracinių nusižengimų teiseną;</w:t>
                </w:r>
              </w:p>
              <w:p w14:paraId="3DFB8BF9" w14:textId="77777777">
                <w:pPr>
                  <w:jc w:val="both"/>
                  <w:rPr>
                    <w:b/>
                    <w:bCs/>
                    <w:szCs w:val="24"/>
                  </w:rPr>
                </w:pPr>
                <w:r>
                  <w:rPr>
                    <w:b/>
                    <w:bCs/>
                    <w:szCs w:val="24"/>
                  </w:rPr>
                  <w:t>5) pripažinti skundą nepagrįstu, jeigu tyrimo metu nepasitvirtino skunde nurodyto lygių galimybių pažeidimo faktas;</w:t>
                </w:r>
              </w:p>
              <w:p w14:paraId="763595F6" w14:textId="77777777">
                <w:pPr>
                  <w:jc w:val="both"/>
                  <w:rPr>
                    <w:b/>
                    <w:bCs/>
                    <w:szCs w:val="24"/>
                  </w:rPr>
                </w:pPr>
                <w:r>
                  <w:rPr>
                    <w:b/>
                    <w:bCs/>
                    <w:szCs w:val="24"/>
                  </w:rPr>
                  <w:t>6) įspėti atitinkamą asmenį dėl padaryto lygių galimybių pažeidimo;</w:t>
                </w:r>
              </w:p>
              <w:p w14:paraId="00C6FBA7" w14:textId="77777777">
                <w:pPr>
                  <w:jc w:val="both"/>
                  <w:rPr>
                    <w:b/>
                    <w:bCs/>
                    <w:szCs w:val="24"/>
                  </w:rPr>
                </w:pPr>
                <w:r>
                  <w:rPr>
                    <w:b/>
                    <w:bCs/>
                    <w:szCs w:val="24"/>
                  </w:rPr>
                  <w:t>7) įpareigoti reklaminės veiklos subjektus nutraukti lygias galimybes pažeidžiančią reklamą ir nustatyti šio įpareigojimo įvykdymo terminą;</w:t>
                </w:r>
              </w:p>
              <w:p w14:paraId="6CB0DDC1" w14:textId="77777777">
                <w:pPr>
                  <w:jc w:val="both"/>
                  <w:rPr>
                    <w:b/>
                    <w:bCs/>
                    <w:szCs w:val="24"/>
                  </w:rPr>
                </w:pPr>
                <w:r>
                  <w:rPr>
                    <w:b/>
                    <w:bCs/>
                    <w:szCs w:val="24"/>
                  </w:rPr>
                  <w:t>8) su pareiškimu kreiptis į administracinį teismą, prašant ištirti, ar norminis administracinis aktas (jo dalis) atitinka įstatymą arba Vyriausybės norminį teisės aktą, ar konkrečios bendrijos, politinės partijos, politinės organizacijos ar asociacijos priimtas bendro pobūdžio teisės aktas atitinka šį įstatymą arba Moterų ir vyrų lygių galimybių įstatymą;</w:t>
                </w:r>
              </w:p>
              <w:p w14:paraId="583815C5" w14:textId="77777777">
                <w:pPr>
                  <w:jc w:val="both"/>
                  <w:rPr>
                    <w:b/>
                    <w:bCs/>
                    <w:szCs w:val="24"/>
                  </w:rPr>
                </w:pPr>
                <w:r>
                  <w:rPr>
                    <w:b/>
                    <w:bCs/>
                    <w:szCs w:val="24"/>
                  </w:rPr>
                  <w:t>9) siūlyti Vyriausiajai tarnybinės etikos komisijai atlikti tyrimą, siekiant nustatyti, ar valstybės tarnyboje dirbantis asmuo nepažeidė Viešųjų ir privačių interesų derinimo įstatymo;</w:t>
                </w:r>
              </w:p>
              <w:p w14:paraId="7AA81814" w14:textId="77777777">
                <w:pPr>
                  <w:jc w:val="both"/>
                  <w:rPr>
                    <w:b/>
                    <w:bCs/>
                    <w:szCs w:val="24"/>
                  </w:rPr>
                </w:pPr>
                <w:r>
                  <w:rPr>
                    <w:b/>
                    <w:bCs/>
                    <w:szCs w:val="24"/>
                  </w:rPr>
                  <w:t xml:space="preserve">10) kreiptis į teismą dėl viešojo intereso gynimo.  </w:t>
                </w:r>
              </w:p>
              <w:p w14:paraId="1DB0BE97" w14:textId="77777777">
                <w:pPr>
                  <w:jc w:val="both"/>
                  <w:rPr>
                    <w:b/>
                    <w:bCs/>
                    <w:szCs w:val="24"/>
                  </w:rPr>
                </w:pPr>
                <w:r>
                  <w:rPr>
                    <w:b/>
                    <w:bCs/>
                    <w:szCs w:val="24"/>
                  </w:rPr>
                  <w:t>2. Šio straipsnio 1 dalyje nurodytas sprendimas turi atitikti Viešojo administravimo įstatyme administraciniam sprendimui nustatytus reikalavimus. Sprendimą pasirašo lygių galimybių kontrolierius. Apie priimtą sprendimą pareiškėjas informuojamas Viešojo administravimo įstatyme nustatyta tvarka.</w:t>
                </w:r>
              </w:p>
              <w:p w14:paraId="208C5C22" w14:textId="77777777">
                <w:pPr>
                  <w:jc w:val="both"/>
                  <w:rPr>
                    <w:b/>
                    <w:bCs/>
                    <w:szCs w:val="24"/>
                  </w:rPr>
                </w:pPr>
                <w:r>
                  <w:rPr>
                    <w:b/>
                    <w:bCs/>
                    <w:szCs w:val="24"/>
                  </w:rPr>
                  <w:t xml:space="preserve">3. Lygių galimybių pažeidimo tyrimas gali būti nutrauktas, jei: </w:t>
                </w:r>
              </w:p>
              <w:p w14:paraId="43B73D72" w14:textId="77777777">
                <w:pPr>
                  <w:jc w:val="both"/>
                  <w:rPr>
                    <w:b/>
                    <w:bCs/>
                    <w:szCs w:val="24"/>
                  </w:rPr>
                </w:pPr>
                <w:r>
                  <w:rPr>
                    <w:b/>
                    <w:bCs/>
                    <w:szCs w:val="24"/>
                  </w:rPr>
                  <w:t>1) pareiškėjas skundą atsiima;</w:t>
                </w:r>
              </w:p>
              <w:p w14:paraId="67BD27FC" w14:textId="77777777">
                <w:pPr>
                  <w:jc w:val="both"/>
                  <w:rPr>
                    <w:b/>
                    <w:bCs/>
                    <w:szCs w:val="24"/>
                  </w:rPr>
                </w:pPr>
                <w:r>
                  <w:rPr>
                    <w:b/>
                    <w:bCs/>
                    <w:szCs w:val="24"/>
                  </w:rPr>
                  <w:t xml:space="preserve">2) trūksta duomenų, kad būtų galima nustatyti pažeidėją ar ištirti padarytą lygių galimybių pažeidimą; </w:t>
                </w:r>
              </w:p>
              <w:p w14:paraId="5EB3EC20" w14:textId="77777777">
                <w:pPr>
                  <w:jc w:val="both"/>
                  <w:rPr>
                    <w:b/>
                    <w:bCs/>
                    <w:szCs w:val="24"/>
                  </w:rPr>
                </w:pPr>
                <w:r>
                  <w:rPr>
                    <w:b/>
                    <w:bCs/>
                    <w:szCs w:val="24"/>
                  </w:rPr>
                  <w:t>3) lygias galimybes pažeidžiantys veiksmai ar neveikimas nutraukiami;</w:t>
                </w:r>
              </w:p>
              <w:p w14:paraId="377671F3" w14:textId="77777777">
                <w:pPr>
                  <w:jc w:val="both"/>
                  <w:rPr>
                    <w:b/>
                    <w:bCs/>
                    <w:szCs w:val="24"/>
                  </w:rPr>
                </w:pPr>
                <w:r>
                  <w:rPr>
                    <w:b/>
                    <w:bCs/>
                    <w:szCs w:val="24"/>
                  </w:rPr>
                  <w:t>4) lygias galimybes pažeidžiantis norminis administracinis aktas (jo dalis) arba administracinis sprendimas (jo dalis) pakeičiamas ar pripažįstamas netekusiu galios.</w:t>
                </w:r>
              </w:p>
              <w:p w14:paraId="264C0789" w14:textId="59E36A99">
                <w:pPr>
                  <w:jc w:val="both"/>
                  <w:rPr>
                    <w:b/>
                    <w:bCs/>
                    <w:szCs w:val="24"/>
                  </w:rPr>
                </w:pPr>
                <w:r>
                  <w:rPr>
                    <w:b/>
                    <w:bCs/>
                    <w:szCs w:val="24"/>
                  </w:rPr>
                  <w:t>4. Jeigu skundo tyrimo metu išaiškėja šio įstatymo 27 straipsnyje nurodytos aplinkybės arba pareiškėjas ir skundžiamas asmuo sudaro taikos sutartį, tyrimas nutraukiamas.</w:t>
                </w:r>
              </w:p>
              <w:p w14:paraId="534B1397" w14:textId="77777777">
                <w:pPr>
                  <w:jc w:val="both"/>
                  <w:rPr>
                    <w:b/>
                    <w:bCs/>
                    <w:szCs w:val="24"/>
                    <w:lang w:eastAsia="lt-LT"/>
                  </w:rPr>
                </w:pPr>
              </w:p>
              <w:p w14:paraId="7D1E3A43" w14:textId="4DC9D707">
                <w:pPr>
                  <w:jc w:val="both"/>
                  <w:rPr>
                    <w:b/>
                    <w:bCs/>
                    <w:szCs w:val="24"/>
                    <w:lang w:eastAsia="lt-LT"/>
                  </w:rPr>
                </w:pPr>
                <w:r>
                  <w:rPr>
                    <w:b/>
                    <w:bCs/>
                    <w:szCs w:val="24"/>
                    <w:lang w:eastAsia="lt-LT"/>
                  </w:rPr>
                  <w:t>MVLGĮ</w:t>
                </w:r>
              </w:p>
              <w:p w14:paraId="0D12195F" w14:textId="77777777">
                <w:pPr>
                  <w:rPr>
                    <w:b/>
                    <w:bCs/>
                    <w:szCs w:val="24"/>
                  </w:rPr>
                </w:pPr>
                <w:r>
                  <w:rPr>
                    <w:b/>
                    <w:bCs/>
                    <w:szCs w:val="24"/>
                  </w:rPr>
                  <w:t>2 straipsnis. Pagrindinės šio įstatymo sąvokos</w:t>
                </w:r>
              </w:p>
              <w:p w14:paraId="0A640657" w14:textId="77777777">
                <w:pPr>
                  <w:jc w:val="both"/>
                  <w:rPr>
                    <w:szCs w:val="24"/>
                  </w:rPr>
                </w:pPr>
                <w:r>
                  <w:rPr>
                    <w:szCs w:val="24"/>
                  </w:rPr>
                  <w:t>1. </w:t>
                </w:r>
                <w:r>
                  <w:rPr>
                    <w:b/>
                    <w:bCs/>
                    <w:szCs w:val="24"/>
                  </w:rPr>
                  <w:t>Diskriminacija </w:t>
                </w:r>
                <w:r>
                  <w:rPr>
                    <w:szCs w:val="24"/>
                  </w:rPr>
                  <w:t>–</w:t>
                </w:r>
                <w:r>
                  <w:rPr>
                    <w:b/>
                    <w:bCs/>
                    <w:szCs w:val="24"/>
                  </w:rPr>
                  <w:t> </w:t>
                </w:r>
                <w:r>
                  <w:rPr>
                    <w:szCs w:val="24"/>
                  </w:rPr>
                  <w:t>tiesioginė ar netiesioginė diskriminacija, seksualinis priekabiavimas, priekabiavimas, nurodymas tiesiogiai ar netiesiogiai diskriminuoti asmenis dėl lyties.</w:t>
                </w:r>
              </w:p>
              <w:p w14:paraId="3A53ED41" w14:textId="528E2B83">
                <w:pPr>
                  <w:jc w:val="both"/>
                  <w:rPr>
                    <w:szCs w:val="24"/>
                  </w:rPr>
                </w:pPr>
                <w:r>
                  <w:rPr>
                    <w:szCs w:val="24"/>
                  </w:rPr>
                  <w:t>&lt;...&gt;</w:t>
                </w:r>
              </w:p>
              <w:p w14:paraId="40C1B28D" w14:textId="77777777">
                <w:pPr>
                  <w:jc w:val="both"/>
                  <w:rPr>
                    <w:szCs w:val="24"/>
                    <w:lang w:val="x-none"/>
                  </w:rPr>
                </w:pPr>
                <w:r>
                  <w:rPr>
                    <w:szCs w:val="24"/>
                  </w:rPr>
                  <w:t>3.</w:t>
                </w:r>
                <w:r>
                  <w:rPr>
                    <w:b/>
                    <w:bCs/>
                    <w:szCs w:val="24"/>
                  </w:rPr>
                  <w:t> Moterų ir vyrų lygių teisių pažeidimas </w:t>
                </w:r>
                <w:r>
                  <w:rPr>
                    <w:szCs w:val="24"/>
                  </w:rPr>
                  <w:t>– diskriminacija dėl lyties.</w:t>
                </w:r>
                <w:r>
                  <w:rPr>
                    <w:b/>
                    <w:bCs/>
                    <w:szCs w:val="24"/>
                  </w:rPr>
                  <w:t> </w:t>
                </w:r>
                <w:r>
                  <w:rPr>
                    <w:szCs w:val="24"/>
                  </w:rPr>
                  <w:t>Tai, kad asmuo atmeta moterų ir vyrų lygias teises pažeidžiantį elgesį arba paklūsta jam, negali daryti įtakos su tuo asmeniu susijusiems sprendimams.</w:t>
                </w:r>
              </w:p>
              <w:p w14:paraId="61EBA031" w14:textId="2722D8C3">
                <w:pPr>
                  <w:jc w:val="both"/>
                  <w:rPr>
                    <w:szCs w:val="24"/>
                  </w:rPr>
                </w:pPr>
                <w:r>
                  <w:rPr>
                    <w:szCs w:val="24"/>
                  </w:rPr>
                  <w:t>&lt;...&gt;</w:t>
                </w:r>
              </w:p>
              <w:p w14:paraId="276D50E4" w14:textId="77777777">
                <w:pPr>
                  <w:jc w:val="both"/>
                  <w:rPr>
                    <w:szCs w:val="24"/>
                  </w:rPr>
                </w:pPr>
                <w:r>
                  <w:rPr>
                    <w:szCs w:val="24"/>
                    <w:lang w:val="x-none"/>
                  </w:rPr>
                  <w:t xml:space="preserve">4. </w:t>
                </w:r>
                <w:r>
                  <w:rPr>
                    <w:b/>
                    <w:bCs/>
                    <w:szCs w:val="24"/>
                    <w:lang w:val="x-none"/>
                  </w:rPr>
                  <w:t>Netiesioginė diskriminacija</w:t>
                </w:r>
                <w:r>
                  <w:rPr>
                    <w:szCs w:val="24"/>
                    <w:lang w:val="x-none"/>
                  </w:rPr>
                  <w:t> – veikimas ar neveikimas, teisės norma, vertinimo kriterijus ar praktika, kurie formaliai yra vienodi moterims ir vyrams, bet juos įgyvendinant ar taikant vienos lyties asmenys gali atsidurti ar atsiduria tam tikroje mažiau palankioje padėtyje negu kitos lyties asmenys, nebent šį veikimą ar neveikimą, teisės normą, vertinimo kriterijų ar praktiką objektyviai pateisina teisėtas tikslas, o šio tikslo siekiama tinkamomis ir būtinomis priemonėmis.</w:t>
                </w:r>
              </w:p>
              <w:p w14:paraId="27C5138C" w14:textId="53930B05">
                <w:pPr>
                  <w:jc w:val="both"/>
                  <w:rPr>
                    <w:szCs w:val="24"/>
                  </w:rPr>
                </w:pPr>
                <w:r>
                  <w:rPr>
                    <w:szCs w:val="24"/>
                  </w:rPr>
                  <w:t>&lt;...&gt;</w:t>
                </w:r>
              </w:p>
              <w:p w14:paraId="4E8B97BB" w14:textId="77777777">
                <w:pPr>
                  <w:jc w:val="both"/>
                  <w:rPr>
                    <w:szCs w:val="24"/>
                  </w:rPr>
                </w:pPr>
                <w:r>
                  <w:rPr>
                    <w:szCs w:val="24"/>
                  </w:rPr>
                  <w:t>7.</w:t>
                </w:r>
                <w:r>
                  <w:rPr>
                    <w:b/>
                    <w:bCs/>
                    <w:szCs w:val="24"/>
                  </w:rPr>
                  <w:t> Tiesioginė diskriminacija</w:t>
                </w:r>
                <w:r>
                  <w:rPr>
                    <w:szCs w:val="24"/>
                  </w:rPr>
                  <w:t> – ne toks palankus asmens traktavimas dėl lyties, negu panašiomis aplinkybėmis yra, buvo ar būtų traktuojamas kitas asmuo.</w:t>
                </w:r>
              </w:p>
              <w:p w14:paraId="3352DDC2" w14:textId="77777777">
                <w:pPr>
                  <w:jc w:val="both"/>
                  <w:rPr>
                    <w:szCs w:val="24"/>
                  </w:rPr>
                </w:pPr>
              </w:p>
              <w:p w14:paraId="06CA18B7" w14:textId="78D745D2">
                <w:pPr>
                  <w:jc w:val="both"/>
                  <w:rPr>
                    <w:b/>
                    <w:bCs/>
                    <w:szCs w:val="24"/>
                  </w:rPr>
                </w:pPr>
                <w:r>
                  <w:rPr>
                    <w:b/>
                    <w:bCs/>
                    <w:szCs w:val="24"/>
                  </w:rPr>
                  <w:t>Įstatymas Nr. 1</w:t>
                </w:r>
              </w:p>
              <w:p w14:paraId="6F9D098D" w14:textId="77777777">
                <w:pPr>
                  <w:jc w:val="both"/>
                  <w:rPr>
                    <w:b/>
                    <w:bCs/>
                    <w:szCs w:val="24"/>
                    <w:lang w:eastAsia="lt-LT"/>
                  </w:rPr>
                </w:pPr>
                <w:r>
                  <w:rPr>
                    <w:b/>
                    <w:bCs/>
                    <w:szCs w:val="24"/>
                    <w:lang w:eastAsia="lt-LT"/>
                  </w:rPr>
                  <w:t>3 straipsnis. Įstatymo papildymas 6</w:t>
                </w:r>
                <w:r>
                  <w:rPr>
                    <w:b/>
                    <w:bCs/>
                    <w:szCs w:val="24"/>
                    <w:vertAlign w:val="superscript"/>
                    <w:lang w:eastAsia="lt-LT"/>
                  </w:rPr>
                  <w:t>1</w:t>
                </w:r>
                <w:r>
                  <w:rPr>
                    <w:b/>
                    <w:bCs/>
                    <w:szCs w:val="24"/>
                    <w:lang w:eastAsia="lt-LT"/>
                  </w:rPr>
                  <w:t> straipsniu</w:t>
                </w:r>
              </w:p>
              <w:p w14:paraId="76846825" w14:textId="77777777">
                <w:pPr>
                  <w:jc w:val="both"/>
                  <w:rPr>
                    <w:szCs w:val="24"/>
                    <w:lang w:eastAsia="lt-LT"/>
                  </w:rPr>
                </w:pPr>
                <w:r>
                  <w:rPr>
                    <w:szCs w:val="24"/>
                    <w:lang w:eastAsia="lt-LT"/>
                  </w:rPr>
                  <w:t>Papildyti Įstatymą 6</w:t>
                </w:r>
                <w:r>
                  <w:rPr>
                    <w:szCs w:val="24"/>
                    <w:vertAlign w:val="superscript"/>
                    <w:lang w:eastAsia="lt-LT"/>
                  </w:rPr>
                  <w:t>1</w:t>
                </w:r>
                <w:r>
                  <w:rPr>
                    <w:szCs w:val="24"/>
                    <w:lang w:eastAsia="lt-LT"/>
                  </w:rPr>
                  <w:t> straipsniu:</w:t>
                </w:r>
              </w:p>
              <w:p w14:paraId="509C5272" w14:textId="77777777">
                <w:pPr>
                  <w:jc w:val="both"/>
                  <w:rPr>
                    <w:b/>
                    <w:bCs/>
                    <w:szCs w:val="24"/>
                    <w:lang w:eastAsia="lt-LT"/>
                  </w:rPr>
                </w:pPr>
                <w:r>
                  <w:rPr>
                    <w:szCs w:val="24"/>
                    <w:lang w:eastAsia="lt-LT"/>
                  </w:rPr>
                  <w:t>„</w:t>
                </w:r>
                <w:r>
                  <w:rPr>
                    <w:b/>
                    <w:bCs/>
                    <w:szCs w:val="24"/>
                    <w:lang w:eastAsia="lt-LT"/>
                  </w:rPr>
                  <w:t>6</w:t>
                </w:r>
                <w:r>
                  <w:rPr>
                    <w:b/>
                    <w:bCs/>
                    <w:szCs w:val="24"/>
                    <w:vertAlign w:val="superscript"/>
                    <w:lang w:eastAsia="lt-LT"/>
                  </w:rPr>
                  <w:t>1</w:t>
                </w:r>
                <w:r>
                  <w:rPr>
                    <w:b/>
                    <w:bCs/>
                    <w:szCs w:val="24"/>
                    <w:lang w:eastAsia="lt-LT"/>
                  </w:rPr>
                  <w:t xml:space="preserve"> straipsnis. Moterų ir vyrų lygių galimybių įgyvendinimas didelių įmonių valdymo ir priežiūros organuose</w:t>
                </w:r>
              </w:p>
              <w:p w14:paraId="1813B4C3" w14:textId="1D02637E">
                <w:pPr>
                  <w:jc w:val="both"/>
                  <w:rPr>
                    <w:szCs w:val="24"/>
                    <w:lang w:eastAsia="lt-LT"/>
                  </w:rPr>
                </w:pPr>
                <w:r>
                  <w:rPr>
                    <w:szCs w:val="24"/>
                  </w:rPr>
                  <w:t xml:space="preserve">&lt;...&gt; 4. </w:t>
                </w:r>
                <w:r>
                  <w:t>Jeigu kandidatų į skiriamą ar renkamą didelės įmonės vadovo, valdybos nario, stebėtojų tarybos nario poziciją atranka vykdoma balsuojant akcininkams, kitiems juridinio asmens dalyviams, didelės įmonės užtikrina, kad balsavime dalyvaujantys asmenys būtų informuoti apie šiame straipsnyje nustatytus reikalavimus ir taikytiną atsakomybę, jeigu jų nesilaikoma.</w:t>
                </w:r>
                <w:r>
                  <w:rPr>
                    <w:szCs w:val="24"/>
                    <w:lang w:eastAsia="lt-LT"/>
                  </w:rPr>
                  <w:t xml:space="preserve"> &lt;...&gt;“</w:t>
                </w:r>
              </w:p>
              <w:p w14:paraId="470A4C0B" w14:textId="77777777">
                <w:pPr>
                  <w:jc w:val="both"/>
                  <w:rPr>
                    <w:b/>
                    <w:bCs/>
                    <w:szCs w:val="24"/>
                  </w:rPr>
                </w:pPr>
              </w:p>
              <w:p w14:paraId="71142C77" w14:textId="77777777">
                <w:pPr>
                  <w:jc w:val="both"/>
                  <w:rPr>
                    <w:b/>
                    <w:bCs/>
                    <w:szCs w:val="24"/>
                    <w:lang w:eastAsia="lt-LT"/>
                  </w:rPr>
                </w:pPr>
                <w:r>
                  <w:rPr>
                    <w:b/>
                    <w:bCs/>
                    <w:szCs w:val="24"/>
                    <w:lang w:eastAsia="lt-LT"/>
                  </w:rPr>
                  <w:t>5 straipsnis. Įstatymo papildymas 11</w:t>
                </w:r>
                <w:r>
                  <w:rPr>
                    <w:b/>
                    <w:bCs/>
                    <w:szCs w:val="24"/>
                    <w:vertAlign w:val="superscript"/>
                    <w:lang w:eastAsia="lt-LT"/>
                  </w:rPr>
                  <w:t>1</w:t>
                </w:r>
                <w:r>
                  <w:rPr>
                    <w:b/>
                    <w:bCs/>
                    <w:szCs w:val="24"/>
                    <w:lang w:eastAsia="lt-LT"/>
                  </w:rPr>
                  <w:t> straipsniu</w:t>
                </w:r>
              </w:p>
              <w:p w14:paraId="2DFAD5B5" w14:textId="77777777">
                <w:pPr>
                  <w:jc w:val="both"/>
                  <w:rPr>
                    <w:szCs w:val="24"/>
                    <w:lang w:eastAsia="lt-LT"/>
                  </w:rPr>
                </w:pPr>
                <w:r>
                  <w:rPr>
                    <w:szCs w:val="24"/>
                    <w:lang w:eastAsia="lt-LT"/>
                  </w:rPr>
                  <w:t>Papildyti Įstatymą 11</w:t>
                </w:r>
                <w:r>
                  <w:rPr>
                    <w:szCs w:val="24"/>
                    <w:vertAlign w:val="superscript"/>
                    <w:lang w:eastAsia="lt-LT"/>
                  </w:rPr>
                  <w:t>1</w:t>
                </w:r>
                <w:r>
                  <w:rPr>
                    <w:szCs w:val="24"/>
                    <w:lang w:eastAsia="lt-LT"/>
                  </w:rPr>
                  <w:t> straipsniu:</w:t>
                </w:r>
              </w:p>
              <w:p w14:paraId="0AE539A1" w14:textId="77777777">
                <w:pPr>
                  <w:jc w:val="both"/>
                  <w:rPr>
                    <w:b/>
                    <w:bCs/>
                    <w:szCs w:val="24"/>
                    <w:lang w:eastAsia="lt-LT"/>
                  </w:rPr>
                </w:pPr>
                <w:r>
                  <w:rPr>
                    <w:b/>
                    <w:bCs/>
                    <w:szCs w:val="24"/>
                    <w:lang w:eastAsia="lt-LT"/>
                  </w:rPr>
                  <w:t>„11</w:t>
                </w:r>
                <w:r>
                  <w:rPr>
                    <w:b/>
                    <w:bCs/>
                    <w:szCs w:val="24"/>
                    <w:vertAlign w:val="superscript"/>
                    <w:lang w:eastAsia="lt-LT"/>
                  </w:rPr>
                  <w:t xml:space="preserve">1 </w:t>
                </w:r>
                <w:r>
                  <w:rPr>
                    <w:b/>
                    <w:bCs/>
                    <w:szCs w:val="24"/>
                    <w:lang w:eastAsia="lt-LT"/>
                  </w:rPr>
                  <w:t>straipsnis. Moterų ir vyrų lygias teises pažeidžiantys veiksmai didelių įmonių valdymo ir priežiūros organuose</w:t>
                </w:r>
              </w:p>
              <w:p w14:paraId="16E083CC" w14:textId="77777777">
                <w:pPr>
                  <w:jc w:val="both"/>
                  <w:rPr>
                    <w:szCs w:val="24"/>
                  </w:rPr>
                </w:pPr>
                <w:r>
                  <w:rPr>
                    <w:szCs w:val="24"/>
                  </w:rPr>
                  <w:t>Didelių įmonių veiksmai pripažįstami pažeidžiančiais moterų ir vyrų lygias teises, jeigu šios įmonės dėl asmens lyties:</w:t>
                </w:r>
              </w:p>
              <w:p w14:paraId="3E2CE654" w14:textId="77777777">
                <w:pPr>
                  <w:jc w:val="both"/>
                  <w:rPr>
                    <w:szCs w:val="24"/>
                  </w:rPr>
                </w:pPr>
                <w:r>
                  <w:rPr>
                    <w:szCs w:val="24"/>
                  </w:rPr>
                  <w:t>1) vykdydamos atranką į didelės įmonės vadovo, valdybos narių, stebėtojų tarybos narių pozicijas nenustato reikalavimų ir kriterijų, taikomų kandidatams, siekiantiems užimti tam tikrą poziciją, arba nesivadovauja nustatytais reikalavimais ir kriterijais;</w:t>
                </w:r>
              </w:p>
              <w:p w14:paraId="5B8CE75A" w14:textId="77777777">
                <w:pPr>
                  <w:jc w:val="both"/>
                  <w:rPr>
                    <w:szCs w:val="24"/>
                  </w:rPr>
                </w:pPr>
                <w:r>
                  <w:rPr>
                    <w:szCs w:val="24"/>
                  </w:rPr>
                  <w:t>2) nesiima priemonių, kad didelės įmonės valdymo ir priežiūros organuose nepakankamai atstovaujamos lyties asmenys užimtų ne mažiau kaip 33 proc. (bet ne daugiau kaip 49 proc.) įmonės vadovo, valdybos narių, stebėtojų tarybos narių pozicijų</w:t>
                </w:r>
                <w:r>
                  <w:rPr>
                    <w:szCs w:val="24"/>
                    <w:lang w:eastAsia="lt-LT"/>
                  </w:rPr>
                  <w:t>.“</w:t>
                </w:r>
              </w:p>
              <w:p w14:paraId="02F51440" w14:textId="77777777">
                <w:pPr>
                  <w:jc w:val="both"/>
                  <w:rPr>
                    <w:b/>
                    <w:bCs/>
                    <w:szCs w:val="24"/>
                  </w:rPr>
                </w:pPr>
              </w:p>
              <w:p w14:paraId="0D173321" w14:textId="6B8CDF72">
                <w:pPr>
                  <w:jc w:val="both"/>
                  <w:rPr>
                    <w:b/>
                    <w:bCs/>
                    <w:szCs w:val="24"/>
                  </w:rPr>
                </w:pPr>
                <w:r>
                  <w:rPr>
                    <w:b/>
                    <w:bCs/>
                    <w:szCs w:val="24"/>
                  </w:rPr>
                  <w:t>Administracinių nusižengimų kodeksas</w:t>
                </w:r>
              </w:p>
              <w:p w14:paraId="03316AED" w14:textId="77777777">
                <w:pPr>
                  <w:jc w:val="both"/>
                  <w:rPr>
                    <w:b/>
                    <w:bCs/>
                    <w:szCs w:val="24"/>
                  </w:rPr>
                </w:pPr>
              </w:p>
              <w:p w14:paraId="19DFAC17" w14:textId="77777777">
                <w:pPr>
                  <w:ind w:firstLine="29"/>
                  <w:jc w:val="both"/>
                  <w:rPr>
                    <w:szCs w:val="24"/>
                  </w:rPr>
                </w:pPr>
                <w:r>
                  <w:rPr>
                    <w:b/>
                    <w:bCs/>
                    <w:szCs w:val="24"/>
                  </w:rPr>
                  <w:t>81 straipsnis. Moterų ir vyrų lygių teisių ir lygių galimybių pažeidimas</w:t>
                </w:r>
              </w:p>
              <w:p w14:paraId="34D9A55B" w14:textId="77777777">
                <w:pPr>
                  <w:ind w:firstLine="29"/>
                  <w:jc w:val="both"/>
                  <w:rPr>
                    <w:szCs w:val="24"/>
                  </w:rPr>
                </w:pPr>
                <w:r>
                  <w:rPr>
                    <w:szCs w:val="24"/>
                  </w:rPr>
                  <w:t>1. Lietuvos Respublikos moterų ir vyrų lygių galimybių įstatyme nustatytų moterų ir vyrų lygių teisių bei Lietuvos Respublikos lygių galimybių įstatyme nustatytų lygių galimybių pažeidimas</w:t>
                </w:r>
              </w:p>
              <w:p w14:paraId="1CA96AFA" w14:textId="77777777">
                <w:pPr>
                  <w:ind w:firstLine="29"/>
                  <w:jc w:val="both"/>
                  <w:rPr>
                    <w:szCs w:val="24"/>
                  </w:rPr>
                </w:pPr>
                <w:r>
                  <w:rPr>
                    <w:szCs w:val="24"/>
                  </w:rPr>
                  <w:t>užtraukia baudą juridinių asmenų vadovams, darbdaviams ar kitiems atsakingiems asmenims nuo keturiasdešimt iki penkių šimtų šešiasdešimt eurų.</w:t>
                </w:r>
              </w:p>
              <w:p w14:paraId="2A79C746" w14:textId="77777777">
                <w:pPr>
                  <w:ind w:firstLine="29"/>
                  <w:jc w:val="both"/>
                  <w:rPr>
                    <w:szCs w:val="24"/>
                  </w:rPr>
                </w:pPr>
                <w:r>
                  <w:rPr>
                    <w:szCs w:val="24"/>
                  </w:rPr>
                  <w:t>2. Šio straipsnio 1 dalyje numatytas administracinis nusižengimas, padarytas pakartotinai,</w:t>
                </w:r>
              </w:p>
              <w:p w14:paraId="1CDE82BA" w14:textId="77777777">
                <w:pPr>
                  <w:ind w:firstLine="29"/>
                  <w:jc w:val="both"/>
                  <w:rPr>
                    <w:szCs w:val="24"/>
                  </w:rPr>
                </w:pPr>
                <w:r>
                  <w:rPr>
                    <w:szCs w:val="24"/>
                  </w:rPr>
                  <w:t>užtraukia baudą nuo penkių šimtų šešiasdešimt iki vieno tūkstančio dviejų šimtų eurų.</w:t>
                </w:r>
              </w:p>
              <w:p w14:paraId="5F5EB12E" w14:textId="77777777">
                <w:pPr>
                  <w:jc w:val="both"/>
                  <w:rPr>
                    <w:szCs w:val="24"/>
                  </w:rPr>
                </w:pPr>
              </w:p>
              <w:p w14:paraId="7B7487DF" w14:textId="46B0AEF5">
                <w:pPr>
                  <w:jc w:val="both"/>
                  <w:rPr>
                    <w:szCs w:val="24"/>
                  </w:rPr>
                </w:pPr>
              </w:p>
            </w:tc>
            <w:tc>
              <w:tcPr>
                <w:tcW w:w="1802" w:type="dxa"/>
              </w:tcPr>
              <w:p w14:paraId="408D6E6C" w14:textId="72970BC8">
                <w:pPr>
                  <w:jc w:val="both"/>
                  <w:rPr>
                    <w:b/>
                    <w:bCs/>
                    <w:szCs w:val="24"/>
                  </w:rPr>
                </w:pPr>
                <w:r>
                  <w:rPr>
                    <w:b/>
                    <w:bCs/>
                    <w:szCs w:val="24"/>
                  </w:rPr>
                  <w:t>Visiškas</w:t>
                </w:r>
              </w:p>
            </w:tc>
          </w:tr>
          <w:tr w14:paraId="7EFBCB14" w14:textId="77777777">
            <w:tc>
              <w:tcPr>
                <w:tcW w:w="6065" w:type="dxa"/>
              </w:tcPr>
              <w:p w14:paraId="584A0338" w14:textId="77777777">
                <w:pPr>
                  <w:jc w:val="both"/>
                  <w:rPr>
                    <w:b/>
                    <w:bCs/>
                    <w:szCs w:val="24"/>
                  </w:rPr>
                </w:pPr>
                <w:r>
                  <w:rPr>
                    <w:b/>
                    <w:bCs/>
                    <w:szCs w:val="24"/>
                  </w:rPr>
                  <w:t>8 straipsnis</w:t>
                </w:r>
              </w:p>
              <w:p w14:paraId="2A6A6359" w14:textId="77777777">
                <w:pPr>
                  <w:jc w:val="both"/>
                  <w:rPr>
                    <w:b/>
                    <w:bCs/>
                    <w:szCs w:val="24"/>
                  </w:rPr>
                </w:pPr>
                <w:r>
                  <w:rPr>
                    <w:b/>
                    <w:bCs/>
                    <w:szCs w:val="24"/>
                  </w:rPr>
                  <w:t>Sankcijos ir papildomos priemonės</w:t>
                </w:r>
              </w:p>
              <w:p w14:paraId="4E72054E" w14:textId="5068ED6A">
                <w:pPr>
                  <w:jc w:val="both"/>
                  <w:rPr>
                    <w:szCs w:val="24"/>
                  </w:rPr>
                </w:pPr>
                <w:r>
                  <w:rPr>
                    <w:szCs w:val="24"/>
                  </w:rPr>
                  <w:t xml:space="preserve">1. Valstybės narės nustato taisykles dėl sankcijų, taikytinų biržinėms bendrovėms už nacionalinių nuostatų, priimtų pagal 5 straipsnio 2 dalį ir 6 bei 7 straipsnius, priklausomai nuo to, kas taikytina, pažeidimus, ir imasi visų būtinų priemonių užtikrinti, kad jos būtų vykdomos. Visų pirma, valstybės narės užtikrina, kad būtų nustatytos tinkamos administracinės ar teisminės procedūros, kad būtų sudarytos sąlygos užtikrinti iš šios direktyvos kylančių pareigų  vykdymą. Sankcijos turi būti veiksmingos, proporcingos ir atgrasomos. Tokios sankcijos, be kita ko, gali būti baudos arba galimybė teisminei institucijai panaikinti su direktorių atranka susijusį sprendimą, priimtą pažeidžiant pagal 6 straipsnį priimtas nacionalines nuostatas, arba paskelbti jį niekiniu. Valstybės narės ne vėliau kaip 2024 m. gruodžio 28 d. praneša apie tas taisykles ir tas priemones Komisijai ir nedelsdamos jai praneša apie visus vėlesnius joms įtakos turinčius dalinius pakeitimus.</w:t>
                </w:r>
              </w:p>
            </w:tc>
            <w:tc>
              <w:tcPr>
                <w:tcW w:w="6693" w:type="dxa"/>
              </w:tcPr>
              <w:p w14:paraId="481E5D36" w14:textId="77777777">
                <w:pPr>
                  <w:jc w:val="both"/>
                  <w:rPr>
                    <w:b/>
                    <w:bCs/>
                    <w:szCs w:val="24"/>
                  </w:rPr>
                </w:pPr>
                <w:r>
                  <w:rPr>
                    <w:b/>
                    <w:bCs/>
                    <w:szCs w:val="24"/>
                  </w:rPr>
                  <w:t>Projektas</w:t>
                </w:r>
              </w:p>
              <w:p w14:paraId="77DBEA30" w14:textId="77777777">
                <w:pPr>
                  <w:jc w:val="both"/>
                  <w:rPr>
                    <w:b/>
                    <w:bCs/>
                    <w:szCs w:val="24"/>
                  </w:rPr>
                </w:pPr>
                <w:r>
                  <w:rPr>
                    <w:b/>
                    <w:bCs/>
                    <w:szCs w:val="24"/>
                  </w:rPr>
                  <w:t>29 straipsnis. Lygių galimybių kontrolieriaus sprendimai</w:t>
                </w:r>
              </w:p>
              <w:p w14:paraId="4AB41D3C" w14:textId="77777777">
                <w:pPr>
                  <w:jc w:val="both"/>
                  <w:rPr>
                    <w:b/>
                    <w:bCs/>
                    <w:szCs w:val="24"/>
                  </w:rPr>
                </w:pPr>
                <w:r>
                  <w:rPr>
                    <w:b/>
                    <w:bCs/>
                    <w:szCs w:val="24"/>
                  </w:rPr>
                  <w:t xml:space="preserve">1. Lygių galimybių kontrolierius, atlikdamas lygių galimybių pažeidimo tyrimą pagal pateiktą skundą arba savo iniciatyva ar jį atlikęs, priima vieną arba kelis iš šių sprendimų:      </w:t>
                </w:r>
              </w:p>
              <w:p w14:paraId="7AD272EA" w14:textId="77777777">
                <w:pPr>
                  <w:jc w:val="both"/>
                  <w:rPr>
                    <w:b/>
                    <w:bCs/>
                    <w:szCs w:val="24"/>
                  </w:rPr>
                </w:pPr>
                <w:r>
                  <w:rPr>
                    <w:b/>
                    <w:bCs/>
                    <w:szCs w:val="24"/>
                  </w:rPr>
                  <w:t>1) perduoti turimą tyrimo informaciją ir medžiagą ikiteisminio tyrimo įstaigai ar prokurorui, jeigu nustatomi galimi nusikalstamos veikos požymiai;</w:t>
                </w:r>
              </w:p>
              <w:p w14:paraId="768F7F54" w14:textId="77777777">
                <w:pPr>
                  <w:jc w:val="both"/>
                  <w:rPr>
                    <w:b/>
                    <w:bCs/>
                    <w:szCs w:val="24"/>
                  </w:rPr>
                </w:pPr>
                <w:r>
                  <w:rPr>
                    <w:b/>
                    <w:bCs/>
                    <w:szCs w:val="24"/>
                  </w:rPr>
                  <w:t>2) kreiptis į atitinkamą asmenį ir siūlyti jam nutraukti lygias galimybes pažeidžiančius veiksmus ar neveikimą;</w:t>
                </w:r>
              </w:p>
              <w:p w14:paraId="7A14B153" w14:textId="77777777">
                <w:pPr>
                  <w:jc w:val="both"/>
                  <w:rPr>
                    <w:b/>
                    <w:bCs/>
                    <w:szCs w:val="24"/>
                  </w:rPr>
                </w:pPr>
                <w:r>
                  <w:rPr>
                    <w:b/>
                    <w:bCs/>
                    <w:szCs w:val="24"/>
                  </w:rPr>
                  <w:t>3) kreiptis į norminį administracinį aktą arba administracinį sprendimą priėmusį (-ius) subjektą (-us) ir siūlyti jam pakeisti ar panaikinti norminį administracinį aktą (jo dalį) arba administracinį sprendimą (jo dalį), susijusį (-ią) su lygių galimybių pažeidimu;</w:t>
                </w:r>
              </w:p>
              <w:p w14:paraId="06E3A814" w14:textId="77777777">
                <w:pPr>
                  <w:jc w:val="both"/>
                  <w:rPr>
                    <w:b/>
                    <w:bCs/>
                    <w:szCs w:val="24"/>
                  </w:rPr>
                </w:pPr>
                <w:r>
                  <w:rPr>
                    <w:b/>
                    <w:bCs/>
                    <w:szCs w:val="24"/>
                  </w:rPr>
                  <w:t>4) pradėti administracinių nusižengimų teiseną;</w:t>
                </w:r>
              </w:p>
              <w:p w14:paraId="66B3C288" w14:textId="77777777">
                <w:pPr>
                  <w:jc w:val="both"/>
                  <w:rPr>
                    <w:b/>
                    <w:bCs/>
                    <w:szCs w:val="24"/>
                  </w:rPr>
                </w:pPr>
                <w:r>
                  <w:rPr>
                    <w:b/>
                    <w:bCs/>
                    <w:szCs w:val="24"/>
                  </w:rPr>
                  <w:t>5) pripažinti skundą nepagrįstu, jeigu tyrimo metu nepasitvirtino skunde nurodyto lygių galimybių pažeidimo faktas;</w:t>
                </w:r>
              </w:p>
              <w:p w14:paraId="193ACF40" w14:textId="77777777">
                <w:pPr>
                  <w:jc w:val="both"/>
                  <w:rPr>
                    <w:b/>
                    <w:bCs/>
                    <w:szCs w:val="24"/>
                  </w:rPr>
                </w:pPr>
                <w:r>
                  <w:rPr>
                    <w:b/>
                    <w:bCs/>
                    <w:szCs w:val="24"/>
                  </w:rPr>
                  <w:t>6) įspėti atitinkamą asmenį dėl padaryto lygių galimybių pažeidimo;</w:t>
                </w:r>
              </w:p>
              <w:p w14:paraId="002D76B0" w14:textId="77777777">
                <w:pPr>
                  <w:jc w:val="both"/>
                  <w:rPr>
                    <w:b/>
                    <w:bCs/>
                    <w:szCs w:val="24"/>
                  </w:rPr>
                </w:pPr>
                <w:r>
                  <w:rPr>
                    <w:b/>
                    <w:bCs/>
                    <w:szCs w:val="24"/>
                  </w:rPr>
                  <w:t>7) įpareigoti reklaminės veiklos subjektus nutraukti lygias galimybes pažeidžiančią reklamą ir nustatyti šio įpareigojimo įvykdymo terminą;</w:t>
                </w:r>
              </w:p>
              <w:p w14:paraId="6B2EE665" w14:textId="77777777">
                <w:pPr>
                  <w:jc w:val="both"/>
                  <w:rPr>
                    <w:b/>
                    <w:bCs/>
                    <w:szCs w:val="24"/>
                  </w:rPr>
                </w:pPr>
                <w:r>
                  <w:rPr>
                    <w:b/>
                    <w:bCs/>
                    <w:szCs w:val="24"/>
                  </w:rPr>
                  <w:t>8) su pareiškimu kreiptis į administracinį teismą, prašant ištirti, ar norminis administracinis aktas (jo dalis) atitinka įstatymą arba Vyriausybės norminį teisės aktą, ar konkrečios bendrijos, politinės partijos, politinės organizacijos ar asociacijos priimtas bendro pobūdžio teisės aktas atitinka šį įstatymą arba Moterų ir vyrų lygių galimybių įstatymą;</w:t>
                </w:r>
              </w:p>
              <w:p w14:paraId="0149B432" w14:textId="77777777">
                <w:pPr>
                  <w:jc w:val="both"/>
                  <w:rPr>
                    <w:b/>
                    <w:bCs/>
                    <w:szCs w:val="24"/>
                  </w:rPr>
                </w:pPr>
                <w:r>
                  <w:rPr>
                    <w:b/>
                    <w:bCs/>
                    <w:szCs w:val="24"/>
                  </w:rPr>
                  <w:t>9) siūlyti Vyriausiajai tarnybinės etikos komisijai atlikti tyrimą, siekiant nustatyti, ar valstybės tarnyboje dirbantis asmuo nepažeidė Viešųjų ir privačių interesų derinimo įstatymo;</w:t>
                </w:r>
              </w:p>
              <w:p w14:paraId="03929BA3" w14:textId="77777777">
                <w:pPr>
                  <w:jc w:val="both"/>
                  <w:rPr>
                    <w:b/>
                    <w:bCs/>
                    <w:szCs w:val="24"/>
                  </w:rPr>
                </w:pPr>
                <w:r>
                  <w:rPr>
                    <w:b/>
                    <w:bCs/>
                    <w:szCs w:val="24"/>
                  </w:rPr>
                  <w:t xml:space="preserve">10) kreiptis į teismą dėl viešojo intereso gynimo.  </w:t>
                </w:r>
              </w:p>
              <w:p w14:paraId="2A697BE8" w14:textId="77777777">
                <w:pPr>
                  <w:jc w:val="both"/>
                  <w:rPr>
                    <w:b/>
                    <w:bCs/>
                    <w:szCs w:val="24"/>
                  </w:rPr>
                </w:pPr>
                <w:r>
                  <w:rPr>
                    <w:b/>
                    <w:bCs/>
                    <w:szCs w:val="24"/>
                  </w:rPr>
                  <w:t>2. Šio straipsnio 1 dalyje nurodytas sprendimas turi atitikti Viešojo administravimo įstatyme administraciniam sprendimui nustatytus reikalavimus. Sprendimą pasirašo lygių galimybių kontrolierius. Apie priimtą sprendimą pareiškėjas informuojamas Viešojo administravimo įstatyme nustatyta tvarka.</w:t>
                </w:r>
              </w:p>
              <w:p w14:paraId="2BC34164" w14:textId="77777777">
                <w:pPr>
                  <w:jc w:val="both"/>
                  <w:rPr>
                    <w:b/>
                    <w:bCs/>
                    <w:szCs w:val="24"/>
                  </w:rPr>
                </w:pPr>
                <w:r>
                  <w:rPr>
                    <w:b/>
                    <w:bCs/>
                    <w:szCs w:val="24"/>
                  </w:rPr>
                  <w:t xml:space="preserve">3. Lygių galimybių pažeidimo tyrimas gali būti nutrauktas, jei: </w:t>
                </w:r>
              </w:p>
              <w:p w14:paraId="7CB0662A" w14:textId="77777777">
                <w:pPr>
                  <w:jc w:val="both"/>
                  <w:rPr>
                    <w:b/>
                    <w:bCs/>
                    <w:szCs w:val="24"/>
                  </w:rPr>
                </w:pPr>
                <w:r>
                  <w:rPr>
                    <w:b/>
                    <w:bCs/>
                    <w:szCs w:val="24"/>
                  </w:rPr>
                  <w:t>1) pareiškėjas skundą atsiima;</w:t>
                </w:r>
              </w:p>
              <w:p w14:paraId="164C50BC" w14:textId="77777777">
                <w:pPr>
                  <w:jc w:val="both"/>
                  <w:rPr>
                    <w:b/>
                    <w:bCs/>
                    <w:szCs w:val="24"/>
                  </w:rPr>
                </w:pPr>
                <w:r>
                  <w:rPr>
                    <w:b/>
                    <w:bCs/>
                    <w:szCs w:val="24"/>
                  </w:rPr>
                  <w:t xml:space="preserve">2) trūksta duomenų, kad būtų galima nustatyti pažeidėją ar ištirti padarytą lygių galimybių pažeidimą; </w:t>
                </w:r>
              </w:p>
              <w:p w14:paraId="08C1F4B9" w14:textId="77777777">
                <w:pPr>
                  <w:jc w:val="both"/>
                  <w:rPr>
                    <w:b/>
                    <w:bCs/>
                    <w:szCs w:val="24"/>
                  </w:rPr>
                </w:pPr>
                <w:r>
                  <w:rPr>
                    <w:b/>
                    <w:bCs/>
                    <w:szCs w:val="24"/>
                  </w:rPr>
                  <w:t>3) lygias galimybes pažeidžiantys veiksmai ar neveikimas nutraukiami;</w:t>
                </w:r>
              </w:p>
              <w:p w14:paraId="13D60812" w14:textId="77777777">
                <w:pPr>
                  <w:jc w:val="both"/>
                  <w:rPr>
                    <w:b/>
                    <w:bCs/>
                    <w:szCs w:val="24"/>
                  </w:rPr>
                </w:pPr>
                <w:r>
                  <w:rPr>
                    <w:b/>
                    <w:bCs/>
                    <w:szCs w:val="24"/>
                  </w:rPr>
                  <w:t>4) lygias galimybes pažeidžiantis norminis administracinis aktas (jo dalis) arba administracinis sprendimas (jo dalis) pakeičiamas ar pripažįstamas netekusiu galios.</w:t>
                </w:r>
              </w:p>
              <w:p w14:paraId="7EEA9962" w14:textId="0BD250CC">
                <w:pPr>
                  <w:jc w:val="both"/>
                  <w:rPr>
                    <w:b/>
                    <w:bCs/>
                    <w:szCs w:val="24"/>
                  </w:rPr>
                </w:pPr>
                <w:r>
                  <w:rPr>
                    <w:b/>
                    <w:bCs/>
                    <w:szCs w:val="24"/>
                  </w:rPr>
                  <w:t>4. Jeigu skundo tyrimo metu išaiškėja šio įstatymo 27 straipsnyje nurodytos aplinkybės arba pareiškėjas ir skundžiamas asmuo sudaro taikos sutartį, tyrimas nutraukiamas.</w:t>
                </w:r>
              </w:p>
              <w:p w14:paraId="6F593FB3" w14:textId="77777777">
                <w:pPr>
                  <w:jc w:val="both"/>
                  <w:rPr>
                    <w:b/>
                    <w:bCs/>
                    <w:szCs w:val="24"/>
                  </w:rPr>
                </w:pPr>
              </w:p>
              <w:p w14:paraId="5EE3357C" w14:textId="77777777">
                <w:pPr>
                  <w:jc w:val="both"/>
                  <w:rPr>
                    <w:b/>
                    <w:szCs w:val="24"/>
                  </w:rPr>
                </w:pPr>
                <w:r>
                  <w:rPr>
                    <w:b/>
                    <w:bCs/>
                    <w:szCs w:val="24"/>
                  </w:rPr>
                  <w:t>Įstatymas</w:t>
                </w:r>
                <w:r>
                  <w:rPr>
                    <w:b/>
                    <w:szCs w:val="24"/>
                  </w:rPr>
                  <w:t xml:space="preserve"> </w:t>
                </w:r>
                <w:r>
                  <w:rPr>
                    <w:b/>
                    <w:bCs/>
                    <w:szCs w:val="24"/>
                  </w:rPr>
                  <w:t>Nr. 1</w:t>
                </w:r>
              </w:p>
              <w:p w14:paraId="4D87B6C7" w14:textId="77777777">
                <w:pPr>
                  <w:jc w:val="both"/>
                  <w:rPr>
                    <w:b/>
                    <w:szCs w:val="24"/>
                  </w:rPr>
                </w:pPr>
              </w:p>
              <w:p w14:paraId="6A7BDD3D" w14:textId="77777777">
                <w:pPr>
                  <w:jc w:val="both"/>
                  <w:rPr>
                    <w:b/>
                    <w:bCs/>
                    <w:szCs w:val="24"/>
                    <w:lang w:eastAsia="lt-LT"/>
                  </w:rPr>
                </w:pPr>
                <w:r>
                  <w:rPr>
                    <w:b/>
                    <w:bCs/>
                    <w:szCs w:val="24"/>
                    <w:lang w:eastAsia="lt-LT"/>
                  </w:rPr>
                  <w:t>6 straipsnis. Įstatymo papildymas 20 straipsniu</w:t>
                </w:r>
              </w:p>
              <w:p w14:paraId="2CE34B0C" w14:textId="77777777">
                <w:pPr>
                  <w:jc w:val="both"/>
                  <w:rPr>
                    <w:szCs w:val="24"/>
                    <w:lang w:eastAsia="lt-LT"/>
                  </w:rPr>
                </w:pPr>
                <w:r>
                  <w:rPr>
                    <w:szCs w:val="24"/>
                    <w:lang w:eastAsia="lt-LT"/>
                  </w:rPr>
                  <w:t>Papildyti Įstatymą 20 straipsniu:</w:t>
                </w:r>
              </w:p>
              <w:p w14:paraId="26C2D5B1" w14:textId="77777777">
                <w:pPr>
                  <w:jc w:val="both"/>
                  <w:rPr>
                    <w:b/>
                    <w:bCs/>
                    <w:szCs w:val="24"/>
                    <w:lang w:eastAsia="lt-LT"/>
                  </w:rPr>
                </w:pPr>
                <w:r>
                  <w:rPr>
                    <w:b/>
                    <w:bCs/>
                    <w:szCs w:val="24"/>
                    <w:lang w:eastAsia="lt-LT"/>
                  </w:rPr>
                  <w:t>„20 straipsnis. Pranešimo apie priemones, skirtas moterų ir vyrų lygioms galimybėms didelių įmonių valdymo ir priežiūros organuose užtikrinti, rengimas Europos Komisijai ir informacijos viešinimas</w:t>
                </w:r>
              </w:p>
              <w:p w14:paraId="1B8CA1F9" w14:textId="0F2827F5">
                <w:pPr>
                  <w:jc w:val="both"/>
                </w:pPr>
                <w:r>
                  <w:t>1. Lietuvos Respublikos socialinės apsaugos ir darbo ministerija ne vėliau kaip iki 2025 m. gruodžio 29 d., o vėliau – kas 2 metus Europos Komisijai raštu pateikia informaciją apie didelių įmonių taikytas priemones, kurių imtasi, kad didelių įmonių valdymo ir priežiūros organuose nepakankamai atstovaujamos lyties asmenys užimtų ne mažiau kaip 33 proc. (bet ne daugiau kaip 49 proc.) įmonės vadovo, valdybos narių, stebėtojų tarybos narių pozicijų. Lygių galimybių kontrolieriaus tarnyba šią informaciją Socialinės apsaugos ir darbo ministerijai raštu pateikia ne vėliau kaip iki 2025 m. gruodžio 15 d., vėliau – kas 2 metus. Kitos didelės įmonės, kitaip nei didelės įmonės, kurių vertybiniais popieriais leista prekiauti reguliuojamoje rinkoje, lyčių lygybės ataskaitą, parengtą pagal socialinės apsaugos ir darbo ministro patvirtintą formą, Lygių galimybių kontrolieriaus tarnybai už praėjusius kalendorinius metus pateikia ne vėliau kaip iki birželio 1 d. &lt;...&gt;“</w:t>
                </w:r>
              </w:p>
              <w:p w14:paraId="7ADDC7E9" w14:textId="77777777">
                <w:pPr>
                  <w:jc w:val="both"/>
                  <w:rPr>
                    <w:b/>
                    <w:bCs/>
                    <w:szCs w:val="24"/>
                  </w:rPr>
                </w:pPr>
              </w:p>
              <w:p w14:paraId="294B31A7" w14:textId="77777777">
                <w:pPr>
                  <w:jc w:val="both"/>
                  <w:rPr>
                    <w:b/>
                    <w:bCs/>
                    <w:szCs w:val="24"/>
                  </w:rPr>
                </w:pPr>
                <w:r>
                  <w:rPr>
                    <w:b/>
                    <w:bCs/>
                    <w:szCs w:val="24"/>
                  </w:rPr>
                  <w:t>Administracinių nusižengimų kodeksas</w:t>
                </w:r>
              </w:p>
              <w:p w14:paraId="44BC9ED2" w14:textId="77777777">
                <w:pPr>
                  <w:jc w:val="both"/>
                  <w:rPr>
                    <w:b/>
                    <w:bCs/>
                    <w:szCs w:val="24"/>
                  </w:rPr>
                </w:pPr>
              </w:p>
              <w:p w14:paraId="1325BF40" w14:textId="77777777">
                <w:pPr>
                  <w:ind w:firstLine="29"/>
                  <w:rPr>
                    <w:szCs w:val="24"/>
                  </w:rPr>
                </w:pPr>
                <w:r>
                  <w:rPr>
                    <w:b/>
                    <w:bCs/>
                    <w:szCs w:val="24"/>
                  </w:rPr>
                  <w:t>81 straipsnis. Moterų ir vyrų lygių teisių ir lygių galimybių pažeidimas</w:t>
                </w:r>
              </w:p>
              <w:p w14:paraId="2A26AF60" w14:textId="77777777">
                <w:pPr>
                  <w:ind w:firstLine="29"/>
                  <w:jc w:val="both"/>
                  <w:rPr>
                    <w:szCs w:val="24"/>
                  </w:rPr>
                </w:pPr>
                <w:r>
                  <w:rPr>
                    <w:szCs w:val="24"/>
                  </w:rPr>
                  <w:t>1. Lietuvos Respublikos moterų ir vyrų lygių galimybių įstatyme nustatytų moterų ir vyrų lygių teisių bei Lietuvos Respublikos lygių galimybių įstatyme nustatytų lygių galimybių pažeidimas</w:t>
                </w:r>
              </w:p>
              <w:p w14:paraId="2922C766" w14:textId="77777777">
                <w:pPr>
                  <w:ind w:firstLine="29"/>
                  <w:jc w:val="both"/>
                  <w:rPr>
                    <w:szCs w:val="24"/>
                  </w:rPr>
                </w:pPr>
                <w:r>
                  <w:rPr>
                    <w:szCs w:val="24"/>
                  </w:rPr>
                  <w:t>užtraukia baudą juridinių asmenų vadovams, darbdaviams ar kitiems atsakingiems asmenims nuo keturiasdešimt iki penkių šimtų šešiasdešimt eurų.</w:t>
                </w:r>
              </w:p>
              <w:p w14:paraId="36485F82" w14:textId="77777777">
                <w:pPr>
                  <w:ind w:firstLine="29"/>
                  <w:jc w:val="both"/>
                  <w:rPr>
                    <w:szCs w:val="24"/>
                  </w:rPr>
                </w:pPr>
                <w:r>
                  <w:rPr>
                    <w:szCs w:val="24"/>
                  </w:rPr>
                  <w:t>2. Šio straipsnio 1 dalyje numatytas administracinis nusižengimas, padarytas pakartotinai,</w:t>
                </w:r>
              </w:p>
              <w:p w14:paraId="1184D4B2" w14:textId="77777777">
                <w:pPr>
                  <w:ind w:firstLine="29"/>
                  <w:jc w:val="both"/>
                  <w:rPr>
                    <w:szCs w:val="24"/>
                  </w:rPr>
                </w:pPr>
                <w:r>
                  <w:rPr>
                    <w:szCs w:val="24"/>
                  </w:rPr>
                  <w:t>užtraukia baudą nuo penkių šimtų šešiasdešimt iki vieno tūkstančio dviejų šimtų eurų.</w:t>
                </w:r>
              </w:p>
              <w:p w14:paraId="2FE07BAB" w14:textId="77777777">
                <w:pPr>
                  <w:jc w:val="both"/>
                  <w:rPr>
                    <w:szCs w:val="24"/>
                  </w:rPr>
                </w:pPr>
              </w:p>
              <w:p w14:paraId="51F52224" w14:textId="77777777">
                <w:pPr>
                  <w:jc w:val="both"/>
                  <w:rPr>
                    <w:szCs w:val="24"/>
                  </w:rPr>
                </w:pPr>
                <w:r>
                  <w:rPr>
                    <w:b/>
                    <w:bCs/>
                    <w:szCs w:val="24"/>
                  </w:rPr>
                  <w:t>589 straipsnis. Administracinius nusižengimus tiriantys ir protokolus surašantys pareigūnai</w:t>
                </w:r>
              </w:p>
              <w:p w14:paraId="442BA2CF" w14:textId="77777777">
                <w:pPr>
                  <w:jc w:val="both"/>
                  <w:rPr>
                    <w:szCs w:val="24"/>
                  </w:rPr>
                </w:pPr>
                <w:r>
                  <w:rPr>
                    <w:szCs w:val="24"/>
                  </w:rPr>
                  <w:t>Administracinių nusižengimų teiseną pradeda, administracinių nusižengimų tyrimą atlieka ir administracinių nusižengimų protokolus surašo, išskyrus šio kodekso 611 straipsnio 4 dalyje nustatytus atvejus, šių institucijų pareigūnai:</w:t>
                </w:r>
              </w:p>
              <w:p w14:paraId="5911AFF9" w14:textId="77777777">
                <w:pPr>
                  <w:jc w:val="both"/>
                  <w:rPr>
                    <w:szCs w:val="24"/>
                  </w:rPr>
                </w:pPr>
              </w:p>
              <w:p w14:paraId="1698B5F5" w14:textId="77777777">
                <w:pPr>
                  <w:jc w:val="both"/>
                  <w:rPr>
                    <w:szCs w:val="24"/>
                  </w:rPr>
                </w:pPr>
                <w:r>
                  <w:rPr>
                    <w:i/>
                    <w:iCs/>
                    <w:szCs w:val="24"/>
                  </w:rPr>
                  <w:t>Straipsnio dalies pakeitimai:</w:t>
                </w:r>
              </w:p>
              <w:p w14:paraId="7B892AF4" w14:textId="77777777">
                <w:pPr>
                  <w:jc w:val="both"/>
                  <w:rPr>
                    <w:szCs w:val="24"/>
                  </w:rPr>
                </w:pPr>
                <w:r>
                  <w:rPr>
                    <w:i/>
                    <w:iCs/>
                    <w:szCs w:val="24"/>
                  </w:rPr>
                  <w:t>Nr. </w:t>
                </w:r>
                <w:hyperlink r:id="rId7" w:tgtFrame="_parent" w:history="1">
                  <w:r>
                    <w:rPr>
                      <w:i/>
                      <w:iCs/>
                      <w:szCs w:val="24"/>
                      <w:u w:val="single"/>
                    </w:rPr>
                    <w:t>XIII-1862</w:t>
                  </w:r>
                </w:hyperlink>
                <w:r>
                  <w:rPr>
                    <w:i/>
                    <w:iCs/>
                    <w:szCs w:val="24"/>
                  </w:rPr>
                  <w:t>, 2018-12-20, paskelbta TAR 2018-12-28, i. k. 2018-21888</w:t>
                </w:r>
              </w:p>
              <w:p w14:paraId="5841C042" w14:textId="77777777">
                <w:pPr>
                  <w:jc w:val="both"/>
                  <w:rPr>
                    <w:szCs w:val="24"/>
                  </w:rPr>
                </w:pPr>
              </w:p>
              <w:p w14:paraId="6D799A49" w14:textId="77777777">
                <w:pPr>
                  <w:jc w:val="both"/>
                  <w:rPr>
                    <w:b/>
                    <w:bCs/>
                    <w:szCs w:val="24"/>
                  </w:rPr>
                </w:pPr>
                <w:r>
                  <w:rPr>
                    <w:b/>
                    <w:bCs/>
                    <w:szCs w:val="24"/>
                  </w:rPr>
                  <w:t>Įstatymas Nr. XIV-1926</w:t>
                </w:r>
              </w:p>
              <w:p w14:paraId="6D20DB74" w14:textId="77777777">
                <w:pPr>
                  <w:jc w:val="both"/>
                  <w:rPr>
                    <w:b/>
                    <w:bCs/>
                    <w:szCs w:val="24"/>
                  </w:rPr>
                </w:pPr>
              </w:p>
              <w:p w14:paraId="208FD193" w14:textId="77777777">
                <w:pPr>
                  <w:jc w:val="both"/>
                  <w:rPr>
                    <w:b/>
                    <w:bCs/>
                    <w:szCs w:val="24"/>
                  </w:rPr>
                </w:pPr>
                <w:r>
                  <w:rPr>
                    <w:b/>
                    <w:bCs/>
                    <w:szCs w:val="24"/>
                  </w:rPr>
                  <w:t>11 straipsnis. 589 straipsnio pakeitimas</w:t>
                </w:r>
              </w:p>
              <w:p w14:paraId="4867C58D" w14:textId="77777777">
                <w:pPr>
                  <w:jc w:val="both"/>
                  <w:rPr>
                    <w:b/>
                    <w:bCs/>
                    <w:szCs w:val="24"/>
                  </w:rPr>
                </w:pPr>
                <w:r>
                  <w:rPr>
                    <w:b/>
                    <w:bCs/>
                    <w:szCs w:val="24"/>
                  </w:rPr>
                  <w:t>1. Pakeisti 589 straipsnio 32 punktą ir jį išdėstyti taip:</w:t>
                </w:r>
              </w:p>
              <w:p w14:paraId="50128132" w14:textId="7172F7C6">
                <w:pPr>
                  <w:jc w:val="both"/>
                  <w:rPr>
                    <w:b/>
                    <w:bCs/>
                    <w:szCs w:val="24"/>
                  </w:rPr>
                </w:pPr>
                <w:r>
                  <w:rPr>
                    <w:b/>
                    <w:bCs/>
                    <w:szCs w:val="24"/>
                  </w:rPr>
                  <w:t>„32) Finansinių nusikaltimų tyrimo tarnybos prie Vidaus reikalų ministerijos – dėl šio kodekso &lt;...&gt; 187, 205 &lt;...&gt; straipsniuose numatytų administracinių nusižengimų;“</w:t>
                </w:r>
              </w:p>
              <w:p w14:paraId="70F3463C" w14:textId="77777777">
                <w:pPr>
                  <w:jc w:val="both"/>
                  <w:rPr>
                    <w:b/>
                    <w:bCs/>
                    <w:szCs w:val="24"/>
                  </w:rPr>
                </w:pPr>
              </w:p>
              <w:p w14:paraId="3FDA5B4A" w14:textId="77777777">
                <w:pPr>
                  <w:jc w:val="both"/>
                  <w:rPr>
                    <w:b/>
                    <w:bCs/>
                    <w:szCs w:val="24"/>
                  </w:rPr>
                </w:pPr>
                <w:r>
                  <w:rPr>
                    <w:b/>
                    <w:bCs/>
                    <w:szCs w:val="24"/>
                  </w:rPr>
                  <w:t>Įstatymas Nr. XIV-2786</w:t>
                </w:r>
              </w:p>
              <w:p w14:paraId="36ED0A83" w14:textId="77777777">
                <w:pPr>
                  <w:jc w:val="both"/>
                  <w:rPr>
                    <w:b/>
                    <w:bCs/>
                    <w:szCs w:val="24"/>
                  </w:rPr>
                </w:pPr>
              </w:p>
              <w:p w14:paraId="3EB91B42" w14:textId="77777777">
                <w:pPr>
                  <w:jc w:val="both"/>
                  <w:rPr>
                    <w:b/>
                    <w:bCs/>
                    <w:szCs w:val="24"/>
                  </w:rPr>
                </w:pPr>
                <w:r>
                  <w:rPr>
                    <w:b/>
                    <w:bCs/>
                    <w:szCs w:val="24"/>
                  </w:rPr>
                  <w:t>27 straipsnis. 589 straipsnio pakeitimas</w:t>
                </w:r>
              </w:p>
              <w:p w14:paraId="5E577A62" w14:textId="77777777">
                <w:pPr>
                  <w:jc w:val="both"/>
                  <w:rPr>
                    <w:b/>
                    <w:bCs/>
                    <w:szCs w:val="24"/>
                  </w:rPr>
                </w:pPr>
                <w:r>
                  <w:rPr>
                    <w:b/>
                    <w:bCs/>
                    <w:color w:val="000000"/>
                  </w:rPr>
                  <w:t>4. Pakeisti 589 straipsnio 40 punktą ir jį išdėstyti taip:</w:t>
                </w:r>
              </w:p>
              <w:p w14:paraId="5CFEDF69" w14:textId="35EEEBA2">
                <w:pPr>
                  <w:jc w:val="both"/>
                  <w:rPr>
                    <w:b/>
                    <w:bCs/>
                    <w:szCs w:val="24"/>
                  </w:rPr>
                </w:pPr>
                <w:r>
                  <w:rPr>
                    <w:b/>
                    <w:bCs/>
                    <w:szCs w:val="24"/>
                  </w:rPr>
                  <w:t>„ 40) Lietuvos Respublikos muitinės – dėl šio kodekso &lt;...&gt; 187, &lt;...&gt; straipsniuose numatytų administracinių nusižengimų;“</w:t>
                </w:r>
              </w:p>
              <w:p w14:paraId="38CDA8DE" w14:textId="77777777">
                <w:pPr>
                  <w:jc w:val="both"/>
                  <w:rPr>
                    <w:b/>
                    <w:bCs/>
                    <w:szCs w:val="24"/>
                  </w:rPr>
                </w:pPr>
              </w:p>
              <w:p w14:paraId="44D431CD" w14:textId="77777777">
                <w:pPr>
                  <w:tabs>
                    <w:tab w:val="center" w:pos="3238"/>
                  </w:tabs>
                  <w:jc w:val="both"/>
                  <w:rPr>
                    <w:b/>
                    <w:bCs/>
                    <w:szCs w:val="24"/>
                  </w:rPr>
                </w:pPr>
                <w:r>
                  <w:rPr>
                    <w:b/>
                    <w:bCs/>
                    <w:szCs w:val="24"/>
                  </w:rPr>
                  <w:t>Įstatymas Nr.  XIV-2922</w:t>
                </w:r>
              </w:p>
              <w:p w14:paraId="1B87678E" w14:textId="77777777">
                <w:pPr>
                  <w:tabs>
                    <w:tab w:val="center" w:pos="3238"/>
                  </w:tabs>
                  <w:jc w:val="both"/>
                  <w:rPr>
                    <w:b/>
                    <w:bCs/>
                    <w:szCs w:val="24"/>
                  </w:rPr>
                </w:pPr>
              </w:p>
              <w:p w14:paraId="349C8382" w14:textId="77777777">
                <w:pPr>
                  <w:tabs>
                    <w:tab w:val="center" w:pos="3238"/>
                  </w:tabs>
                  <w:jc w:val="both"/>
                  <w:rPr>
                    <w:b/>
                    <w:bCs/>
                    <w:szCs w:val="24"/>
                  </w:rPr>
                </w:pPr>
                <w:r>
                  <w:rPr>
                    <w:b/>
                    <w:bCs/>
                    <w:szCs w:val="24"/>
                  </w:rPr>
                  <w:t>2 straipsnis. 589 straipsnio pakeitimas</w:t>
                </w:r>
              </w:p>
              <w:p w14:paraId="736DF2A8" w14:textId="77777777">
                <w:pPr>
                  <w:tabs>
                    <w:tab w:val="center" w:pos="3238"/>
                  </w:tabs>
                  <w:jc w:val="both"/>
                  <w:rPr>
                    <w:b/>
                    <w:bCs/>
                    <w:szCs w:val="24"/>
                  </w:rPr>
                </w:pPr>
                <w:r>
                  <w:rPr>
                    <w:b/>
                    <w:bCs/>
                    <w:szCs w:val="24"/>
                  </w:rPr>
                  <w:t>Pakeisti 589 straipsnio 66 punktą ir jį išdėstyti taip:</w:t>
                </w:r>
              </w:p>
              <w:p w14:paraId="5C030E77" w14:textId="5E005581">
                <w:pPr>
                  <w:jc w:val="both"/>
                  <w:rPr>
                    <w:szCs w:val="24"/>
                  </w:rPr>
                </w:pPr>
                <w:r>
                  <w:rPr>
                    <w:szCs w:val="24"/>
                  </w:rPr>
                  <w:t>„66) Valstybinės mokesčių inspekcijos – dėl šio kodekso &lt;...&gt; 187, 205, &lt;...&gt; straipsniuose numatytų administracinių nusižengimų;“</w:t>
                </w:r>
              </w:p>
              <w:p w14:paraId="7C4ED9BF" w14:textId="77777777">
                <w:pPr>
                  <w:jc w:val="both"/>
                  <w:rPr>
                    <w:i/>
                    <w:iCs/>
                    <w:szCs w:val="24"/>
                  </w:rPr>
                </w:pPr>
              </w:p>
              <w:p w14:paraId="78047184" w14:textId="77777777">
                <w:pPr>
                  <w:jc w:val="both"/>
                  <w:rPr>
                    <w:b/>
                    <w:bCs/>
                    <w:szCs w:val="24"/>
                  </w:rPr>
                </w:pPr>
                <w:r>
                  <w:rPr>
                    <w:b/>
                    <w:bCs/>
                    <w:szCs w:val="24"/>
                  </w:rPr>
                  <w:t>Administracinių nusižengimų kodeksas</w:t>
                </w:r>
              </w:p>
              <w:p w14:paraId="5D83BBFA" w14:textId="77777777">
                <w:pPr>
                  <w:jc w:val="both"/>
                  <w:rPr>
                    <w:b/>
                    <w:bCs/>
                    <w:szCs w:val="24"/>
                  </w:rPr>
                </w:pPr>
              </w:p>
              <w:p w14:paraId="21CF5CBC" w14:textId="77777777">
                <w:pPr>
                  <w:jc w:val="both"/>
                  <w:rPr>
                    <w:szCs w:val="24"/>
                  </w:rPr>
                </w:pPr>
                <w:r>
                  <w:rPr>
                    <w:b/>
                    <w:bCs/>
                    <w:szCs w:val="24"/>
                  </w:rPr>
                  <w:t>589 straipsnis. Administracinius nusižengimus tiriantys ir protokolus surašantys pareigūnai</w:t>
                </w:r>
              </w:p>
              <w:p w14:paraId="2B2555E4" w14:textId="6B26C19E">
                <w:pPr>
                  <w:jc w:val="both"/>
                  <w:rPr>
                    <w:szCs w:val="24"/>
                  </w:rPr>
                </w:pPr>
                <w:r>
                  <w:rPr>
                    <w:szCs w:val="24"/>
                  </w:rPr>
                  <w:t>&lt;...&gt; 72) Valstybinio socialinio draudimo fondo valdybos prie Socialinės apsaugos ir darbo ministerijos ir jos teritorinių skyrių – dėl šio kodekso 187 straipsnio 4 dalyje, &lt;...&gt; numatytų administracinių nusižengimų;</w:t>
                </w:r>
              </w:p>
              <w:p w14:paraId="525CCB24" w14:textId="77777777">
                <w:pPr>
                  <w:jc w:val="both"/>
                  <w:rPr>
                    <w:szCs w:val="24"/>
                  </w:rPr>
                </w:pPr>
                <w:r>
                  <w:rPr>
                    <w:i/>
                    <w:iCs/>
                    <w:szCs w:val="24"/>
                  </w:rPr>
                  <w:t>Straipsnio punkto numeracijos pakeitimas:</w:t>
                </w:r>
              </w:p>
              <w:p w14:paraId="4CEA1093" w14:textId="77777777">
                <w:pPr>
                  <w:jc w:val="both"/>
                  <w:rPr>
                    <w:szCs w:val="24"/>
                  </w:rPr>
                </w:pPr>
                <w:r>
                  <w:rPr>
                    <w:i/>
                    <w:iCs/>
                    <w:szCs w:val="24"/>
                  </w:rPr>
                  <w:t>Nr. </w:t>
                </w:r>
                <w:hyperlink r:id="rId8" w:tgtFrame="_parent" w:history="1">
                  <w:r>
                    <w:rPr>
                      <w:i/>
                      <w:iCs/>
                      <w:szCs w:val="24"/>
                      <w:u w:val="single"/>
                    </w:rPr>
                    <w:t>XII-2747</w:t>
                  </w:r>
                </w:hyperlink>
                <w:r>
                  <w:rPr>
                    <w:i/>
                    <w:iCs/>
                    <w:szCs w:val="24"/>
                  </w:rPr>
                  <w:t>, 2016-11-08, paskelbta TAR 2016-11-16, i. k. 2016-26867</w:t>
                </w:r>
              </w:p>
              <w:p w14:paraId="4A8AB1D7" w14:textId="77777777">
                <w:pPr>
                  <w:jc w:val="both"/>
                  <w:rPr>
                    <w:i/>
                    <w:iCs/>
                    <w:szCs w:val="24"/>
                  </w:rPr>
                </w:pPr>
                <w:r>
                  <w:rPr>
                    <w:i/>
                    <w:iCs/>
                    <w:szCs w:val="24"/>
                  </w:rPr>
                  <w:t>Nr. </w:t>
                </w:r>
                <w:hyperlink r:id="rId9" w:tgtFrame="_parent" w:history="1">
                  <w:r>
                    <w:rPr>
                      <w:i/>
                      <w:iCs/>
                      <w:szCs w:val="24"/>
                      <w:u w:val="single"/>
                    </w:rPr>
                    <w:t>XIII-1293</w:t>
                  </w:r>
                </w:hyperlink>
                <w:r>
                  <w:rPr>
                    <w:i/>
                    <w:iCs/>
                    <w:szCs w:val="24"/>
                  </w:rPr>
                  <w:t>, 2018-06-26, paskelbta TAR 2018-06-27, i. k. 2018-10600</w:t>
                </w:r>
              </w:p>
              <w:p w14:paraId="45D56829" w14:textId="77777777">
                <w:pPr>
                  <w:jc w:val="both"/>
                  <w:rPr>
                    <w:szCs w:val="24"/>
                  </w:rPr>
                </w:pPr>
              </w:p>
              <w:p w14:paraId="2709CBAE" w14:textId="77777777">
                <w:pPr>
                  <w:jc w:val="both"/>
                  <w:rPr>
                    <w:b/>
                    <w:bCs/>
                    <w:szCs w:val="24"/>
                  </w:rPr>
                </w:pPr>
                <w:r>
                  <w:rPr>
                    <w:b/>
                    <w:bCs/>
                    <w:szCs w:val="24"/>
                  </w:rPr>
                  <w:t>Įstatymas Nr. XIV-2852</w:t>
                </w:r>
              </w:p>
              <w:p w14:paraId="3DD7A36F" w14:textId="77777777">
                <w:pPr>
                  <w:jc w:val="both"/>
                  <w:rPr>
                    <w:b/>
                    <w:bCs/>
                    <w:szCs w:val="24"/>
                  </w:rPr>
                </w:pPr>
              </w:p>
              <w:p w14:paraId="14A5AF45" w14:textId="77777777">
                <w:pPr>
                  <w:jc w:val="both"/>
                  <w:rPr>
                    <w:b/>
                    <w:bCs/>
                    <w:szCs w:val="24"/>
                  </w:rPr>
                </w:pPr>
                <w:r>
                  <w:rPr>
                    <w:b/>
                    <w:bCs/>
                    <w:szCs w:val="24"/>
                  </w:rPr>
                  <w:t>4 straipsnis. 7 straipsnio pakeitimas</w:t>
                </w:r>
              </w:p>
              <w:p w14:paraId="3341AAA8" w14:textId="77777777">
                <w:pPr>
                  <w:jc w:val="both"/>
                  <w:rPr>
                    <w:b/>
                    <w:bCs/>
                    <w:szCs w:val="24"/>
                  </w:rPr>
                </w:pPr>
                <w:r>
                  <w:rPr>
                    <w:b/>
                    <w:bCs/>
                    <w:szCs w:val="24"/>
                  </w:rPr>
                  <w:t>Pakeisti 7 straipsnį ir jį išdėstyti taip:</w:t>
                </w:r>
              </w:p>
              <w:p w14:paraId="793CB888" w14:textId="77777777">
                <w:pPr>
                  <w:jc w:val="both"/>
                  <w:rPr>
                    <w:b/>
                    <w:bCs/>
                    <w:szCs w:val="24"/>
                  </w:rPr>
                </w:pPr>
                <w:r>
                  <w:rPr>
                    <w:b/>
                    <w:bCs/>
                    <w:szCs w:val="24"/>
                  </w:rPr>
                  <w:t>„7 straipsnis. 589 straipsnio pakeitimas</w:t>
                </w:r>
              </w:p>
              <w:p w14:paraId="298040E1" w14:textId="77777777">
                <w:pPr>
                  <w:jc w:val="both"/>
                  <w:rPr>
                    <w:b/>
                    <w:bCs/>
                    <w:szCs w:val="24"/>
                  </w:rPr>
                </w:pPr>
                <w:r>
                  <w:rPr>
                    <w:b/>
                    <w:bCs/>
                    <w:szCs w:val="24"/>
                  </w:rPr>
                  <w:t>Pakeisti 589 straipsnio 82 punktą ir jį išdėstyti taip:</w:t>
                </w:r>
              </w:p>
              <w:p w14:paraId="3845BACD" w14:textId="7C2F0153">
                <w:pPr>
                  <w:jc w:val="both"/>
                  <w:rPr>
                    <w:szCs w:val="24"/>
                  </w:rPr>
                </w:pPr>
                <w:r>
                  <w:rPr>
                    <w:szCs w:val="24"/>
                  </w:rPr>
                  <w:t>„82) savivaldybių administracijų – dėl šio kodekso &lt;...&gt; 223 &lt;...&gt; straipsniuose numatytų administracinių nusižengimų;“</w:t>
                </w:r>
              </w:p>
              <w:p w14:paraId="661C13C0" w14:textId="77777777">
                <w:pPr>
                  <w:jc w:val="both"/>
                  <w:rPr>
                    <w:szCs w:val="24"/>
                  </w:rPr>
                </w:pPr>
              </w:p>
              <w:p w14:paraId="5E2E9F50" w14:textId="77777777">
                <w:pPr>
                  <w:jc w:val="both"/>
                  <w:rPr>
                    <w:b/>
                    <w:bCs/>
                    <w:szCs w:val="24"/>
                  </w:rPr>
                </w:pPr>
                <w:r>
                  <w:rPr>
                    <w:b/>
                    <w:bCs/>
                    <w:szCs w:val="24"/>
                  </w:rPr>
                  <w:t>Įstatymas Nr. XIV-2021</w:t>
                </w:r>
              </w:p>
              <w:p w14:paraId="3DA2B5DA" w14:textId="77777777">
                <w:pPr>
                  <w:jc w:val="both"/>
                  <w:rPr>
                    <w:b/>
                    <w:bCs/>
                    <w:szCs w:val="24"/>
                  </w:rPr>
                </w:pPr>
              </w:p>
              <w:p w14:paraId="2627345A" w14:textId="77777777">
                <w:pPr>
                  <w:jc w:val="both"/>
                  <w:rPr>
                    <w:b/>
                    <w:bCs/>
                    <w:szCs w:val="24"/>
                  </w:rPr>
                </w:pPr>
                <w:r>
                  <w:rPr>
                    <w:b/>
                    <w:bCs/>
                    <w:szCs w:val="24"/>
                  </w:rPr>
                  <w:t>2 straipsnis. 589 straipsnio pakeitimas</w:t>
                </w:r>
              </w:p>
              <w:p w14:paraId="49103776" w14:textId="77777777">
                <w:pPr>
                  <w:jc w:val="both"/>
                  <w:rPr>
                    <w:b/>
                    <w:bCs/>
                    <w:szCs w:val="24"/>
                  </w:rPr>
                </w:pPr>
                <w:r>
                  <w:rPr>
                    <w:b/>
                    <w:bCs/>
                    <w:szCs w:val="24"/>
                  </w:rPr>
                  <w:t>2. Pakeisti 589 straipsnio 97 punktą ir jį išdėstyti taip:</w:t>
                </w:r>
              </w:p>
              <w:p w14:paraId="0E2C90BF" w14:textId="77777777">
                <w:pPr>
                  <w:jc w:val="both"/>
                  <w:rPr>
                    <w:szCs w:val="24"/>
                  </w:rPr>
                </w:pPr>
                <w:r>
                  <w:rPr>
                    <w:szCs w:val="24"/>
                  </w:rPr>
                  <w:t>„97) valstybės įmonės Registrų centro – dėl šio kodekso 223 straipsnio 1, 2 dalyse, 505 straipsnyje numatytų administracinių nusižengimų;“</w:t>
                </w:r>
              </w:p>
              <w:p w14:paraId="5EB9B1EC" w14:textId="77777777">
                <w:pPr>
                  <w:jc w:val="both"/>
                  <w:rPr>
                    <w:szCs w:val="24"/>
                  </w:rPr>
                </w:pPr>
              </w:p>
              <w:p w14:paraId="14EB8FF7" w14:textId="77777777">
                <w:pPr>
                  <w:jc w:val="both"/>
                  <w:rPr>
                    <w:szCs w:val="24"/>
                  </w:rPr>
                </w:pPr>
                <w:r>
                  <w:rPr>
                    <w:b/>
                    <w:bCs/>
                    <w:szCs w:val="24"/>
                  </w:rPr>
                  <w:t>614 straipsnis. Administracinių nusižengimų bylų priskirtinumas</w:t>
                </w:r>
              </w:p>
              <w:p w14:paraId="2BFEB96B" w14:textId="77777777">
                <w:pPr>
                  <w:jc w:val="both"/>
                  <w:rPr>
                    <w:szCs w:val="24"/>
                  </w:rPr>
                </w:pPr>
                <w:r>
                  <w:rPr>
                    <w:szCs w:val="24"/>
                  </w:rPr>
                  <w:t>1. Teismas nagrinėja šio kodekso 119, 119</w:t>
                </w:r>
                <w:r>
                  <w:rPr>
                    <w:szCs w:val="24"/>
                    <w:vertAlign w:val="superscript"/>
                  </w:rPr>
                  <w:t>1</w:t>
                </w:r>
                <w:r>
                  <w:rPr>
                    <w:szCs w:val="24"/>
                  </w:rPr>
                  <w:t xml:space="preserve">, 120, 204, 547 straipsniuose numatytų administracinių nusižengimų bylas, kai neatliekamas administracinio nusižengimo tyrimas ir nesurašomas administracinio nusižengimo protokolas. </w:t>
                </w:r>
              </w:p>
              <w:p w14:paraId="661C0AAC" w14:textId="77777777">
                <w:pPr>
                  <w:jc w:val="both"/>
                  <w:rPr>
                    <w:szCs w:val="24"/>
                  </w:rPr>
                </w:pPr>
              </w:p>
              <w:p w14:paraId="5CD2494A" w14:textId="77777777">
                <w:pPr>
                  <w:jc w:val="both"/>
                  <w:rPr>
                    <w:szCs w:val="24"/>
                  </w:rPr>
                </w:pPr>
                <w:r>
                  <w:rPr>
                    <w:i/>
                    <w:iCs/>
                    <w:szCs w:val="24"/>
                  </w:rPr>
                  <w:t>Straipsnio dalies pakeitimai:</w:t>
                </w:r>
              </w:p>
              <w:p w14:paraId="0A528FCD" w14:textId="77777777">
                <w:pPr>
                  <w:jc w:val="both"/>
                  <w:rPr>
                    <w:szCs w:val="24"/>
                  </w:rPr>
                </w:pPr>
                <w:r>
                  <w:rPr>
                    <w:i/>
                    <w:iCs/>
                    <w:szCs w:val="24"/>
                  </w:rPr>
                  <w:t>Nr. </w:t>
                </w:r>
                <w:hyperlink r:id="rId10" w:tgtFrame="_parent" w:history="1">
                  <w:r>
                    <w:rPr>
                      <w:i/>
                      <w:iCs/>
                      <w:szCs w:val="24"/>
                      <w:u w:val="single"/>
                    </w:rPr>
                    <w:t>XIV-415</w:t>
                  </w:r>
                </w:hyperlink>
                <w:r>
                  <w:rPr>
                    <w:i/>
                    <w:iCs/>
                    <w:szCs w:val="24"/>
                  </w:rPr>
                  <w:t>, 2021-06-17, paskelbta TAR 2021-06-29, i. k. 2021-14572</w:t>
                </w:r>
              </w:p>
              <w:p w14:paraId="1C635EE0" w14:textId="77777777">
                <w:pPr>
                  <w:jc w:val="both"/>
                  <w:rPr>
                    <w:szCs w:val="24"/>
                  </w:rPr>
                </w:pPr>
              </w:p>
              <w:p w14:paraId="2B3B8215" w14:textId="2AE26D29">
                <w:pPr>
                  <w:jc w:val="both"/>
                  <w:rPr>
                    <w:szCs w:val="24"/>
                  </w:rPr>
                </w:pPr>
                <w:r>
                  <w:rPr>
                    <w:szCs w:val="24"/>
                  </w:rPr>
                  <w:t>2. Kitos administracinių nusižengimų bylos nagrinėjamos ne teismo tvarka. &lt;...&gt;</w:t>
                </w:r>
              </w:p>
              <w:p w14:paraId="5BE690CC" w14:textId="77777777">
                <w:pPr>
                  <w:jc w:val="both"/>
                  <w:rPr>
                    <w:b/>
                    <w:bCs/>
                    <w:szCs w:val="24"/>
                  </w:rPr>
                </w:pPr>
              </w:p>
              <w:p w14:paraId="6C72F282" w14:textId="77777777">
                <w:pPr>
                  <w:jc w:val="both"/>
                </w:pPr>
                <w:r>
                  <w:rPr>
                    <w:b/>
                    <w:bCs/>
                    <w:i/>
                    <w:iCs/>
                    <w:szCs w:val="24"/>
                  </w:rPr>
                  <w:t>Pastaba.</w:t>
                </w:r>
                <w:r>
                  <w:rPr>
                    <w:szCs w:val="24"/>
                  </w:rPr>
                  <w:t xml:space="preserve"> Socialinės apsaugos ir darbo ministerija pateikia informacinį pranešimą apie taisykles ir priemones Europos Komisijai ne vėliau kaip iki 2024 m. gruodžio 28 d.</w:t>
                </w:r>
              </w:p>
              <w:p w14:paraId="4BEE3D24" w14:textId="77777777">
                <w:pPr>
                  <w:jc w:val="both"/>
                  <w:rPr>
                    <w:b/>
                    <w:bCs/>
                    <w:szCs w:val="24"/>
                  </w:rPr>
                </w:pPr>
              </w:p>
              <w:p w14:paraId="767F6883" w14:textId="7C040DEE">
                <w:pPr>
                  <w:jc w:val="both"/>
                  <w:rPr>
                    <w:szCs w:val="24"/>
                  </w:rPr>
                </w:pPr>
              </w:p>
            </w:tc>
            <w:tc>
              <w:tcPr>
                <w:tcW w:w="1802" w:type="dxa"/>
              </w:tcPr>
              <w:p w14:paraId="10D964C6" w14:textId="33061CA9">
                <w:pPr>
                  <w:jc w:val="both"/>
                  <w:rPr>
                    <w:b/>
                    <w:bCs/>
                    <w:szCs w:val="24"/>
                  </w:rPr>
                </w:pPr>
                <w:r>
                  <w:rPr>
                    <w:b/>
                    <w:bCs/>
                    <w:szCs w:val="24"/>
                  </w:rPr>
                  <w:t>Visiškas</w:t>
                </w:r>
              </w:p>
            </w:tc>
          </w:tr>
          <w:tr w14:paraId="5BF6906A" w14:textId="77777777">
            <w:tc>
              <w:tcPr>
                <w:tcW w:w="6065" w:type="dxa"/>
              </w:tcPr>
              <w:p w14:paraId="442B41F8" w14:textId="77777777">
                <w:pPr>
                  <w:jc w:val="both"/>
                  <w:rPr>
                    <w:b/>
                    <w:bCs/>
                    <w:szCs w:val="24"/>
                  </w:rPr>
                </w:pPr>
                <w:r>
                  <w:rPr>
                    <w:b/>
                    <w:bCs/>
                    <w:szCs w:val="24"/>
                  </w:rPr>
                  <w:t xml:space="preserve">10 straipsnis </w:t>
                </w:r>
              </w:p>
              <w:p w14:paraId="4A8E98D7" w14:textId="77777777">
                <w:pPr>
                  <w:jc w:val="both"/>
                  <w:rPr>
                    <w:b/>
                    <w:bCs/>
                    <w:szCs w:val="24"/>
                  </w:rPr>
                </w:pPr>
                <w:r>
                  <w:rPr>
                    <w:b/>
                    <w:bCs/>
                    <w:szCs w:val="24"/>
                  </w:rPr>
                  <w:t xml:space="preserve">Lyčių pusiausvyros biržinėse bendrovėse skatinimo įstaigos </w:t>
                </w:r>
              </w:p>
              <w:p w14:paraId="08F0A4DB" w14:textId="77777777">
                <w:pPr>
                  <w:jc w:val="both"/>
                  <w:rPr>
                    <w:szCs w:val="24"/>
                  </w:rPr>
                </w:pPr>
              </w:p>
              <w:p w14:paraId="5B8A5076" w14:textId="77777777">
                <w:pPr>
                  <w:jc w:val="both"/>
                  <w:rPr>
                    <w:szCs w:val="24"/>
                  </w:rPr>
                </w:pPr>
                <w:r>
                  <w:rPr>
                    <w:szCs w:val="24"/>
                  </w:rPr>
                  <w:t xml:space="preserve">Valstybės narės paskiria vieną ar daugiau lyčių pusiausvyros valdybose skatinimo, analizės, stebėsenos ir rėmimo įstaigų. Tuo tikslu valstybės narės galėtų paskirti, pavyzdžiui, lygybę užtikrinančias įstaigas, kurias jos paskyrė pagal Europos Parlamento ir Tarybos direktyvos </w:t>
                </w:r>
                <w:fldSimple w:instr="HYPERLINK http://eur-lex.europa.eu/legal-content/LIT/TXT/?uri=CELEX:32006L0054&amp;locale=lt \t _blank">
                  <w:r>
                    <w:rPr>
                      <w:color w:val="0000FF" w:themeColor="hyperlink"/>
                      <w:szCs w:val="24"/>
                      <w:u w:val="single"/>
                    </w:rPr>
                    <w:t>2006/54/EB</w:t>
                  </w:r>
                </w:fldSimple>
                <w:r>
                  <w:rPr>
                    <w:szCs w:val="24"/>
                  </w:rPr>
                  <w:t xml:space="preserve"> ( 13) 20 straipsnį.</w:t>
                </w:r>
              </w:p>
            </w:tc>
            <w:tc>
              <w:tcPr>
                <w:tcW w:w="6693" w:type="dxa"/>
              </w:tcPr>
              <w:p w14:paraId="6E875FAB" w14:textId="77777777">
                <w:pPr>
                  <w:jc w:val="both"/>
                  <w:rPr>
                    <w:b/>
                    <w:bCs/>
                    <w:szCs w:val="24"/>
                  </w:rPr>
                </w:pPr>
                <w:r>
                  <w:rPr>
                    <w:b/>
                    <w:bCs/>
                    <w:szCs w:val="24"/>
                  </w:rPr>
                  <w:t xml:space="preserve">13 straipsnis. Lygių galimybių kontrolierius </w:t>
                </w:r>
              </w:p>
              <w:p w14:paraId="5A6E1503" w14:textId="77777777">
                <w:pPr>
                  <w:jc w:val="both"/>
                  <w:rPr>
                    <w:b/>
                    <w:bCs/>
                    <w:szCs w:val="24"/>
                  </w:rPr>
                </w:pPr>
                <w:r>
                  <w:rPr>
                    <w:b/>
                    <w:bCs/>
                    <w:szCs w:val="24"/>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14:paraId="4C28F186" w14:textId="77777777">
                <w:pPr>
                  <w:jc w:val="both"/>
                  <w:rPr>
                    <w:b/>
                    <w:bCs/>
                    <w:szCs w:val="24"/>
                  </w:rPr>
                </w:pPr>
                <w:r>
                  <w:rPr>
                    <w:b/>
                    <w:bCs/>
                    <w:szCs w:val="24"/>
                  </w:rPr>
                  <w:t>2. Lygių galimybių kontrolierius yra valstybės pareigūnas.</w:t>
                </w:r>
              </w:p>
              <w:p w14:paraId="59C68EED" w14:textId="77777777">
                <w:pPr>
                  <w:jc w:val="both"/>
                  <w:rPr>
                    <w:b/>
                    <w:bCs/>
                    <w:szCs w:val="24"/>
                  </w:rPr>
                </w:pPr>
                <w:r>
                  <w:rPr>
                    <w:b/>
                    <w:bCs/>
                    <w:szCs w:val="24"/>
                  </w:rPr>
                  <w:t xml:space="preserve">3. Lygių galimybių kontrolierius savo veikloje yra objektyvus ir, spręsdamas jo kompetencijai priskirtus klausimus, vienodai (lygiai teisingai) priima sprendimus, užtikrindamas lygias galimybes. </w:t>
                </w:r>
              </w:p>
              <w:p w14:paraId="3165ED7E" w14:textId="77777777">
                <w:pPr>
                  <w:jc w:val="both"/>
                  <w:rPr>
                    <w:b/>
                    <w:bCs/>
                    <w:szCs w:val="24"/>
                  </w:rPr>
                </w:pPr>
                <w:r>
                  <w:rPr>
                    <w:b/>
                    <w:bCs/>
                    <w:szCs w:val="24"/>
                  </w:rPr>
                  <w:t>4. Lygių galimybių kontrolierius:</w:t>
                </w:r>
              </w:p>
              <w:p w14:paraId="2E54DAFC" w14:textId="66A34DF7">
                <w:pPr>
                  <w:jc w:val="both"/>
                  <w:rPr>
                    <w:b/>
                    <w:bCs/>
                    <w:szCs w:val="24"/>
                  </w:rPr>
                </w:pPr>
                <w:r>
                  <w:rPr>
                    <w:b/>
                    <w:bCs/>
                    <w:szCs w:val="24"/>
                  </w:rPr>
                  <w:t xml:space="preserve">1)sprendžia jo kompetencijai priskirtus klausimus ir atsako už Lygių galimybių kontrolieriaus tarnybos veiklą: jai nustatytų veiklos tikslų pasiekimą, veiklos planavimą ir organizavimą bei funkcijų atlikimą, laikantis įstatymų ir kitų teisės aktų; </w:t>
                </w:r>
              </w:p>
              <w:p w14:paraId="0861B1B8" w14:textId="21F2E243">
                <w:pPr>
                  <w:jc w:val="both"/>
                  <w:rPr>
                    <w:b/>
                    <w:bCs/>
                    <w:szCs w:val="24"/>
                  </w:rPr>
                </w:pPr>
                <w:r>
                  <w:rPr>
                    <w:b/>
                    <w:bCs/>
                    <w:szCs w:val="24"/>
                  </w:rPr>
                  <w:t xml:space="preserve">2)atstovauja Lygių galimybių kontrolieriaus tarnybai Lietuvos Respublikos ir užsienio valstybių institucijose bei įstaigose, tarptautinėse ir Europos Sąjungos institucijose bei jų darbo (valdymo) organuose; </w:t>
                </w:r>
              </w:p>
              <w:p w14:paraId="26EB8DDA" w14:textId="77777777">
                <w:pPr>
                  <w:jc w:val="both"/>
                  <w:rPr>
                    <w:b/>
                    <w:bCs/>
                    <w:szCs w:val="24"/>
                  </w:rPr>
                </w:pPr>
                <w:r>
                  <w:rPr>
                    <w:b/>
                    <w:bCs/>
                    <w:szCs w:val="24"/>
                  </w:rPr>
                  <w:t>3) vykdo šio įstatymo įgyvendinimo priežiūrą ir Jungtinių Tautų asmenų su negalia teisių konvencijos įgyvendinimo kontrolę;</w:t>
                </w:r>
              </w:p>
              <w:p w14:paraId="35ADABE7" w14:textId="77777777">
                <w:pPr>
                  <w:jc w:val="both"/>
                  <w:rPr>
                    <w:b/>
                    <w:bCs/>
                    <w:szCs w:val="24"/>
                  </w:rPr>
                </w:pPr>
                <w:r>
                  <w:rPr>
                    <w:b/>
                    <w:bCs/>
                    <w:szCs w:val="24"/>
                  </w:rPr>
                  <w:t xml:space="preserve">4) tvirtina Komisijos nuostatus; </w:t>
                </w:r>
              </w:p>
              <w:p w14:paraId="62A8903D" w14:textId="77777777">
                <w:pPr>
                  <w:jc w:val="both"/>
                  <w:rPr>
                    <w:b/>
                    <w:bCs/>
                    <w:szCs w:val="24"/>
                  </w:rPr>
                </w:pPr>
                <w:r>
                  <w:rPr>
                    <w:b/>
                    <w:bCs/>
                    <w:szCs w:val="24"/>
                  </w:rPr>
                  <w:t>5) siūlo Seimui, Vyriausybei ir (ar) Lietuvos Respublikos Prezidentui kreiptis į Lietuvos Respublikos Konstitucinį Teismą, kad jis ištirtų, ar teisės aktai, susiję su lygių galimybių užtikrinimu, atitinka Konstituciją ir įstatymus;</w:t>
                </w:r>
              </w:p>
              <w:p w14:paraId="77B24D66" w14:textId="77777777">
                <w:pPr>
                  <w:jc w:val="both"/>
                  <w:rPr>
                    <w:b/>
                    <w:bCs/>
                    <w:szCs w:val="24"/>
                  </w:rPr>
                </w:pPr>
                <w:r>
                  <w:rPr>
                    <w:b/>
                    <w:bCs/>
                    <w:szCs w:val="24"/>
                  </w:rPr>
                  <w:t xml:space="preserve">6) gina viešąjį interesą lygių galimybių srityje teisme Lietuvos Respublikos civilinio proceso kodekso arba Lietuvos Respublikos administracinių bylų teisenos įstatymo nustatyta tvarka; </w:t>
                </w:r>
              </w:p>
              <w:p w14:paraId="0E5028B6" w14:textId="77777777">
                <w:pPr>
                  <w:jc w:val="both"/>
                  <w:rPr>
                    <w:b/>
                    <w:bCs/>
                    <w:szCs w:val="24"/>
                  </w:rPr>
                </w:pPr>
                <w:r>
                  <w:rPr>
                    <w:b/>
                    <w:bCs/>
                    <w:szCs w:val="24"/>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14:paraId="34367BE6" w14:textId="77777777">
                <w:pPr>
                  <w:jc w:val="both"/>
                  <w:rPr>
                    <w:b/>
                    <w:bCs/>
                    <w:szCs w:val="24"/>
                  </w:rPr>
                </w:pPr>
                <w:r>
                  <w:rPr>
                    <w:b/>
                    <w:bCs/>
                    <w:szCs w:val="24"/>
                  </w:rPr>
                  <w:t>8) įstatymų, reglamentuojančių išankstinį ginčų nagrinėjimą ne teismo tvarka, nustatyta tvarka gali pateikti išvadą dėl lygių galimybių pažeidimo išankstinio ginčų nagrinėjimo ne teismo tvarka institucijoms ir (ar) gauti informaciją iš jų apie jų nagrinėjamus ar išnagrinėtus skundus (prašymus), susijusius su lygiomis galimybėmis;</w:t>
                </w:r>
              </w:p>
              <w:p w14:paraId="293BFFB9" w14:textId="77777777">
                <w:pPr>
                  <w:jc w:val="both"/>
                  <w:rPr>
                    <w:b/>
                    <w:bCs/>
                    <w:szCs w:val="24"/>
                  </w:rPr>
                </w:pPr>
                <w:r>
                  <w:rPr>
                    <w:b/>
                    <w:bCs/>
                    <w:szCs w:val="24"/>
                  </w:rPr>
                  <w:t xml:space="preserve">9) nagrinėja asmenų skundus; </w:t>
                </w:r>
              </w:p>
              <w:p w14:paraId="7DCE1586" w14:textId="77777777">
                <w:pPr>
                  <w:jc w:val="both"/>
                  <w:rPr>
                    <w:b/>
                    <w:bCs/>
                    <w:szCs w:val="24"/>
                  </w:rPr>
                </w:pPr>
                <w:r>
                  <w:rPr>
                    <w:b/>
                    <w:bCs/>
                    <w:szCs w:val="24"/>
                  </w:rPr>
                  <w:t xml:space="preserve">10) gali atlikti taikinimo procedūrą; </w:t>
                </w:r>
              </w:p>
              <w:p w14:paraId="661CB428" w14:textId="77777777">
                <w:pPr>
                  <w:jc w:val="both"/>
                  <w:rPr>
                    <w:b/>
                    <w:bCs/>
                    <w:szCs w:val="24"/>
                  </w:rPr>
                </w:pPr>
                <w:r>
                  <w:rPr>
                    <w:b/>
                    <w:bCs/>
                    <w:szCs w:val="24"/>
                  </w:rPr>
                  <w:t>11) gali pradėti lygių galimybių pažeidimo tyrimą savo iniciatyva, nustatęs šio pažeidimo požymius visuomenės informavimo priemonėse ar kitur;</w:t>
                </w:r>
              </w:p>
              <w:p w14:paraId="763853BF" w14:textId="77777777">
                <w:pPr>
                  <w:jc w:val="both"/>
                  <w:rPr>
                    <w:b/>
                    <w:bCs/>
                    <w:szCs w:val="24"/>
                  </w:rPr>
                </w:pPr>
                <w:r>
                  <w:rPr>
                    <w:b/>
                    <w:bCs/>
                    <w:szCs w:val="24"/>
                  </w:rPr>
                  <w:t>12) konsultuoja asmenis, patyrusius priekabiavimą, seksualinį priekabiavimą, dėl galimų jų teisių gynimo būdų;</w:t>
                </w:r>
              </w:p>
              <w:p w14:paraId="69F1B1D5" w14:textId="77777777">
                <w:pPr>
                  <w:jc w:val="both"/>
                  <w:rPr>
                    <w:b/>
                    <w:bCs/>
                    <w:szCs w:val="24"/>
                  </w:rPr>
                </w:pPr>
                <w:r>
                  <w:rPr>
                    <w:b/>
                    <w:bCs/>
                    <w:szCs w:val="24"/>
                  </w:rPr>
                  <w:t>13) vykdo informacinę, prevencinę ir švietėjišką veiklą lygių galimybių srityje;</w:t>
                </w:r>
              </w:p>
              <w:p w14:paraId="7840247F" w14:textId="77777777">
                <w:pPr>
                  <w:jc w:val="both"/>
                  <w:rPr>
                    <w:b/>
                    <w:bCs/>
                    <w:szCs w:val="24"/>
                  </w:rPr>
                </w:pPr>
                <w:r>
                  <w:rPr>
                    <w:b/>
                    <w:bCs/>
                    <w:szCs w:val="24"/>
                  </w:rPr>
                  <w:t>14) savo iniciatyva atlieka nepriklausomus socialinius, visuomenės nuostatų tyrimus, rengia diskriminacijos apraiškų ir lygių galimybių užtikrinimo apžvalgas;</w:t>
                </w:r>
              </w:p>
              <w:p w14:paraId="4FC52076" w14:textId="77777777">
                <w:pPr>
                  <w:jc w:val="both"/>
                  <w:rPr>
                    <w:b/>
                    <w:bCs/>
                    <w:szCs w:val="24"/>
                  </w:rPr>
                </w:pPr>
                <w:r>
                  <w:rPr>
                    <w:b/>
                    <w:bCs/>
                    <w:szCs w:val="24"/>
                  </w:rPr>
                  <w:t>15) rengia ir skelbia nepriklausomas diskriminacijos apraiškų Lietuvos Respublikoje apžvalgas, ataskaitas dėl lygių galimybių ir diskriminacijos padėties, įskaitant ne rečiau kaip kas 4 metus skelbiamą vieną ar kelias ataskaitas dėl lygių galimybių ir diskriminacijos, kurioje (kuriose) pateikiamos rekomendacijos, kaip gerinti padėtį, susijusią su asmenų lygybe ir vienodu požiūriu į juos be diskriminacijos visoje Lietuvos Respublikos teritorijoje;</w:t>
                </w:r>
              </w:p>
              <w:p w14:paraId="587B2050" w14:textId="77777777">
                <w:pPr>
                  <w:jc w:val="both"/>
                  <w:rPr>
                    <w:b/>
                    <w:bCs/>
                    <w:szCs w:val="24"/>
                  </w:rPr>
                </w:pPr>
                <w:r>
                  <w:rPr>
                    <w:b/>
                    <w:bCs/>
                    <w:szCs w:val="24"/>
                  </w:rPr>
                  <w:t>16) teikia išvadas ir (ar) rekomendacijas dėl šio įstatymo įgyvendinimo, gali viešai jas skelbti ir prašyti nevyriausybinių organizacijų, kitų suinteresuotų subjektų pateikti nuomonę ir pasiūlymus dėl jų;</w:t>
                </w:r>
              </w:p>
              <w:p w14:paraId="069387EA" w14:textId="77777777">
                <w:pPr>
                  <w:jc w:val="both"/>
                  <w:rPr>
                    <w:b/>
                    <w:bCs/>
                    <w:szCs w:val="24"/>
                  </w:rPr>
                </w:pPr>
                <w:r>
                  <w:rPr>
                    <w:b/>
                    <w:bCs/>
                    <w:szCs w:val="24"/>
                  </w:rPr>
                  <w:t>17) teikia pasiūlymus valstybės ir savivaldybių institucijoms bei įstaigoms dėl valstybės lygių galimybių politikos prioritetų ir (ar) teisės aktų lygių galimybių srityje tobulinimo;</w:t>
                </w:r>
              </w:p>
              <w:p w14:paraId="64D1D03B" w14:textId="77777777">
                <w:pPr>
                  <w:jc w:val="both"/>
                  <w:rPr>
                    <w:b/>
                    <w:bCs/>
                    <w:szCs w:val="24"/>
                  </w:rPr>
                </w:pPr>
                <w:r>
                  <w:rPr>
                    <w:b/>
                    <w:bCs/>
                    <w:szCs w:val="24"/>
                  </w:rPr>
                  <w:t>18) pagal savo veiklos prioritetus vykdo kitą veiklą lygių galimybių užtikrinimo ir nediskriminavimo srityje;</w:t>
                </w:r>
              </w:p>
              <w:p w14:paraId="602E586C" w14:textId="58260265">
                <w:pPr>
                  <w:jc w:val="both"/>
                  <w:rPr>
                    <w:b/>
                    <w:bCs/>
                    <w:szCs w:val="24"/>
                  </w:rPr>
                </w:pPr>
                <w:r>
                  <w:rPr>
                    <w:b/>
                    <w:bCs/>
                    <w:szCs w:val="24"/>
                  </w:rPr>
                  <w:t xml:space="preserve">19) laikydamasis įstatymuose ir kituose teisės aktuose, reglamentuojančiuose informacijos teikimą ir (ar) gavimą bei asmens duomenų apsaugą, nustatytų reikalavimų, pagal kompetenciją teikia informaciją kitoms Lietuvos Respublikos ir užsienio valstybių institucijoms bei įstaigoms, tarptautinėms ir Europos Sąjungos institucijoms bei jų darbo (valdymo) organams, nevyriausybinėms organizacijoms; </w:t>
                </w:r>
              </w:p>
              <w:p w14:paraId="6D032423" w14:textId="77777777">
                <w:pPr>
                  <w:jc w:val="both"/>
                  <w:rPr>
                    <w:b/>
                    <w:bCs/>
                    <w:szCs w:val="24"/>
                  </w:rPr>
                </w:pPr>
                <w:r>
                  <w:rPr>
                    <w:b/>
                    <w:bCs/>
                    <w:szCs w:val="24"/>
                  </w:rPr>
                  <w:t>20) kaupia, sistemina, analizuoja informaciją savo veiklos srityje, įskaitant lygybės duomenis;</w:t>
                </w:r>
              </w:p>
              <w:p w14:paraId="2C8E4B0D" w14:textId="69BF5673">
                <w:pPr>
                  <w:jc w:val="both"/>
                  <w:rPr>
                    <w:b/>
                    <w:bCs/>
                    <w:szCs w:val="24"/>
                  </w:rPr>
                </w:pPr>
                <w:r>
                  <w:rPr>
                    <w:b/>
                    <w:bCs/>
                    <w:szCs w:val="24"/>
                  </w:rPr>
                  <w:t>21)atlieka kitas įstatymais ir kitais teisės aktais jam nustatytas funkcijas.</w:t>
                </w:r>
              </w:p>
              <w:p w14:paraId="101C7501" w14:textId="69E200C5">
                <w:pPr>
                  <w:jc w:val="both"/>
                  <w:rPr>
                    <w:b/>
                    <w:bCs/>
                    <w:szCs w:val="24"/>
                  </w:rPr>
                </w:pPr>
                <w:r>
                  <w:rPr>
                    <w:b/>
                    <w:bCs/>
                    <w:szCs w:val="24"/>
                  </w:rPr>
                  <w:t>5. Jei lygių galimybių kontrolierius Lietuvos Respublikos viešųjų ir privačių interesų derinimo įstatymo nustatyta tvarka nusišalina nuo tarnybinių pareigų atlikimo, apie viešųjų ir privačių interesų konfliktą informuodamas ir pareiškimą apie nusišalinimą pateikdamas Seimo valdybai, atostogauja, yra išvykęs į komandiruotę už Lietuvos Respublikos ribų ilgiau kaip vienai dienai arba yra laikinai nedarbingas ir dėl to laikinai negali eiti savo pareigų ar atlikti funkcijų, tuo laiku Seimo valdybos sprendimu jį pavaduoja vaiko teisių apsaugos kontrolierius, o jei jis negali, – Seimo kontrolierius.</w:t>
                </w:r>
              </w:p>
              <w:p w14:paraId="43AD60AE" w14:textId="77777777">
                <w:pPr>
                  <w:jc w:val="both"/>
                  <w:rPr>
                    <w:b/>
                    <w:bCs/>
                    <w:szCs w:val="24"/>
                  </w:rPr>
                </w:pPr>
              </w:p>
              <w:p w14:paraId="2C4FE97C" w14:textId="0ECE0181">
                <w:pPr>
                  <w:jc w:val="both"/>
                  <w:rPr>
                    <w:b/>
                    <w:bCs/>
                    <w:szCs w:val="24"/>
                  </w:rPr>
                </w:pPr>
                <w:r>
                  <w:rPr>
                    <w:b/>
                    <w:bCs/>
                    <w:szCs w:val="24"/>
                  </w:rPr>
                  <w:t xml:space="preserve">30 straipsnis. Lygių galimybių kontrolieriaus reikalavimų ir sprendimų privalomumas  </w:t>
                </w:r>
              </w:p>
              <w:p w14:paraId="0B1713CD" w14:textId="129B39D5">
                <w:pPr>
                  <w:jc w:val="both"/>
                  <w:rPr>
                    <w:b/>
                    <w:bCs/>
                    <w:szCs w:val="24"/>
                  </w:rPr>
                </w:pPr>
                <w:r>
                  <w:rPr>
                    <w:b/>
                    <w:bCs/>
                    <w:szCs w:val="24"/>
                  </w:rPr>
                  <w:t>1. Lygių galimybių kontrolierius, vykdydamas šio įstatymo 13 straipsnio 4 dalyje nurodytas funkcijas, turi teisę prašyti ir neatlygintinai gauti iš valstybės ir savivaldybių institucijų bei įstaigų, kitų juridinių ir fizinių asmenų, registrų informacinių sistemų ir kitų informacinių sistemų duomenis, dokumentus ir informaciją, įskaitant asmens duomenis, paaiškinimus ir kitą medžiagą, kurių jam reikia pavestoms funkcijoms atlikti.</w:t>
                </w:r>
              </w:p>
              <w:p w14:paraId="09C297DF" w14:textId="3D5543CE">
                <w:r>
                  <w:t>&lt;...&gt;</w:t>
                </w:r>
              </w:p>
              <w:p w14:paraId="196BBE84" w14:textId="77777777">
                <w:pPr>
                  <w:jc w:val="both"/>
                  <w:rPr>
                    <w:b/>
                    <w:bCs/>
                    <w:szCs w:val="24"/>
                  </w:rPr>
                </w:pPr>
              </w:p>
              <w:p w14:paraId="0C631B1E" w14:textId="77777777">
                <w:pPr>
                  <w:jc w:val="both"/>
                  <w:rPr>
                    <w:b/>
                    <w:bCs/>
                    <w:szCs w:val="24"/>
                  </w:rPr>
                </w:pPr>
              </w:p>
              <w:p w14:paraId="08154B16" w14:textId="77777777">
                <w:pPr>
                  <w:jc w:val="both"/>
                  <w:rPr>
                    <w:b/>
                    <w:bCs/>
                    <w:szCs w:val="24"/>
                  </w:rPr>
                </w:pPr>
              </w:p>
              <w:p w14:paraId="03CA85ED" w14:textId="5114051F">
                <w:pPr>
                  <w:jc w:val="both"/>
                  <w:rPr>
                    <w:b/>
                    <w:bCs/>
                    <w:szCs w:val="24"/>
                  </w:rPr>
                </w:pPr>
                <w:r>
                  <w:rPr>
                    <w:b/>
                    <w:bCs/>
                    <w:szCs w:val="24"/>
                  </w:rPr>
                  <w:t>MVLGĮ</w:t>
                </w:r>
              </w:p>
              <w:p w14:paraId="5B96A497" w14:textId="77777777">
                <w:pPr>
                  <w:jc w:val="both"/>
                  <w:rPr>
                    <w:b/>
                    <w:bCs/>
                    <w:szCs w:val="24"/>
                  </w:rPr>
                </w:pPr>
                <w:r>
                  <w:rPr>
                    <w:b/>
                    <w:bCs/>
                    <w:szCs w:val="24"/>
                  </w:rPr>
                  <w:t>19 straipsnis. Įstatymo vykdymo priežiūra</w:t>
                </w:r>
              </w:p>
              <w:p w14:paraId="3BA0E694" w14:textId="3D351D15">
                <w:pPr>
                  <w:jc w:val="both"/>
                  <w:rPr>
                    <w:b/>
                    <w:bCs/>
                    <w:szCs w:val="24"/>
                  </w:rPr>
                </w:pPr>
                <w:r>
                  <w:rPr>
                    <w:szCs w:val="24"/>
                  </w:rPr>
                  <w:t>1. Moterų ir vyrų lygių galimybių įstatymo vykdymo priežiūrą atlieka lygių galimybių kontrolierius.</w:t>
                </w:r>
              </w:p>
            </w:tc>
            <w:tc>
              <w:tcPr>
                <w:tcW w:w="1802" w:type="dxa"/>
              </w:tcPr>
              <w:p w14:paraId="26BA8113" w14:textId="2B943B3F">
                <w:pPr>
                  <w:rPr>
                    <w:b/>
                    <w:bCs/>
                    <w:szCs w:val="24"/>
                  </w:rPr>
                </w:pPr>
                <w:r>
                  <w:rPr>
                    <w:b/>
                    <w:bCs/>
                    <w:szCs w:val="24"/>
                  </w:rPr>
                  <w:t>Visiškas</w:t>
                </w:r>
              </w:p>
            </w:tc>
          </w:tr>
        </w:tbl>
        <w:p/>
      </w:sdtContent>
    </w:sdt>
    <w:sdt>
      <w:sdtPr>
        <w:alias w:val="pastraipa"/>
        <w:tag w:val="part_79096e6b6c214949a45bddef7f4981cc"/>
        <w:lock w:val="sdtLocked"/>
        <w:richText/>
      </w:sdtPr>
      <w:sdtContent>
        <w:p w14:paraId="781416E7" w14:textId="77777777">
          <w:pPr>
            <w:jc w:val="center"/>
            <w:rPr>
              <w:szCs w:val="24"/>
            </w:rPr>
          </w:pPr>
          <w:r>
            <w:rPr>
              <w:szCs w:val="24"/>
            </w:rPr>
            <w:t>______________________</w:t>
          </w:r>
        </w:p>
        <w:p w14:paraId="7A653ACE" w14:textId="77777777"/>
      </w:sdtContent>
    </w:sdt>
    <w:sectPr>
      <w:headerReference w:type="default" r:id="rId12"/>
      <w:footerReference w:type="even" r:id="rId13"/>
      <w:footerReference w:type="default" r:id="rId14"/>
      <w:footerReference w:type="first" r:id="rId15"/>
      <w:pgSz w:w="16838" w:h="11906" w:orient="landscape"/>
      <w:pgMar w:top="170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661B42" w14:textId="77777777">
      <w:r>
        <w:separator/>
      </w:r>
    </w:p>
  </w:endnote>
  <w:endnote w:type="continuationSeparator" w:id="0">
    <w:p w14:paraId="44CA91C3"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2FFA87" w14:textId="6B9D6763">
    <w:pPr>
      <w:tabs>
        <w:tab w:val="center" w:pos="4819"/>
        <w:tab w:val="right" w:pos="9638"/>
      </w:tabs>
    </w:pPr>
    <w:r>
      <w:rPr>
        <w:lang w:val="en-US"/>
        <w14:ligatures w14:val="standardContextual"/>
      </w:rPr>
      <mc:AlternateContent>
        <mc:Choice Requires="wps">
          <w:drawing>
            <wp:anchor distT="0" distB="0" distL="0" distR="0" simplePos="0" relativeHeight="251659264" behindDoc="0" locked="0" layoutInCell="1" allowOverlap="1" wp14:anchorId="109422D3" wp14:editId="034BFDBB">
              <wp:simplePos x="635" y="635"/>
              <wp:positionH relativeFrom="page">
                <wp:align>left</wp:align>
              </wp:positionH>
              <wp:positionV relativeFrom="page">
                <wp:align>bottom</wp:align>
              </wp:positionV>
              <wp:extent cx="4829175" cy="345440"/>
              <wp:effectExtent l="0" t="0" r="9525" b="0"/>
              <wp:wrapNone/>
              <wp:docPr id="952083770" name="Text Box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4F0DB0A8" w14:textId="5B3F0B19">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09422D3" id="_x0000_t202" coordsize="21600,21600" o:spt="202" path="m,l,21600r21600,l21600,xe">
              <v:stroke joinstyle="miter"/>
              <v:path gradientshapeok="t" o:connecttype="rect"/>
            </v:shapetype>
            <v:shape id="Text Box 5" o:spid="_x0000_s1026" type="#_x0000_t202" alt="Socialinės apsaugos ir darbo ministerija bei pavaldžios įstaigos | Viešam naudojimui" style="position:absolute;margin-left:0;margin-top:0;width:380.2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xd+FmtQIAAP4EAAAOAAAAZHJzL2Uyb0RvYy54bWysVEtu2zAQ3RfoHQjuHcmKVH8QOVDsqCgQ JAGcNmuKomwG4gckbStNe46ue4LeoKvkXh1SdtqmXRXd0KOZ4Xwe3/PJaSdatGXGciVzPDyKMWKS qprLVY7f35SDMUbWEVmTVkmW43tm8ens9auTnZ6yRK1VWzODoIi0053O8do5PY0iS9dMEHukNJMQ bJQRxMGnWUW1ITuoLtooieM30U6ZWhtFmbXgXfRBPAv1m4ZRd9U0ljnU5hhmc+E04az8Gc1OyHRl iF5zuh+D/MMUgnAJTZ9LLYgjaGP4H6UEp0ZZ1bgjqkSkmoZTFnaAbYbxi22Wa6JZ2AXAsfoZJvv/ ytLL7bVBvM7xJEvi8fFoBChJIuCpbljn0JnqUIZRzSwF1JaKctJy+fjFIqIt2ayURdygmphKIcEl t44ZfkdQxTjSZEva+uk7h6THb8AC7tM/oQ+cPX0lAtpsanXHxYYH6KDdhXUeRN84gPeQFefpsCyS wTwuy0GajuLB5GyRDrKyWMyL8Wh+dp589o8YhVvhfrTTdhr28iwI5lLDkq6DZYCjPt37LTh9t64x wv/CYyCIw/73z8zwk1BwpuNkMhwBEBRix2mWpoE60PVwWxvr3jIlkDdybIB5YSuyhaH6AQ8pvplU JW/bwL5W/uaAmt4TtuhH9MO6rur2c1eqvod1jOrJbDUtOfS8INZdEwPshQ1Ake4KjqZVuxyrvYXR WpmPf/P7fCAVRDHagRpyLEGuGLXvJJAtydI49uoJX2CYg1EFYziJMx+XGzFXILQhaF7TYPpk1x7M xihxC4ItfDcIEUmhZ46rgzl3vTZB8JQVRUgCoWjiLuRSU1/ag+WRvOluidF7uB081KU66IVMX6De 5/qbVhcbB9iHJ/HA9mju8QaRBSrt/xC8in/9Dlk//7ZmPwAAAP//AwBQSwMEFAAGAAgAAAAhALW5 fR7bAAAABAEAAA8AAABkcnMvZG93bnJldi54bWxMj81uwjAQhO+VeAdrkXorThGkKI2DEP1Rr00r laMTL3FEvA7xAunb1+2FXlYazWjm23w9uk6ccQitJwX3swQEUu1NS42Cz4+XuxWIwJqM7jyhgm8M sC4mN7nOjL/QO55LbkQsoZBpBZa5z6QMtUWnw8z3SNHb+8FpjnJopBn0JZa7Ts6TJJVOtxQXrO5x a7E+lCenIH163dj+K90d9/PwFip/4NI/K3U7HTePIBhHvobhFz+iQxGZKn8iE0SnID7Cfzd6D2my BFEpWC4WIItc/ocvfgAAAP//AwBQSwECLQAUAAYACAAAACEAtoM4kv4AAADhAQAAEwAAAAAAAAAA AAAAAAAAAAAAW0NvbnRlbnRfVHlwZXNdLnhtbFBLAQItABQABgAIAAAAIQA4/SH/1gAAAJQBAAAL AAAAAAAAAAAAAAAAAC8BAABfcmVscy8ucmVsc1BLAQItABQABgAIAAAAIQDxd+FmtQIAAP4EAAAO AAAAAAAAAAAAAAAAAC4CAABkcnMvZTJvRG9jLnhtbFBLAQItABQABgAIAAAAIQC1uX0e2wAAAAQB AAAPAAAAAAAAAAAAAAAAAA8FAABkcnMvZG93bnJldi54bWxQSwUGAAAAAAQABADzAAAAFwYAAAAA " filled="f" stroked="f">
              <v:textbox style="mso-fit-shape-to-text:t" inset="20pt,0,0,15pt">
                <w:txbxContent>
                  <w:p w14:paraId="4F0DB0A8" w14:textId="5B3F0B19">
                    <w:pPr>
                      <w:spacing w:line="240"/>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A858C" w14:textId="77718C15">
    <w:pPr>
      <w:tabs>
        <w:tab w:val="center" w:pos="4819"/>
        <w:tab w:val="right" w:pos="9638"/>
      </w:tabs>
      <w:rPr>
        <w:sz w:val="22"/>
        <w:szCs w:val="22"/>
      </w:rPr>
    </w:pPr>
    <w:r>
      <w:rPr>
        <w:sz w:val="22"/>
        <w:szCs w:val="22"/>
        <w:lang w:val="en-US"/>
        <w14:ligatures w14:val="standardContextual"/>
      </w:rPr>
      <mc:AlternateContent>
        <mc:Choice Requires="wps">
          <w:drawing>
            <wp:anchor distT="0" distB="0" distL="0" distR="0" simplePos="0" relativeHeight="251660288" behindDoc="0" locked="0" layoutInCell="1" allowOverlap="1" wp14:anchorId="5A1806ED" wp14:editId="4920BB96">
              <wp:simplePos x="1079500" y="7035800"/>
              <wp:positionH relativeFrom="page">
                <wp:align>left</wp:align>
              </wp:positionH>
              <wp:positionV relativeFrom="page">
                <wp:align>bottom</wp:align>
              </wp:positionV>
              <wp:extent cx="4829175" cy="345440"/>
              <wp:effectExtent l="0" t="0" r="9525" b="0"/>
              <wp:wrapNone/>
              <wp:docPr id="1142033576" name="Text Box 6"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1DAA3E8D" w14:textId="0FC72A02">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A1806ED" id="_x0000_t202" coordsize="21600,21600" o:spt="202" path="m,l,21600r21600,l21600,xe">
              <v:stroke joinstyle="miter"/>
              <v:path gradientshapeok="t" o:connecttype="rect"/>
            </v:shapetype>
            <v:shape id="Text Box 6" o:spid="_x0000_s1027" type="#_x0000_t202" alt="Socialinės apsaugos ir darbo ministerija bei pavaldžios įstaigos | Viešam naudojimui" style="position:absolute;margin-left:0;margin-top:0;width:380.25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msbSuAIAAAYFAAAOAAAAZHJzL2Uyb0RvYy54bWysVEtu2zAQ3RfoHQjuHX0ixYkROVDsuCgQ JAGcNmuKomwG4gckbSv9nKPrnqA36Cq5V4eUlbZpV0U31HBmOJ8383R61okWbZmxXMkCJwcxRkxS VXO5KvC728XoGCPriKxJqyQr8AOz+Gz6+tXpTk9YqtaqrZlBEETayU4XeO2cnkSRpWsmiD1Qmkkw NsoI4uBqVlFtyA6iizZK4/go2ilTa6Mosxa0896IpyF+0zDqrpvGMofaAkNtLpwmnJU/o+kpmawM 0WtO92WQf6hCEC4h6XOoOXEEbQz/I5Tg1CirGndAlYhU03DKQg/QTRK/6Ga5JpqFXgAcq59hsv8v LL3a3hjEa5hdkqXx4WE+PsJIEgGzumWdQ+eqQ6CpmaUA21JRTlouH79YRLQlm5WyiBtUE1MpJLjk 1jHD7wmqGEeabElbP33n4PT4DdaAe/dP6D1nT1+JgDSbWt1zseEBO0h3aZ1H0ScO6H3My4ssWZTp aBYvFqMsG8ejk/N5NsoX5XxWHo9n5xfpZz/FKLwK76OdtpPQmF+DIC41dOk6aAYa9e5eb0Hps3WN Ef4L00BghzV5eF4NXwkFZXacniTjHCMKtsMsz7KwO5B1eK2NdW+YEsgLBTaweqErsoWi+gIHF59M qgVv27B+rfxNATG9JnTRl+iLdV3V9XMayq9U/QBdGdUvtdV0wSH1JbHuhhjYYmgEmOmu4WhatSuw 2ksYrZX58De994flAitGO2BFgSXQFqP2rYSlS/Msjj2Lwg0EMwhVEJKTOPd2uREzBYRLgPuaBtE7 u3YQG6PEHRC39NnARCSFnAWuBnHmeo4C8Skry+AEhNHEXcqlpj60x8wDetvdEaP3qDuY15UaeEMm L8Dvff1Lq8uNgxGEyXh8ezT3sAPZwkbtfwyezb/eg9fP39f0BwAAAP//AwBQSwMEFAAGAAgAAAAh ALW5fR7bAAAABAEAAA8AAABkcnMvZG93bnJldi54bWxMj81uwjAQhO+VeAdrkXorThGkKI2DEP1R r00rlaMTL3FEvA7xAunb1+2FXlYazWjm23w9uk6ccQitJwX3swQEUu1NS42Cz4+XuxWIwJqM7jyh gm8MsC4mN7nOjL/QO55LbkQsoZBpBZa5z6QMtUWnw8z3SNHb+8FpjnJopBn0JZa7Ts6TJJVOtxQX rO5xa7E+lCenIH163dj+K90d9/PwFip/4NI/K3U7HTePIBhHvobhFz+iQxGZKn8iE0SnID7Cfzd6 D2myBFEpWC4WIItc/ocvfgAAAP//AwBQSwECLQAUAAYACAAAACEAtoM4kv4AAADhAQAAEwAAAAAA AAAAAAAAAAAAAAAAW0NvbnRlbnRfVHlwZXNdLnhtbFBLAQItABQABgAIAAAAIQA4/SH/1gAAAJQB AAALAAAAAAAAAAAAAAAAAC8BAABfcmVscy8ucmVsc1BLAQItABQABgAIAAAAIQBmmsbSuAIAAAYF AAAOAAAAAAAAAAAAAAAAAC4CAABkcnMvZTJvRG9jLnhtbFBLAQItABQABgAIAAAAIQC1uX0e2wAA AAQBAAAPAAAAAAAAAAAAAAAAABIFAABkcnMvZG93bnJldi54bWxQSwUGAAAAAAQABADzAAAAGgYA AAAA " filled="f" stroked="f">
              <v:textbox style="mso-fit-shape-to-text:t" inset="20pt,0,0,15pt">
                <w:txbxContent>
                  <w:p w14:paraId="1DAA3E8D" w14:textId="0FC72A02">
                    <w:pPr>
                      <w:spacing w:line="240"/>
                      <w:rPr>
                        <w:rFonts w:ascii="Aptos" w:hAnsi="Aptos" w:eastAsia="Aptos" w:cs="Aptos"/>
                        <w:color w:val="000000"/>
                        <w:sz w:val="20"/>
                      </w:rPr>
                    </w:pPr>
                  </w:p>
                </w:txbxContent>
              </v:textbox>
              <w10:wrap anchorx="page" anchory="page"/>
            </v:shape>
          </w:pict>
        </mc:Fallback>
      </mc:AlternateConten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E0874" w14:textId="6995A41D">
    <w:pPr>
      <w:tabs>
        <w:tab w:val="center" w:pos="4819"/>
        <w:tab w:val="right" w:pos="9638"/>
      </w:tabs>
    </w:pPr>
    <w:r>
      <w:rPr>
        <w:lang w:val="en-US"/>
        <w14:ligatures w14:val="standardContextual"/>
      </w:rPr>
      <mc:AlternateContent>
        <mc:Choice Requires="wps">
          <w:drawing>
            <wp:anchor distT="0" distB="0" distL="0" distR="0" simplePos="0" relativeHeight="251658240" behindDoc="0" locked="0" layoutInCell="1" allowOverlap="1" wp14:anchorId="2CC5CAA6" wp14:editId="7190D2EC">
              <wp:simplePos x="635" y="635"/>
              <wp:positionH relativeFrom="page">
                <wp:align>left</wp:align>
              </wp:positionH>
              <wp:positionV relativeFrom="page">
                <wp:align>bottom</wp:align>
              </wp:positionV>
              <wp:extent cx="4829175" cy="345440"/>
              <wp:effectExtent l="0" t="0" r="9525" b="0"/>
              <wp:wrapNone/>
              <wp:docPr id="244755347" name="Text Box 4"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6FDFC204" w14:textId="7622F708">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CC5CAA6" id="_x0000_t202" coordsize="21600,21600" o:spt="202" path="m,l,21600r21600,l21600,xe">
              <v:stroke joinstyle="miter"/>
              <v:path gradientshapeok="t" o:connecttype="rect"/>
            </v:shapetype>
            <v:shape id="Text Box 4" o:spid="_x0000_s1028"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CH+xKtgIAAAUFAAAOAAAAZHJzL2Uyb0RvYy54bWysVEtu2zAQ3RfoHQjuHcmKVCdG5ECxo6JA kARw2qwpirIZiB+QtK007Tm67gl6g66Se3VIWWmbdlV0Qw1nhvN9TyennWjRlhnLlczx+CDGiEmq ai5XOX5/U46OMLKOyJq0SrIc3zOLT2evX53s9JQlaq3amhkEQaSd7nSO187paRRZumaC2AOlmQRj o4wgDq5mFdWG7CC6aKMkjt9EO2VqbRRl1oJ20RvxLMRvGkbdVdNY5lCbY6jNhdOEs/JnNDsh05Uh es3pvgzyD1UIwiUkfQ61II6gjeF/hBKcGmVV4w6oEpFqGk5Z6AG6GccvulmuiWahFxiO1c9jsv8v LL3cXhvE6xwnaTrJssN0gpEkAlZ1wzqHzlSHUoxqZilMbakoJy2Xj18sItqSzUpZxA2qiakUElxy 65jhdwRVjCNNtqStn75zcHr8Bijg3v0T+sDZ01ciIM2mVndcbHgYHaS7sM4P0ScOw3vIivN0XBbJ aB6X5QgqjEfHZ4t0lJXFYl4cTeZn58lnv8QovArvo52209CXR0EQlxqadB00Axj17l5vQemzdY0R /gvLQGAHlNw/I8NXQkGZHiXH40mGEQXbYZqlaYAOZB1ea2PdW6YE8kKODSAvdEW2UFRf4ODik0lV 8rYN6GvlbwqI6TWhi75EX6zrqq5f01B+pep76MqoHtNW05JD6gti3TUxAGJoBIjpruBoWrXLsdpL GK2V+fg3vfcHbIEVox2QIscSWItR+04C5pIsjWNPonADwQxCFYTxcZx5u9yIuQK+jYH6mgbRO7t2 EBujxC3wtvDZwEQkhZw5rgZx7nqKAu8pK4rgBHzRxF3IpaY+tJ+ZH+hNd0uM3k/dwb4u1UAbMn0x /N7Xv7S62DhYQdiMn28/zf3YgWsBUfv/gifzr/fg9fPvNfsBAAD//wMAUEsDBBQABgAIAAAAIQC1 uX0e2wAAAAQBAAAPAAAAZHJzL2Rvd25yZXYueG1sTI/NbsIwEITvlXgHa5F6K04RpCiNgxD9Ua9N K5WjEy9xRLwO8QLp29fthV5WGs1o5tt8PbpOnHEIrScF97MEBFLtTUuNgs+Pl7sViMCajO48oYJv DLAuJje5zoy/0DueS25ELKGQaQWWuc+kDLVFp8PM90jR2/vBaY5yaKQZ9CWWu07OkySVTrcUF6zu cWuxPpQnpyB9et3Y/ivdHffz8BYqf+DSPyt1Ox03jyAYR76G4Rc/okMRmSp/IhNEpyA+wn83eg9p sgRRKVguFiCLXP6HL34AAAD//wMAUEsBAi0AFAAGAAgAAAAhALaDOJL+AAAA4QEAABMAAAAAAAAA AAAAAAAAAAAAAFtDb250ZW50X1R5cGVzXS54bWxQSwECLQAUAAYACAAAACEAOP0h/9YAAACUAQAA CwAAAAAAAAAAAAAAAAAvAQAAX3JlbHMvLnJlbHNQSwECLQAUAAYACAAAACEAQh/sSrYCAAAFBQAA DgAAAAAAAAAAAAAAAAAuAgAAZHJzL2Uyb0RvYy54bWxQSwECLQAUAAYACAAAACEAtbl9HtsAAAAE AQAADwAAAAAAAAAAAAAAAAAQBQAAZHJzL2Rvd25yZXYueG1sUEsFBgAAAAAEAAQA8wAAABgGAAAA AA== " filled="f" stroked="f">
              <v:textbox style="mso-fit-shape-to-text:t" inset="20pt,0,0,15pt">
                <w:txbxContent>
                  <w:p w14:paraId="6FDFC204" w14:textId="7622F708">
                    <w:pPr>
                      <w:spacing w:line="240"/>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624AAC" w14:textId="77777777">
      <w:r>
        <w:separator/>
      </w:r>
    </w:p>
  </w:footnote>
  <w:footnote w:type="continuationSeparator" w:id="0">
    <w:p w14:paraId="61E56B5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43C57" w14:textId="48073821">
    <w:pPr>
      <w:tabs>
        <w:tab w:val="center" w:pos="4819"/>
        <w:tab w:val="right" w:pos="9638"/>
      </w:tabs>
      <w:jc w:val="center"/>
    </w:pPr>
    <w:r>
      <w:fldChar w:fldCharType="begin"/>
    </w:r>
    <w:r>
      <w:instrText>PAGE   \* MERGEFORMAT</w:instrText>
    </w:r>
    <w:r>
      <w:fldChar w:fldCharType="separate"/>
    </w:r>
    <w:r>
      <w:t>2</w:t>
    </w:r>
    <w:r>
      <w:fldChar w:fldCharType="end"/>
    </w:r>
  </w:p>
  <w:p w14:paraId="21BA6821"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17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4A4DCD64"/>
  <w15:chartTrackingRefBased/>
  <w15:docId w15:val="{3AA26C05-FCC4-4A17-AD2A-E58998C9DF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254685">
      <w:bodyDiv w:val="1"/>
      <w:marLeft w:val="0"/>
      <w:marRight w:val="0"/>
      <w:marTop w:val="0"/>
      <w:marBottom w:val="0"/>
      <w:divBdr>
        <w:top w:val="none" w:sz="0" w:space="0" w:color="auto"/>
        <w:left w:val="none" w:sz="0" w:space="0" w:color="auto"/>
        <w:bottom w:val="none" w:sz="0" w:space="0" w:color="auto"/>
        <w:right w:val="none" w:sz="0" w:space="0" w:color="auto"/>
      </w:divBdr>
    </w:div>
    <w:div w:id="10229828">
      <w:bodyDiv w:val="1"/>
      <w:marLeft w:val="0"/>
      <w:marRight w:val="0"/>
      <w:marTop w:val="0"/>
      <w:marBottom w:val="0"/>
      <w:divBdr>
        <w:top w:val="none" w:sz="0" w:space="0" w:color="auto"/>
        <w:left w:val="none" w:sz="0" w:space="0" w:color="auto"/>
        <w:bottom w:val="none" w:sz="0" w:space="0" w:color="auto"/>
        <w:right w:val="none" w:sz="0" w:space="0" w:color="auto"/>
      </w:divBdr>
      <w:divsChild>
        <w:div w:id="205918402">
          <w:marLeft w:val="0"/>
          <w:marRight w:val="0"/>
          <w:marTop w:val="0"/>
          <w:marBottom w:val="0"/>
          <w:divBdr>
            <w:top w:val="none" w:sz="0" w:space="0" w:color="auto"/>
            <w:left w:val="none" w:sz="0" w:space="0" w:color="auto"/>
            <w:bottom w:val="none" w:sz="0" w:space="0" w:color="auto"/>
            <w:right w:val="none" w:sz="0" w:space="0" w:color="auto"/>
          </w:divBdr>
          <w:divsChild>
            <w:div w:id="1688557588">
              <w:marLeft w:val="0"/>
              <w:marRight w:val="0"/>
              <w:marTop w:val="0"/>
              <w:marBottom w:val="0"/>
              <w:divBdr>
                <w:top w:val="none" w:sz="0" w:space="0" w:color="auto"/>
                <w:left w:val="none" w:sz="0" w:space="0" w:color="auto"/>
                <w:bottom w:val="none" w:sz="0" w:space="0" w:color="auto"/>
                <w:right w:val="none" w:sz="0" w:space="0" w:color="auto"/>
              </w:divBdr>
              <w:divsChild>
                <w:div w:id="165760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644760">
      <w:bodyDiv w:val="1"/>
      <w:marLeft w:val="0"/>
      <w:marRight w:val="0"/>
      <w:marTop w:val="0"/>
      <w:marBottom w:val="0"/>
      <w:divBdr>
        <w:top w:val="none" w:sz="0" w:space="0" w:color="auto"/>
        <w:left w:val="none" w:sz="0" w:space="0" w:color="auto"/>
        <w:bottom w:val="none" w:sz="0" w:space="0" w:color="auto"/>
        <w:right w:val="none" w:sz="0" w:space="0" w:color="auto"/>
      </w:divBdr>
      <w:divsChild>
        <w:div w:id="821308662">
          <w:marLeft w:val="0"/>
          <w:marRight w:val="0"/>
          <w:marTop w:val="0"/>
          <w:marBottom w:val="0"/>
          <w:divBdr>
            <w:top w:val="none" w:sz="0" w:space="0" w:color="auto"/>
            <w:left w:val="none" w:sz="0" w:space="0" w:color="auto"/>
            <w:bottom w:val="none" w:sz="0" w:space="0" w:color="auto"/>
            <w:right w:val="none" w:sz="0" w:space="0" w:color="auto"/>
          </w:divBdr>
          <w:divsChild>
            <w:div w:id="488012259">
              <w:marLeft w:val="0"/>
              <w:marRight w:val="0"/>
              <w:marTop w:val="0"/>
              <w:marBottom w:val="0"/>
              <w:divBdr>
                <w:top w:val="none" w:sz="0" w:space="0" w:color="auto"/>
                <w:left w:val="none" w:sz="0" w:space="0" w:color="auto"/>
                <w:bottom w:val="none" w:sz="0" w:space="0" w:color="auto"/>
                <w:right w:val="none" w:sz="0" w:space="0" w:color="auto"/>
              </w:divBdr>
              <w:divsChild>
                <w:div w:id="1225532756">
                  <w:marLeft w:val="0"/>
                  <w:marRight w:val="0"/>
                  <w:marTop w:val="0"/>
                  <w:marBottom w:val="0"/>
                  <w:divBdr>
                    <w:top w:val="none" w:sz="0" w:space="0" w:color="auto"/>
                    <w:left w:val="none" w:sz="0" w:space="0" w:color="auto"/>
                    <w:bottom w:val="none" w:sz="0" w:space="0" w:color="auto"/>
                    <w:right w:val="none" w:sz="0" w:space="0" w:color="auto"/>
                  </w:divBdr>
                  <w:divsChild>
                    <w:div w:id="76226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790160">
      <w:bodyDiv w:val="1"/>
      <w:marLeft w:val="0"/>
      <w:marRight w:val="0"/>
      <w:marTop w:val="0"/>
      <w:marBottom w:val="0"/>
      <w:divBdr>
        <w:top w:val="none" w:sz="0" w:space="0" w:color="auto"/>
        <w:left w:val="none" w:sz="0" w:space="0" w:color="auto"/>
        <w:bottom w:val="none" w:sz="0" w:space="0" w:color="auto"/>
        <w:right w:val="none" w:sz="0" w:space="0" w:color="auto"/>
      </w:divBdr>
    </w:div>
    <w:div w:id="66347196">
      <w:bodyDiv w:val="1"/>
      <w:marLeft w:val="0"/>
      <w:marRight w:val="0"/>
      <w:marTop w:val="0"/>
      <w:marBottom w:val="0"/>
      <w:divBdr>
        <w:top w:val="none" w:sz="0" w:space="0" w:color="auto"/>
        <w:left w:val="none" w:sz="0" w:space="0" w:color="auto"/>
        <w:bottom w:val="none" w:sz="0" w:space="0" w:color="auto"/>
        <w:right w:val="none" w:sz="0" w:space="0" w:color="auto"/>
      </w:divBdr>
    </w:div>
    <w:div w:id="80421194">
      <w:bodyDiv w:val="1"/>
      <w:marLeft w:val="0"/>
      <w:marRight w:val="0"/>
      <w:marTop w:val="0"/>
      <w:marBottom w:val="0"/>
      <w:divBdr>
        <w:top w:val="none" w:sz="0" w:space="0" w:color="auto"/>
        <w:left w:val="none" w:sz="0" w:space="0" w:color="auto"/>
        <w:bottom w:val="none" w:sz="0" w:space="0" w:color="auto"/>
        <w:right w:val="none" w:sz="0" w:space="0" w:color="auto"/>
      </w:divBdr>
      <w:divsChild>
        <w:div w:id="8992188">
          <w:marLeft w:val="0"/>
          <w:marRight w:val="0"/>
          <w:marTop w:val="0"/>
          <w:marBottom w:val="0"/>
          <w:divBdr>
            <w:top w:val="none" w:sz="0" w:space="0" w:color="auto"/>
            <w:left w:val="none" w:sz="0" w:space="0" w:color="auto"/>
            <w:bottom w:val="none" w:sz="0" w:space="0" w:color="auto"/>
            <w:right w:val="none" w:sz="0" w:space="0" w:color="auto"/>
          </w:divBdr>
          <w:divsChild>
            <w:div w:id="1016006236">
              <w:marLeft w:val="0"/>
              <w:marRight w:val="0"/>
              <w:marTop w:val="0"/>
              <w:marBottom w:val="0"/>
              <w:divBdr>
                <w:top w:val="none" w:sz="0" w:space="0" w:color="auto"/>
                <w:left w:val="none" w:sz="0" w:space="0" w:color="auto"/>
                <w:bottom w:val="none" w:sz="0" w:space="0" w:color="auto"/>
                <w:right w:val="none" w:sz="0" w:space="0" w:color="auto"/>
              </w:divBdr>
              <w:divsChild>
                <w:div w:id="266812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843257">
      <w:bodyDiv w:val="1"/>
      <w:marLeft w:val="0"/>
      <w:marRight w:val="0"/>
      <w:marTop w:val="0"/>
      <w:marBottom w:val="0"/>
      <w:divBdr>
        <w:top w:val="none" w:sz="0" w:space="0" w:color="auto"/>
        <w:left w:val="none" w:sz="0" w:space="0" w:color="auto"/>
        <w:bottom w:val="none" w:sz="0" w:space="0" w:color="auto"/>
        <w:right w:val="none" w:sz="0" w:space="0" w:color="auto"/>
      </w:divBdr>
    </w:div>
    <w:div w:id="204679610">
      <w:bodyDiv w:val="1"/>
      <w:marLeft w:val="0"/>
      <w:marRight w:val="0"/>
      <w:marTop w:val="0"/>
      <w:marBottom w:val="0"/>
      <w:divBdr>
        <w:top w:val="none" w:sz="0" w:space="0" w:color="auto"/>
        <w:left w:val="none" w:sz="0" w:space="0" w:color="auto"/>
        <w:bottom w:val="none" w:sz="0" w:space="0" w:color="auto"/>
        <w:right w:val="none" w:sz="0" w:space="0" w:color="auto"/>
      </w:divBdr>
    </w:div>
    <w:div w:id="226183694">
      <w:bodyDiv w:val="1"/>
      <w:marLeft w:val="0"/>
      <w:marRight w:val="0"/>
      <w:marTop w:val="0"/>
      <w:marBottom w:val="0"/>
      <w:divBdr>
        <w:top w:val="none" w:sz="0" w:space="0" w:color="auto"/>
        <w:left w:val="none" w:sz="0" w:space="0" w:color="auto"/>
        <w:bottom w:val="none" w:sz="0" w:space="0" w:color="auto"/>
        <w:right w:val="none" w:sz="0" w:space="0" w:color="auto"/>
      </w:divBdr>
    </w:div>
    <w:div w:id="247272827">
      <w:bodyDiv w:val="1"/>
      <w:marLeft w:val="0"/>
      <w:marRight w:val="0"/>
      <w:marTop w:val="0"/>
      <w:marBottom w:val="0"/>
      <w:divBdr>
        <w:top w:val="none" w:sz="0" w:space="0" w:color="auto"/>
        <w:left w:val="none" w:sz="0" w:space="0" w:color="auto"/>
        <w:bottom w:val="none" w:sz="0" w:space="0" w:color="auto"/>
        <w:right w:val="none" w:sz="0" w:space="0" w:color="auto"/>
      </w:divBdr>
    </w:div>
    <w:div w:id="275020780">
      <w:bodyDiv w:val="1"/>
      <w:marLeft w:val="0"/>
      <w:marRight w:val="0"/>
      <w:marTop w:val="0"/>
      <w:marBottom w:val="0"/>
      <w:divBdr>
        <w:top w:val="none" w:sz="0" w:space="0" w:color="auto"/>
        <w:left w:val="none" w:sz="0" w:space="0" w:color="auto"/>
        <w:bottom w:val="none" w:sz="0" w:space="0" w:color="auto"/>
        <w:right w:val="none" w:sz="0" w:space="0" w:color="auto"/>
      </w:divBdr>
    </w:div>
    <w:div w:id="316885002">
      <w:bodyDiv w:val="1"/>
      <w:marLeft w:val="0"/>
      <w:marRight w:val="0"/>
      <w:marTop w:val="0"/>
      <w:marBottom w:val="0"/>
      <w:divBdr>
        <w:top w:val="none" w:sz="0" w:space="0" w:color="auto"/>
        <w:left w:val="none" w:sz="0" w:space="0" w:color="auto"/>
        <w:bottom w:val="none" w:sz="0" w:space="0" w:color="auto"/>
        <w:right w:val="none" w:sz="0" w:space="0" w:color="auto"/>
      </w:divBdr>
      <w:divsChild>
        <w:div w:id="193736731">
          <w:marLeft w:val="0"/>
          <w:marRight w:val="0"/>
          <w:marTop w:val="0"/>
          <w:marBottom w:val="0"/>
          <w:divBdr>
            <w:top w:val="none" w:sz="0" w:space="0" w:color="auto"/>
            <w:left w:val="none" w:sz="0" w:space="0" w:color="auto"/>
            <w:bottom w:val="none" w:sz="0" w:space="0" w:color="auto"/>
            <w:right w:val="none" w:sz="0" w:space="0" w:color="auto"/>
          </w:divBdr>
        </w:div>
        <w:div w:id="382144822">
          <w:marLeft w:val="0"/>
          <w:marRight w:val="0"/>
          <w:marTop w:val="0"/>
          <w:marBottom w:val="0"/>
          <w:divBdr>
            <w:top w:val="none" w:sz="0" w:space="0" w:color="auto"/>
            <w:left w:val="none" w:sz="0" w:space="0" w:color="auto"/>
            <w:bottom w:val="none" w:sz="0" w:space="0" w:color="auto"/>
            <w:right w:val="none" w:sz="0" w:space="0" w:color="auto"/>
          </w:divBdr>
        </w:div>
        <w:div w:id="1302614731">
          <w:marLeft w:val="0"/>
          <w:marRight w:val="0"/>
          <w:marTop w:val="0"/>
          <w:marBottom w:val="0"/>
          <w:divBdr>
            <w:top w:val="none" w:sz="0" w:space="0" w:color="auto"/>
            <w:left w:val="none" w:sz="0" w:space="0" w:color="auto"/>
            <w:bottom w:val="none" w:sz="0" w:space="0" w:color="auto"/>
            <w:right w:val="none" w:sz="0" w:space="0" w:color="auto"/>
          </w:divBdr>
        </w:div>
        <w:div w:id="1525556213">
          <w:marLeft w:val="0"/>
          <w:marRight w:val="0"/>
          <w:marTop w:val="0"/>
          <w:marBottom w:val="0"/>
          <w:divBdr>
            <w:top w:val="none" w:sz="0" w:space="0" w:color="auto"/>
            <w:left w:val="none" w:sz="0" w:space="0" w:color="auto"/>
            <w:bottom w:val="none" w:sz="0" w:space="0" w:color="auto"/>
            <w:right w:val="none" w:sz="0" w:space="0" w:color="auto"/>
          </w:divBdr>
        </w:div>
      </w:divsChild>
    </w:div>
    <w:div w:id="358776405">
      <w:bodyDiv w:val="1"/>
      <w:marLeft w:val="0"/>
      <w:marRight w:val="0"/>
      <w:marTop w:val="0"/>
      <w:marBottom w:val="0"/>
      <w:divBdr>
        <w:top w:val="none" w:sz="0" w:space="0" w:color="auto"/>
        <w:left w:val="none" w:sz="0" w:space="0" w:color="auto"/>
        <w:bottom w:val="none" w:sz="0" w:space="0" w:color="auto"/>
        <w:right w:val="none" w:sz="0" w:space="0" w:color="auto"/>
      </w:divBdr>
    </w:div>
    <w:div w:id="366376081">
      <w:bodyDiv w:val="1"/>
      <w:marLeft w:val="0"/>
      <w:marRight w:val="0"/>
      <w:marTop w:val="0"/>
      <w:marBottom w:val="0"/>
      <w:divBdr>
        <w:top w:val="none" w:sz="0" w:space="0" w:color="auto"/>
        <w:left w:val="none" w:sz="0" w:space="0" w:color="auto"/>
        <w:bottom w:val="none" w:sz="0" w:space="0" w:color="auto"/>
        <w:right w:val="none" w:sz="0" w:space="0" w:color="auto"/>
      </w:divBdr>
      <w:divsChild>
        <w:div w:id="1264805756">
          <w:marLeft w:val="0"/>
          <w:marRight w:val="0"/>
          <w:marTop w:val="0"/>
          <w:marBottom w:val="0"/>
          <w:divBdr>
            <w:top w:val="none" w:sz="0" w:space="0" w:color="auto"/>
            <w:left w:val="none" w:sz="0" w:space="0" w:color="auto"/>
            <w:bottom w:val="none" w:sz="0" w:space="0" w:color="auto"/>
            <w:right w:val="none" w:sz="0" w:space="0" w:color="auto"/>
          </w:divBdr>
          <w:divsChild>
            <w:div w:id="1064108427">
              <w:marLeft w:val="0"/>
              <w:marRight w:val="0"/>
              <w:marTop w:val="0"/>
              <w:marBottom w:val="0"/>
              <w:divBdr>
                <w:top w:val="none" w:sz="0" w:space="0" w:color="auto"/>
                <w:left w:val="none" w:sz="0" w:space="0" w:color="auto"/>
                <w:bottom w:val="none" w:sz="0" w:space="0" w:color="auto"/>
                <w:right w:val="none" w:sz="0" w:space="0" w:color="auto"/>
              </w:divBdr>
              <w:divsChild>
                <w:div w:id="110503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600493">
      <w:bodyDiv w:val="1"/>
      <w:marLeft w:val="0"/>
      <w:marRight w:val="0"/>
      <w:marTop w:val="0"/>
      <w:marBottom w:val="0"/>
      <w:divBdr>
        <w:top w:val="none" w:sz="0" w:space="0" w:color="auto"/>
        <w:left w:val="none" w:sz="0" w:space="0" w:color="auto"/>
        <w:bottom w:val="none" w:sz="0" w:space="0" w:color="auto"/>
        <w:right w:val="none" w:sz="0" w:space="0" w:color="auto"/>
      </w:divBdr>
    </w:div>
    <w:div w:id="392704475">
      <w:bodyDiv w:val="1"/>
      <w:marLeft w:val="0"/>
      <w:marRight w:val="0"/>
      <w:marTop w:val="0"/>
      <w:marBottom w:val="0"/>
      <w:divBdr>
        <w:top w:val="none" w:sz="0" w:space="0" w:color="auto"/>
        <w:left w:val="none" w:sz="0" w:space="0" w:color="auto"/>
        <w:bottom w:val="none" w:sz="0" w:space="0" w:color="auto"/>
        <w:right w:val="none" w:sz="0" w:space="0" w:color="auto"/>
      </w:divBdr>
    </w:div>
    <w:div w:id="429853877">
      <w:bodyDiv w:val="1"/>
      <w:marLeft w:val="0"/>
      <w:marRight w:val="0"/>
      <w:marTop w:val="0"/>
      <w:marBottom w:val="0"/>
      <w:divBdr>
        <w:top w:val="none" w:sz="0" w:space="0" w:color="auto"/>
        <w:left w:val="none" w:sz="0" w:space="0" w:color="auto"/>
        <w:bottom w:val="none" w:sz="0" w:space="0" w:color="auto"/>
        <w:right w:val="none" w:sz="0" w:space="0" w:color="auto"/>
      </w:divBdr>
      <w:divsChild>
        <w:div w:id="931745708">
          <w:marLeft w:val="0"/>
          <w:marRight w:val="0"/>
          <w:marTop w:val="0"/>
          <w:marBottom w:val="0"/>
          <w:divBdr>
            <w:top w:val="none" w:sz="0" w:space="0" w:color="auto"/>
            <w:left w:val="none" w:sz="0" w:space="0" w:color="auto"/>
            <w:bottom w:val="none" w:sz="0" w:space="0" w:color="auto"/>
            <w:right w:val="none" w:sz="0" w:space="0" w:color="auto"/>
          </w:divBdr>
        </w:div>
      </w:divsChild>
    </w:div>
    <w:div w:id="461003309">
      <w:bodyDiv w:val="1"/>
      <w:marLeft w:val="0"/>
      <w:marRight w:val="0"/>
      <w:marTop w:val="0"/>
      <w:marBottom w:val="0"/>
      <w:divBdr>
        <w:top w:val="none" w:sz="0" w:space="0" w:color="auto"/>
        <w:left w:val="none" w:sz="0" w:space="0" w:color="auto"/>
        <w:bottom w:val="none" w:sz="0" w:space="0" w:color="auto"/>
        <w:right w:val="none" w:sz="0" w:space="0" w:color="auto"/>
      </w:divBdr>
    </w:div>
    <w:div w:id="465006873">
      <w:bodyDiv w:val="1"/>
      <w:marLeft w:val="0"/>
      <w:marRight w:val="0"/>
      <w:marTop w:val="0"/>
      <w:marBottom w:val="0"/>
      <w:divBdr>
        <w:top w:val="none" w:sz="0" w:space="0" w:color="auto"/>
        <w:left w:val="none" w:sz="0" w:space="0" w:color="auto"/>
        <w:bottom w:val="none" w:sz="0" w:space="0" w:color="auto"/>
        <w:right w:val="none" w:sz="0" w:space="0" w:color="auto"/>
      </w:divBdr>
    </w:div>
    <w:div w:id="478503852">
      <w:bodyDiv w:val="1"/>
      <w:marLeft w:val="0"/>
      <w:marRight w:val="0"/>
      <w:marTop w:val="0"/>
      <w:marBottom w:val="0"/>
      <w:divBdr>
        <w:top w:val="none" w:sz="0" w:space="0" w:color="auto"/>
        <w:left w:val="none" w:sz="0" w:space="0" w:color="auto"/>
        <w:bottom w:val="none" w:sz="0" w:space="0" w:color="auto"/>
        <w:right w:val="none" w:sz="0" w:space="0" w:color="auto"/>
      </w:divBdr>
      <w:divsChild>
        <w:div w:id="401030145">
          <w:marLeft w:val="0"/>
          <w:marRight w:val="0"/>
          <w:marTop w:val="0"/>
          <w:marBottom w:val="0"/>
          <w:divBdr>
            <w:top w:val="none" w:sz="0" w:space="0" w:color="auto"/>
            <w:left w:val="none" w:sz="0" w:space="0" w:color="auto"/>
            <w:bottom w:val="none" w:sz="0" w:space="0" w:color="auto"/>
            <w:right w:val="none" w:sz="0" w:space="0" w:color="auto"/>
          </w:divBdr>
          <w:divsChild>
            <w:div w:id="560603319">
              <w:marLeft w:val="0"/>
              <w:marRight w:val="0"/>
              <w:marTop w:val="0"/>
              <w:marBottom w:val="0"/>
              <w:divBdr>
                <w:top w:val="none" w:sz="0" w:space="0" w:color="auto"/>
                <w:left w:val="none" w:sz="0" w:space="0" w:color="auto"/>
                <w:bottom w:val="none" w:sz="0" w:space="0" w:color="auto"/>
                <w:right w:val="none" w:sz="0" w:space="0" w:color="auto"/>
              </w:divBdr>
              <w:divsChild>
                <w:div w:id="1350334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858827">
      <w:bodyDiv w:val="1"/>
      <w:marLeft w:val="0"/>
      <w:marRight w:val="0"/>
      <w:marTop w:val="0"/>
      <w:marBottom w:val="0"/>
      <w:divBdr>
        <w:top w:val="none" w:sz="0" w:space="0" w:color="auto"/>
        <w:left w:val="none" w:sz="0" w:space="0" w:color="auto"/>
        <w:bottom w:val="none" w:sz="0" w:space="0" w:color="auto"/>
        <w:right w:val="none" w:sz="0" w:space="0" w:color="auto"/>
      </w:divBdr>
      <w:divsChild>
        <w:div w:id="1533882932">
          <w:marLeft w:val="0"/>
          <w:marRight w:val="0"/>
          <w:marTop w:val="0"/>
          <w:marBottom w:val="0"/>
          <w:divBdr>
            <w:top w:val="none" w:sz="0" w:space="0" w:color="auto"/>
            <w:left w:val="none" w:sz="0" w:space="0" w:color="auto"/>
            <w:bottom w:val="none" w:sz="0" w:space="0" w:color="auto"/>
            <w:right w:val="none" w:sz="0" w:space="0" w:color="auto"/>
          </w:divBdr>
          <w:divsChild>
            <w:div w:id="887380617">
              <w:marLeft w:val="0"/>
              <w:marRight w:val="0"/>
              <w:marTop w:val="0"/>
              <w:marBottom w:val="0"/>
              <w:divBdr>
                <w:top w:val="none" w:sz="0" w:space="0" w:color="auto"/>
                <w:left w:val="none" w:sz="0" w:space="0" w:color="auto"/>
                <w:bottom w:val="none" w:sz="0" w:space="0" w:color="auto"/>
                <w:right w:val="none" w:sz="0" w:space="0" w:color="auto"/>
              </w:divBdr>
              <w:divsChild>
                <w:div w:id="585724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0397423">
          <w:marLeft w:val="0"/>
          <w:marRight w:val="0"/>
          <w:marTop w:val="0"/>
          <w:marBottom w:val="0"/>
          <w:divBdr>
            <w:top w:val="none" w:sz="0" w:space="0" w:color="auto"/>
            <w:left w:val="none" w:sz="0" w:space="0" w:color="auto"/>
            <w:bottom w:val="none" w:sz="0" w:space="0" w:color="auto"/>
            <w:right w:val="none" w:sz="0" w:space="0" w:color="auto"/>
          </w:divBdr>
          <w:divsChild>
            <w:div w:id="760833079">
              <w:marLeft w:val="0"/>
              <w:marRight w:val="0"/>
              <w:marTop w:val="0"/>
              <w:marBottom w:val="0"/>
              <w:divBdr>
                <w:top w:val="none" w:sz="0" w:space="0" w:color="auto"/>
                <w:left w:val="none" w:sz="0" w:space="0" w:color="auto"/>
                <w:bottom w:val="none" w:sz="0" w:space="0" w:color="auto"/>
                <w:right w:val="none" w:sz="0" w:space="0" w:color="auto"/>
              </w:divBdr>
              <w:divsChild>
                <w:div w:id="463892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3958672">
      <w:bodyDiv w:val="1"/>
      <w:marLeft w:val="0"/>
      <w:marRight w:val="0"/>
      <w:marTop w:val="0"/>
      <w:marBottom w:val="0"/>
      <w:divBdr>
        <w:top w:val="none" w:sz="0" w:space="0" w:color="auto"/>
        <w:left w:val="none" w:sz="0" w:space="0" w:color="auto"/>
        <w:bottom w:val="none" w:sz="0" w:space="0" w:color="auto"/>
        <w:right w:val="none" w:sz="0" w:space="0" w:color="auto"/>
      </w:divBdr>
      <w:divsChild>
        <w:div w:id="399906878">
          <w:marLeft w:val="0"/>
          <w:marRight w:val="0"/>
          <w:marTop w:val="0"/>
          <w:marBottom w:val="0"/>
          <w:divBdr>
            <w:top w:val="none" w:sz="0" w:space="0" w:color="auto"/>
            <w:left w:val="none" w:sz="0" w:space="0" w:color="auto"/>
            <w:bottom w:val="none" w:sz="0" w:space="0" w:color="auto"/>
            <w:right w:val="none" w:sz="0" w:space="0" w:color="auto"/>
          </w:divBdr>
          <w:divsChild>
            <w:div w:id="817301250">
              <w:marLeft w:val="0"/>
              <w:marRight w:val="0"/>
              <w:marTop w:val="0"/>
              <w:marBottom w:val="0"/>
              <w:divBdr>
                <w:top w:val="none" w:sz="0" w:space="0" w:color="auto"/>
                <w:left w:val="none" w:sz="0" w:space="0" w:color="auto"/>
                <w:bottom w:val="none" w:sz="0" w:space="0" w:color="auto"/>
                <w:right w:val="none" w:sz="0" w:space="0" w:color="auto"/>
              </w:divBdr>
            </w:div>
            <w:div w:id="1462570927">
              <w:marLeft w:val="0"/>
              <w:marRight w:val="0"/>
              <w:marTop w:val="0"/>
              <w:marBottom w:val="0"/>
              <w:divBdr>
                <w:top w:val="none" w:sz="0" w:space="0" w:color="auto"/>
                <w:left w:val="none" w:sz="0" w:space="0" w:color="auto"/>
                <w:bottom w:val="none" w:sz="0" w:space="0" w:color="auto"/>
                <w:right w:val="none" w:sz="0" w:space="0" w:color="auto"/>
              </w:divBdr>
            </w:div>
            <w:div w:id="650257007">
              <w:marLeft w:val="0"/>
              <w:marRight w:val="0"/>
              <w:marTop w:val="0"/>
              <w:marBottom w:val="0"/>
              <w:divBdr>
                <w:top w:val="none" w:sz="0" w:space="0" w:color="auto"/>
                <w:left w:val="none" w:sz="0" w:space="0" w:color="auto"/>
                <w:bottom w:val="none" w:sz="0" w:space="0" w:color="auto"/>
                <w:right w:val="none" w:sz="0" w:space="0" w:color="auto"/>
              </w:divBdr>
            </w:div>
          </w:divsChild>
        </w:div>
        <w:div w:id="1159538536">
          <w:marLeft w:val="0"/>
          <w:marRight w:val="0"/>
          <w:marTop w:val="0"/>
          <w:marBottom w:val="0"/>
          <w:divBdr>
            <w:top w:val="none" w:sz="0" w:space="0" w:color="auto"/>
            <w:left w:val="none" w:sz="0" w:space="0" w:color="auto"/>
            <w:bottom w:val="none" w:sz="0" w:space="0" w:color="auto"/>
            <w:right w:val="none" w:sz="0" w:space="0" w:color="auto"/>
          </w:divBdr>
          <w:divsChild>
            <w:div w:id="226113050">
              <w:marLeft w:val="0"/>
              <w:marRight w:val="0"/>
              <w:marTop w:val="0"/>
              <w:marBottom w:val="0"/>
              <w:divBdr>
                <w:top w:val="none" w:sz="0" w:space="0" w:color="auto"/>
                <w:left w:val="none" w:sz="0" w:space="0" w:color="auto"/>
                <w:bottom w:val="none" w:sz="0" w:space="0" w:color="auto"/>
                <w:right w:val="none" w:sz="0" w:space="0" w:color="auto"/>
              </w:divBdr>
            </w:div>
            <w:div w:id="773479933">
              <w:marLeft w:val="0"/>
              <w:marRight w:val="0"/>
              <w:marTop w:val="0"/>
              <w:marBottom w:val="0"/>
              <w:divBdr>
                <w:top w:val="none" w:sz="0" w:space="0" w:color="auto"/>
                <w:left w:val="none" w:sz="0" w:space="0" w:color="auto"/>
                <w:bottom w:val="none" w:sz="0" w:space="0" w:color="auto"/>
                <w:right w:val="none" w:sz="0" w:space="0" w:color="auto"/>
              </w:divBdr>
            </w:div>
            <w:div w:id="1539467717">
              <w:marLeft w:val="0"/>
              <w:marRight w:val="0"/>
              <w:marTop w:val="0"/>
              <w:marBottom w:val="0"/>
              <w:divBdr>
                <w:top w:val="none" w:sz="0" w:space="0" w:color="auto"/>
                <w:left w:val="none" w:sz="0" w:space="0" w:color="auto"/>
                <w:bottom w:val="none" w:sz="0" w:space="0" w:color="auto"/>
                <w:right w:val="none" w:sz="0" w:space="0" w:color="auto"/>
              </w:divBdr>
            </w:div>
          </w:divsChild>
        </w:div>
        <w:div w:id="2321726">
          <w:marLeft w:val="0"/>
          <w:marRight w:val="0"/>
          <w:marTop w:val="0"/>
          <w:marBottom w:val="0"/>
          <w:divBdr>
            <w:top w:val="none" w:sz="0" w:space="0" w:color="auto"/>
            <w:left w:val="none" w:sz="0" w:space="0" w:color="auto"/>
            <w:bottom w:val="none" w:sz="0" w:space="0" w:color="auto"/>
            <w:right w:val="none" w:sz="0" w:space="0" w:color="auto"/>
          </w:divBdr>
          <w:divsChild>
            <w:div w:id="1588690797">
              <w:marLeft w:val="0"/>
              <w:marRight w:val="0"/>
              <w:marTop w:val="0"/>
              <w:marBottom w:val="0"/>
              <w:divBdr>
                <w:top w:val="none" w:sz="0" w:space="0" w:color="auto"/>
                <w:left w:val="none" w:sz="0" w:space="0" w:color="auto"/>
                <w:bottom w:val="none" w:sz="0" w:space="0" w:color="auto"/>
                <w:right w:val="none" w:sz="0" w:space="0" w:color="auto"/>
              </w:divBdr>
            </w:div>
            <w:div w:id="835728371">
              <w:marLeft w:val="0"/>
              <w:marRight w:val="0"/>
              <w:marTop w:val="0"/>
              <w:marBottom w:val="0"/>
              <w:divBdr>
                <w:top w:val="none" w:sz="0" w:space="0" w:color="auto"/>
                <w:left w:val="none" w:sz="0" w:space="0" w:color="auto"/>
                <w:bottom w:val="none" w:sz="0" w:space="0" w:color="auto"/>
                <w:right w:val="none" w:sz="0" w:space="0" w:color="auto"/>
              </w:divBdr>
            </w:div>
            <w:div w:id="140663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6184293">
      <w:bodyDiv w:val="1"/>
      <w:marLeft w:val="0"/>
      <w:marRight w:val="0"/>
      <w:marTop w:val="0"/>
      <w:marBottom w:val="0"/>
      <w:divBdr>
        <w:top w:val="none" w:sz="0" w:space="0" w:color="auto"/>
        <w:left w:val="none" w:sz="0" w:space="0" w:color="auto"/>
        <w:bottom w:val="none" w:sz="0" w:space="0" w:color="auto"/>
        <w:right w:val="none" w:sz="0" w:space="0" w:color="auto"/>
      </w:divBdr>
    </w:div>
    <w:div w:id="592202196">
      <w:bodyDiv w:val="1"/>
      <w:marLeft w:val="0"/>
      <w:marRight w:val="0"/>
      <w:marTop w:val="0"/>
      <w:marBottom w:val="0"/>
      <w:divBdr>
        <w:top w:val="none" w:sz="0" w:space="0" w:color="auto"/>
        <w:left w:val="none" w:sz="0" w:space="0" w:color="auto"/>
        <w:bottom w:val="none" w:sz="0" w:space="0" w:color="auto"/>
        <w:right w:val="none" w:sz="0" w:space="0" w:color="auto"/>
      </w:divBdr>
    </w:div>
    <w:div w:id="606305268">
      <w:bodyDiv w:val="1"/>
      <w:marLeft w:val="0"/>
      <w:marRight w:val="0"/>
      <w:marTop w:val="0"/>
      <w:marBottom w:val="0"/>
      <w:divBdr>
        <w:top w:val="none" w:sz="0" w:space="0" w:color="auto"/>
        <w:left w:val="none" w:sz="0" w:space="0" w:color="auto"/>
        <w:bottom w:val="none" w:sz="0" w:space="0" w:color="auto"/>
        <w:right w:val="none" w:sz="0" w:space="0" w:color="auto"/>
      </w:divBdr>
    </w:div>
    <w:div w:id="613443640">
      <w:bodyDiv w:val="1"/>
      <w:marLeft w:val="0"/>
      <w:marRight w:val="0"/>
      <w:marTop w:val="0"/>
      <w:marBottom w:val="0"/>
      <w:divBdr>
        <w:top w:val="none" w:sz="0" w:space="0" w:color="auto"/>
        <w:left w:val="none" w:sz="0" w:space="0" w:color="auto"/>
        <w:bottom w:val="none" w:sz="0" w:space="0" w:color="auto"/>
        <w:right w:val="none" w:sz="0" w:space="0" w:color="auto"/>
      </w:divBdr>
    </w:div>
    <w:div w:id="641158427">
      <w:bodyDiv w:val="1"/>
      <w:marLeft w:val="0"/>
      <w:marRight w:val="0"/>
      <w:marTop w:val="0"/>
      <w:marBottom w:val="0"/>
      <w:divBdr>
        <w:top w:val="none" w:sz="0" w:space="0" w:color="auto"/>
        <w:left w:val="none" w:sz="0" w:space="0" w:color="auto"/>
        <w:bottom w:val="none" w:sz="0" w:space="0" w:color="auto"/>
        <w:right w:val="none" w:sz="0" w:space="0" w:color="auto"/>
      </w:divBdr>
    </w:div>
    <w:div w:id="647898602">
      <w:bodyDiv w:val="1"/>
      <w:marLeft w:val="0"/>
      <w:marRight w:val="0"/>
      <w:marTop w:val="0"/>
      <w:marBottom w:val="0"/>
      <w:divBdr>
        <w:top w:val="none" w:sz="0" w:space="0" w:color="auto"/>
        <w:left w:val="none" w:sz="0" w:space="0" w:color="auto"/>
        <w:bottom w:val="none" w:sz="0" w:space="0" w:color="auto"/>
        <w:right w:val="none" w:sz="0" w:space="0" w:color="auto"/>
      </w:divBdr>
    </w:div>
    <w:div w:id="677511832">
      <w:bodyDiv w:val="1"/>
      <w:marLeft w:val="0"/>
      <w:marRight w:val="0"/>
      <w:marTop w:val="0"/>
      <w:marBottom w:val="0"/>
      <w:divBdr>
        <w:top w:val="none" w:sz="0" w:space="0" w:color="auto"/>
        <w:left w:val="none" w:sz="0" w:space="0" w:color="auto"/>
        <w:bottom w:val="none" w:sz="0" w:space="0" w:color="auto"/>
        <w:right w:val="none" w:sz="0" w:space="0" w:color="auto"/>
      </w:divBdr>
    </w:div>
    <w:div w:id="706098707">
      <w:bodyDiv w:val="1"/>
      <w:marLeft w:val="0"/>
      <w:marRight w:val="0"/>
      <w:marTop w:val="0"/>
      <w:marBottom w:val="0"/>
      <w:divBdr>
        <w:top w:val="none" w:sz="0" w:space="0" w:color="auto"/>
        <w:left w:val="none" w:sz="0" w:space="0" w:color="auto"/>
        <w:bottom w:val="none" w:sz="0" w:space="0" w:color="auto"/>
        <w:right w:val="none" w:sz="0" w:space="0" w:color="auto"/>
      </w:divBdr>
      <w:divsChild>
        <w:div w:id="2057583705">
          <w:marLeft w:val="0"/>
          <w:marRight w:val="0"/>
          <w:marTop w:val="0"/>
          <w:marBottom w:val="0"/>
          <w:divBdr>
            <w:top w:val="none" w:sz="0" w:space="0" w:color="auto"/>
            <w:left w:val="none" w:sz="0" w:space="0" w:color="auto"/>
            <w:bottom w:val="none" w:sz="0" w:space="0" w:color="auto"/>
            <w:right w:val="none" w:sz="0" w:space="0" w:color="auto"/>
          </w:divBdr>
        </w:div>
      </w:divsChild>
    </w:div>
    <w:div w:id="716204537">
      <w:bodyDiv w:val="1"/>
      <w:marLeft w:val="0"/>
      <w:marRight w:val="0"/>
      <w:marTop w:val="0"/>
      <w:marBottom w:val="0"/>
      <w:divBdr>
        <w:top w:val="none" w:sz="0" w:space="0" w:color="auto"/>
        <w:left w:val="none" w:sz="0" w:space="0" w:color="auto"/>
        <w:bottom w:val="none" w:sz="0" w:space="0" w:color="auto"/>
        <w:right w:val="none" w:sz="0" w:space="0" w:color="auto"/>
      </w:divBdr>
    </w:div>
    <w:div w:id="768426598">
      <w:bodyDiv w:val="1"/>
      <w:marLeft w:val="0"/>
      <w:marRight w:val="0"/>
      <w:marTop w:val="0"/>
      <w:marBottom w:val="0"/>
      <w:divBdr>
        <w:top w:val="none" w:sz="0" w:space="0" w:color="auto"/>
        <w:left w:val="none" w:sz="0" w:space="0" w:color="auto"/>
        <w:bottom w:val="none" w:sz="0" w:space="0" w:color="auto"/>
        <w:right w:val="none" w:sz="0" w:space="0" w:color="auto"/>
      </w:divBdr>
    </w:div>
    <w:div w:id="793596183">
      <w:bodyDiv w:val="1"/>
      <w:marLeft w:val="0"/>
      <w:marRight w:val="0"/>
      <w:marTop w:val="0"/>
      <w:marBottom w:val="0"/>
      <w:divBdr>
        <w:top w:val="none" w:sz="0" w:space="0" w:color="auto"/>
        <w:left w:val="none" w:sz="0" w:space="0" w:color="auto"/>
        <w:bottom w:val="none" w:sz="0" w:space="0" w:color="auto"/>
        <w:right w:val="none" w:sz="0" w:space="0" w:color="auto"/>
      </w:divBdr>
    </w:div>
    <w:div w:id="795610813">
      <w:bodyDiv w:val="1"/>
      <w:marLeft w:val="0"/>
      <w:marRight w:val="0"/>
      <w:marTop w:val="0"/>
      <w:marBottom w:val="0"/>
      <w:divBdr>
        <w:top w:val="none" w:sz="0" w:space="0" w:color="auto"/>
        <w:left w:val="none" w:sz="0" w:space="0" w:color="auto"/>
        <w:bottom w:val="none" w:sz="0" w:space="0" w:color="auto"/>
        <w:right w:val="none" w:sz="0" w:space="0" w:color="auto"/>
      </w:divBdr>
      <w:divsChild>
        <w:div w:id="56363363">
          <w:marLeft w:val="0"/>
          <w:marRight w:val="0"/>
          <w:marTop w:val="0"/>
          <w:marBottom w:val="0"/>
          <w:divBdr>
            <w:top w:val="none" w:sz="0" w:space="0" w:color="auto"/>
            <w:left w:val="none" w:sz="0" w:space="0" w:color="auto"/>
            <w:bottom w:val="none" w:sz="0" w:space="0" w:color="auto"/>
            <w:right w:val="none" w:sz="0" w:space="0" w:color="auto"/>
          </w:divBdr>
          <w:divsChild>
            <w:div w:id="337078089">
              <w:marLeft w:val="0"/>
              <w:marRight w:val="0"/>
              <w:marTop w:val="0"/>
              <w:marBottom w:val="0"/>
              <w:divBdr>
                <w:top w:val="none" w:sz="0" w:space="0" w:color="auto"/>
                <w:left w:val="none" w:sz="0" w:space="0" w:color="auto"/>
                <w:bottom w:val="none" w:sz="0" w:space="0" w:color="auto"/>
                <w:right w:val="none" w:sz="0" w:space="0" w:color="auto"/>
              </w:divBdr>
              <w:divsChild>
                <w:div w:id="1857966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100823">
      <w:bodyDiv w:val="1"/>
      <w:marLeft w:val="0"/>
      <w:marRight w:val="0"/>
      <w:marTop w:val="0"/>
      <w:marBottom w:val="0"/>
      <w:divBdr>
        <w:top w:val="none" w:sz="0" w:space="0" w:color="auto"/>
        <w:left w:val="none" w:sz="0" w:space="0" w:color="auto"/>
        <w:bottom w:val="none" w:sz="0" w:space="0" w:color="auto"/>
        <w:right w:val="none" w:sz="0" w:space="0" w:color="auto"/>
      </w:divBdr>
      <w:divsChild>
        <w:div w:id="1135022753">
          <w:marLeft w:val="0"/>
          <w:marRight w:val="0"/>
          <w:marTop w:val="0"/>
          <w:marBottom w:val="0"/>
          <w:divBdr>
            <w:top w:val="none" w:sz="0" w:space="0" w:color="auto"/>
            <w:left w:val="none" w:sz="0" w:space="0" w:color="auto"/>
            <w:bottom w:val="none" w:sz="0" w:space="0" w:color="auto"/>
            <w:right w:val="none" w:sz="0" w:space="0" w:color="auto"/>
          </w:divBdr>
          <w:divsChild>
            <w:div w:id="1206792200">
              <w:marLeft w:val="0"/>
              <w:marRight w:val="0"/>
              <w:marTop w:val="0"/>
              <w:marBottom w:val="0"/>
              <w:divBdr>
                <w:top w:val="none" w:sz="0" w:space="0" w:color="auto"/>
                <w:left w:val="none" w:sz="0" w:space="0" w:color="auto"/>
                <w:bottom w:val="none" w:sz="0" w:space="0" w:color="auto"/>
                <w:right w:val="none" w:sz="0" w:space="0" w:color="auto"/>
              </w:divBdr>
              <w:divsChild>
                <w:div w:id="18987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525564">
      <w:bodyDiv w:val="1"/>
      <w:marLeft w:val="0"/>
      <w:marRight w:val="0"/>
      <w:marTop w:val="0"/>
      <w:marBottom w:val="0"/>
      <w:divBdr>
        <w:top w:val="none" w:sz="0" w:space="0" w:color="auto"/>
        <w:left w:val="none" w:sz="0" w:space="0" w:color="auto"/>
        <w:bottom w:val="none" w:sz="0" w:space="0" w:color="auto"/>
        <w:right w:val="none" w:sz="0" w:space="0" w:color="auto"/>
      </w:divBdr>
    </w:div>
    <w:div w:id="821578289">
      <w:bodyDiv w:val="1"/>
      <w:marLeft w:val="0"/>
      <w:marRight w:val="0"/>
      <w:marTop w:val="0"/>
      <w:marBottom w:val="0"/>
      <w:divBdr>
        <w:top w:val="none" w:sz="0" w:space="0" w:color="auto"/>
        <w:left w:val="none" w:sz="0" w:space="0" w:color="auto"/>
        <w:bottom w:val="none" w:sz="0" w:space="0" w:color="auto"/>
        <w:right w:val="none" w:sz="0" w:space="0" w:color="auto"/>
      </w:divBdr>
      <w:divsChild>
        <w:div w:id="806894127">
          <w:marLeft w:val="0"/>
          <w:marRight w:val="0"/>
          <w:marTop w:val="0"/>
          <w:marBottom w:val="0"/>
          <w:divBdr>
            <w:top w:val="none" w:sz="0" w:space="0" w:color="auto"/>
            <w:left w:val="none" w:sz="0" w:space="0" w:color="auto"/>
            <w:bottom w:val="none" w:sz="0" w:space="0" w:color="auto"/>
            <w:right w:val="none" w:sz="0" w:space="0" w:color="auto"/>
          </w:divBdr>
          <w:divsChild>
            <w:div w:id="2132087837">
              <w:marLeft w:val="0"/>
              <w:marRight w:val="0"/>
              <w:marTop w:val="0"/>
              <w:marBottom w:val="0"/>
              <w:divBdr>
                <w:top w:val="none" w:sz="0" w:space="0" w:color="auto"/>
                <w:left w:val="none" w:sz="0" w:space="0" w:color="auto"/>
                <w:bottom w:val="none" w:sz="0" w:space="0" w:color="auto"/>
                <w:right w:val="none" w:sz="0" w:space="0" w:color="auto"/>
              </w:divBdr>
              <w:divsChild>
                <w:div w:id="19689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038079">
      <w:bodyDiv w:val="1"/>
      <w:marLeft w:val="0"/>
      <w:marRight w:val="0"/>
      <w:marTop w:val="0"/>
      <w:marBottom w:val="0"/>
      <w:divBdr>
        <w:top w:val="none" w:sz="0" w:space="0" w:color="auto"/>
        <w:left w:val="none" w:sz="0" w:space="0" w:color="auto"/>
        <w:bottom w:val="none" w:sz="0" w:space="0" w:color="auto"/>
        <w:right w:val="none" w:sz="0" w:space="0" w:color="auto"/>
      </w:divBdr>
      <w:divsChild>
        <w:div w:id="1946687905">
          <w:marLeft w:val="0"/>
          <w:marRight w:val="0"/>
          <w:marTop w:val="0"/>
          <w:marBottom w:val="0"/>
          <w:divBdr>
            <w:top w:val="none" w:sz="0" w:space="0" w:color="auto"/>
            <w:left w:val="none" w:sz="0" w:space="0" w:color="auto"/>
            <w:bottom w:val="none" w:sz="0" w:space="0" w:color="auto"/>
            <w:right w:val="none" w:sz="0" w:space="0" w:color="auto"/>
          </w:divBdr>
        </w:div>
      </w:divsChild>
    </w:div>
    <w:div w:id="861167381">
      <w:bodyDiv w:val="1"/>
      <w:marLeft w:val="0"/>
      <w:marRight w:val="0"/>
      <w:marTop w:val="0"/>
      <w:marBottom w:val="0"/>
      <w:divBdr>
        <w:top w:val="none" w:sz="0" w:space="0" w:color="auto"/>
        <w:left w:val="none" w:sz="0" w:space="0" w:color="auto"/>
        <w:bottom w:val="none" w:sz="0" w:space="0" w:color="auto"/>
        <w:right w:val="none" w:sz="0" w:space="0" w:color="auto"/>
      </w:divBdr>
    </w:div>
    <w:div w:id="882598649">
      <w:bodyDiv w:val="1"/>
      <w:marLeft w:val="0"/>
      <w:marRight w:val="0"/>
      <w:marTop w:val="0"/>
      <w:marBottom w:val="0"/>
      <w:divBdr>
        <w:top w:val="none" w:sz="0" w:space="0" w:color="auto"/>
        <w:left w:val="none" w:sz="0" w:space="0" w:color="auto"/>
        <w:bottom w:val="none" w:sz="0" w:space="0" w:color="auto"/>
        <w:right w:val="none" w:sz="0" w:space="0" w:color="auto"/>
      </w:divBdr>
      <w:divsChild>
        <w:div w:id="1205948049">
          <w:marLeft w:val="0"/>
          <w:marRight w:val="0"/>
          <w:marTop w:val="0"/>
          <w:marBottom w:val="0"/>
          <w:divBdr>
            <w:top w:val="none" w:sz="0" w:space="0" w:color="auto"/>
            <w:left w:val="none" w:sz="0" w:space="0" w:color="auto"/>
            <w:bottom w:val="none" w:sz="0" w:space="0" w:color="auto"/>
            <w:right w:val="none" w:sz="0" w:space="0" w:color="auto"/>
          </w:divBdr>
          <w:divsChild>
            <w:div w:id="459227853">
              <w:marLeft w:val="0"/>
              <w:marRight w:val="0"/>
              <w:marTop w:val="0"/>
              <w:marBottom w:val="0"/>
              <w:divBdr>
                <w:top w:val="none" w:sz="0" w:space="0" w:color="auto"/>
                <w:left w:val="none" w:sz="0" w:space="0" w:color="auto"/>
                <w:bottom w:val="none" w:sz="0" w:space="0" w:color="auto"/>
                <w:right w:val="none" w:sz="0" w:space="0" w:color="auto"/>
              </w:divBdr>
              <w:divsChild>
                <w:div w:id="194210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9218353">
      <w:bodyDiv w:val="1"/>
      <w:marLeft w:val="0"/>
      <w:marRight w:val="0"/>
      <w:marTop w:val="0"/>
      <w:marBottom w:val="0"/>
      <w:divBdr>
        <w:top w:val="none" w:sz="0" w:space="0" w:color="auto"/>
        <w:left w:val="none" w:sz="0" w:space="0" w:color="auto"/>
        <w:bottom w:val="none" w:sz="0" w:space="0" w:color="auto"/>
        <w:right w:val="none" w:sz="0" w:space="0" w:color="auto"/>
      </w:divBdr>
    </w:div>
    <w:div w:id="930892490">
      <w:bodyDiv w:val="1"/>
      <w:marLeft w:val="0"/>
      <w:marRight w:val="0"/>
      <w:marTop w:val="0"/>
      <w:marBottom w:val="0"/>
      <w:divBdr>
        <w:top w:val="none" w:sz="0" w:space="0" w:color="auto"/>
        <w:left w:val="none" w:sz="0" w:space="0" w:color="auto"/>
        <w:bottom w:val="none" w:sz="0" w:space="0" w:color="auto"/>
        <w:right w:val="none" w:sz="0" w:space="0" w:color="auto"/>
      </w:divBdr>
      <w:divsChild>
        <w:div w:id="1122726521">
          <w:marLeft w:val="0"/>
          <w:marRight w:val="0"/>
          <w:marTop w:val="0"/>
          <w:marBottom w:val="0"/>
          <w:divBdr>
            <w:top w:val="none" w:sz="0" w:space="0" w:color="auto"/>
            <w:left w:val="none" w:sz="0" w:space="0" w:color="auto"/>
            <w:bottom w:val="none" w:sz="0" w:space="0" w:color="auto"/>
            <w:right w:val="none" w:sz="0" w:space="0" w:color="auto"/>
          </w:divBdr>
          <w:divsChild>
            <w:div w:id="696200514">
              <w:marLeft w:val="0"/>
              <w:marRight w:val="0"/>
              <w:marTop w:val="0"/>
              <w:marBottom w:val="0"/>
              <w:divBdr>
                <w:top w:val="none" w:sz="0" w:space="0" w:color="auto"/>
                <w:left w:val="none" w:sz="0" w:space="0" w:color="auto"/>
                <w:bottom w:val="none" w:sz="0" w:space="0" w:color="auto"/>
                <w:right w:val="none" w:sz="0" w:space="0" w:color="auto"/>
              </w:divBdr>
              <w:divsChild>
                <w:div w:id="2086801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711536">
      <w:bodyDiv w:val="1"/>
      <w:marLeft w:val="0"/>
      <w:marRight w:val="0"/>
      <w:marTop w:val="0"/>
      <w:marBottom w:val="0"/>
      <w:divBdr>
        <w:top w:val="none" w:sz="0" w:space="0" w:color="auto"/>
        <w:left w:val="none" w:sz="0" w:space="0" w:color="auto"/>
        <w:bottom w:val="none" w:sz="0" w:space="0" w:color="auto"/>
        <w:right w:val="none" w:sz="0" w:space="0" w:color="auto"/>
      </w:divBdr>
    </w:div>
    <w:div w:id="1008605862">
      <w:bodyDiv w:val="1"/>
      <w:marLeft w:val="0"/>
      <w:marRight w:val="0"/>
      <w:marTop w:val="0"/>
      <w:marBottom w:val="0"/>
      <w:divBdr>
        <w:top w:val="none" w:sz="0" w:space="0" w:color="auto"/>
        <w:left w:val="none" w:sz="0" w:space="0" w:color="auto"/>
        <w:bottom w:val="none" w:sz="0" w:space="0" w:color="auto"/>
        <w:right w:val="none" w:sz="0" w:space="0" w:color="auto"/>
      </w:divBdr>
      <w:divsChild>
        <w:div w:id="783504922">
          <w:marLeft w:val="0"/>
          <w:marRight w:val="0"/>
          <w:marTop w:val="0"/>
          <w:marBottom w:val="0"/>
          <w:divBdr>
            <w:top w:val="none" w:sz="0" w:space="0" w:color="auto"/>
            <w:left w:val="none" w:sz="0" w:space="0" w:color="auto"/>
            <w:bottom w:val="none" w:sz="0" w:space="0" w:color="auto"/>
            <w:right w:val="none" w:sz="0" w:space="0" w:color="auto"/>
          </w:divBdr>
          <w:divsChild>
            <w:div w:id="442656499">
              <w:marLeft w:val="0"/>
              <w:marRight w:val="0"/>
              <w:marTop w:val="0"/>
              <w:marBottom w:val="0"/>
              <w:divBdr>
                <w:top w:val="none" w:sz="0" w:space="0" w:color="auto"/>
                <w:left w:val="none" w:sz="0" w:space="0" w:color="auto"/>
                <w:bottom w:val="none" w:sz="0" w:space="0" w:color="auto"/>
                <w:right w:val="none" w:sz="0" w:space="0" w:color="auto"/>
              </w:divBdr>
              <w:divsChild>
                <w:div w:id="468474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8678311">
      <w:bodyDiv w:val="1"/>
      <w:marLeft w:val="0"/>
      <w:marRight w:val="0"/>
      <w:marTop w:val="0"/>
      <w:marBottom w:val="0"/>
      <w:divBdr>
        <w:top w:val="none" w:sz="0" w:space="0" w:color="auto"/>
        <w:left w:val="none" w:sz="0" w:space="0" w:color="auto"/>
        <w:bottom w:val="none" w:sz="0" w:space="0" w:color="auto"/>
        <w:right w:val="none" w:sz="0" w:space="0" w:color="auto"/>
      </w:divBdr>
      <w:divsChild>
        <w:div w:id="1873613930">
          <w:marLeft w:val="0"/>
          <w:marRight w:val="0"/>
          <w:marTop w:val="0"/>
          <w:marBottom w:val="0"/>
          <w:divBdr>
            <w:top w:val="none" w:sz="0" w:space="0" w:color="auto"/>
            <w:left w:val="none" w:sz="0" w:space="0" w:color="auto"/>
            <w:bottom w:val="none" w:sz="0" w:space="0" w:color="auto"/>
            <w:right w:val="none" w:sz="0" w:space="0" w:color="auto"/>
          </w:divBdr>
          <w:divsChild>
            <w:div w:id="1208297845">
              <w:marLeft w:val="0"/>
              <w:marRight w:val="0"/>
              <w:marTop w:val="0"/>
              <w:marBottom w:val="0"/>
              <w:divBdr>
                <w:top w:val="none" w:sz="0" w:space="0" w:color="auto"/>
                <w:left w:val="none" w:sz="0" w:space="0" w:color="auto"/>
                <w:bottom w:val="none" w:sz="0" w:space="0" w:color="auto"/>
                <w:right w:val="none" w:sz="0" w:space="0" w:color="auto"/>
              </w:divBdr>
              <w:divsChild>
                <w:div w:id="71624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6337946">
      <w:bodyDiv w:val="1"/>
      <w:marLeft w:val="0"/>
      <w:marRight w:val="0"/>
      <w:marTop w:val="0"/>
      <w:marBottom w:val="0"/>
      <w:divBdr>
        <w:top w:val="none" w:sz="0" w:space="0" w:color="auto"/>
        <w:left w:val="none" w:sz="0" w:space="0" w:color="auto"/>
        <w:bottom w:val="none" w:sz="0" w:space="0" w:color="auto"/>
        <w:right w:val="none" w:sz="0" w:space="0" w:color="auto"/>
      </w:divBdr>
    </w:div>
    <w:div w:id="1070082882">
      <w:bodyDiv w:val="1"/>
      <w:marLeft w:val="0"/>
      <w:marRight w:val="0"/>
      <w:marTop w:val="0"/>
      <w:marBottom w:val="0"/>
      <w:divBdr>
        <w:top w:val="none" w:sz="0" w:space="0" w:color="auto"/>
        <w:left w:val="none" w:sz="0" w:space="0" w:color="auto"/>
        <w:bottom w:val="none" w:sz="0" w:space="0" w:color="auto"/>
        <w:right w:val="none" w:sz="0" w:space="0" w:color="auto"/>
      </w:divBdr>
      <w:divsChild>
        <w:div w:id="1021708153">
          <w:marLeft w:val="0"/>
          <w:marRight w:val="0"/>
          <w:marTop w:val="0"/>
          <w:marBottom w:val="0"/>
          <w:divBdr>
            <w:top w:val="none" w:sz="0" w:space="0" w:color="auto"/>
            <w:left w:val="none" w:sz="0" w:space="0" w:color="auto"/>
            <w:bottom w:val="none" w:sz="0" w:space="0" w:color="auto"/>
            <w:right w:val="none" w:sz="0" w:space="0" w:color="auto"/>
          </w:divBdr>
          <w:divsChild>
            <w:div w:id="1501003016">
              <w:marLeft w:val="0"/>
              <w:marRight w:val="0"/>
              <w:marTop w:val="0"/>
              <w:marBottom w:val="0"/>
              <w:divBdr>
                <w:top w:val="none" w:sz="0" w:space="0" w:color="auto"/>
                <w:left w:val="none" w:sz="0" w:space="0" w:color="auto"/>
                <w:bottom w:val="none" w:sz="0" w:space="0" w:color="auto"/>
                <w:right w:val="none" w:sz="0" w:space="0" w:color="auto"/>
              </w:divBdr>
              <w:divsChild>
                <w:div w:id="2108580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2508153">
      <w:bodyDiv w:val="1"/>
      <w:marLeft w:val="0"/>
      <w:marRight w:val="0"/>
      <w:marTop w:val="0"/>
      <w:marBottom w:val="0"/>
      <w:divBdr>
        <w:top w:val="none" w:sz="0" w:space="0" w:color="auto"/>
        <w:left w:val="none" w:sz="0" w:space="0" w:color="auto"/>
        <w:bottom w:val="none" w:sz="0" w:space="0" w:color="auto"/>
        <w:right w:val="none" w:sz="0" w:space="0" w:color="auto"/>
      </w:divBdr>
      <w:divsChild>
        <w:div w:id="1433940314">
          <w:marLeft w:val="0"/>
          <w:marRight w:val="0"/>
          <w:marTop w:val="0"/>
          <w:marBottom w:val="0"/>
          <w:divBdr>
            <w:top w:val="none" w:sz="0" w:space="0" w:color="auto"/>
            <w:left w:val="none" w:sz="0" w:space="0" w:color="auto"/>
            <w:bottom w:val="none" w:sz="0" w:space="0" w:color="auto"/>
            <w:right w:val="none" w:sz="0" w:space="0" w:color="auto"/>
          </w:divBdr>
        </w:div>
        <w:div w:id="1906793544">
          <w:marLeft w:val="0"/>
          <w:marRight w:val="0"/>
          <w:marTop w:val="0"/>
          <w:marBottom w:val="0"/>
          <w:divBdr>
            <w:top w:val="none" w:sz="0" w:space="0" w:color="auto"/>
            <w:left w:val="none" w:sz="0" w:space="0" w:color="auto"/>
            <w:bottom w:val="none" w:sz="0" w:space="0" w:color="auto"/>
            <w:right w:val="none" w:sz="0" w:space="0" w:color="auto"/>
          </w:divBdr>
          <w:divsChild>
            <w:div w:id="1911428672">
              <w:marLeft w:val="0"/>
              <w:marRight w:val="0"/>
              <w:marTop w:val="0"/>
              <w:marBottom w:val="0"/>
              <w:divBdr>
                <w:top w:val="none" w:sz="0" w:space="0" w:color="auto"/>
                <w:left w:val="none" w:sz="0" w:space="0" w:color="auto"/>
                <w:bottom w:val="none" w:sz="0" w:space="0" w:color="auto"/>
                <w:right w:val="none" w:sz="0" w:space="0" w:color="auto"/>
              </w:divBdr>
            </w:div>
            <w:div w:id="379866998">
              <w:marLeft w:val="0"/>
              <w:marRight w:val="0"/>
              <w:marTop w:val="0"/>
              <w:marBottom w:val="0"/>
              <w:divBdr>
                <w:top w:val="none" w:sz="0" w:space="0" w:color="auto"/>
                <w:left w:val="none" w:sz="0" w:space="0" w:color="auto"/>
                <w:bottom w:val="none" w:sz="0" w:space="0" w:color="auto"/>
                <w:right w:val="none" w:sz="0" w:space="0" w:color="auto"/>
              </w:divBdr>
            </w:div>
            <w:div w:id="340132438">
              <w:marLeft w:val="0"/>
              <w:marRight w:val="0"/>
              <w:marTop w:val="0"/>
              <w:marBottom w:val="0"/>
              <w:divBdr>
                <w:top w:val="none" w:sz="0" w:space="0" w:color="auto"/>
                <w:left w:val="none" w:sz="0" w:space="0" w:color="auto"/>
                <w:bottom w:val="none" w:sz="0" w:space="0" w:color="auto"/>
                <w:right w:val="none" w:sz="0" w:space="0" w:color="auto"/>
              </w:divBdr>
            </w:div>
            <w:div w:id="580023932">
              <w:marLeft w:val="0"/>
              <w:marRight w:val="0"/>
              <w:marTop w:val="0"/>
              <w:marBottom w:val="0"/>
              <w:divBdr>
                <w:top w:val="none" w:sz="0" w:space="0" w:color="auto"/>
                <w:left w:val="none" w:sz="0" w:space="0" w:color="auto"/>
                <w:bottom w:val="none" w:sz="0" w:space="0" w:color="auto"/>
                <w:right w:val="none" w:sz="0" w:space="0" w:color="auto"/>
              </w:divBdr>
            </w:div>
            <w:div w:id="503787863">
              <w:marLeft w:val="0"/>
              <w:marRight w:val="0"/>
              <w:marTop w:val="0"/>
              <w:marBottom w:val="0"/>
              <w:divBdr>
                <w:top w:val="none" w:sz="0" w:space="0" w:color="auto"/>
                <w:left w:val="none" w:sz="0" w:space="0" w:color="auto"/>
                <w:bottom w:val="none" w:sz="0" w:space="0" w:color="auto"/>
                <w:right w:val="none" w:sz="0" w:space="0" w:color="auto"/>
              </w:divBdr>
            </w:div>
            <w:div w:id="1759280761">
              <w:marLeft w:val="0"/>
              <w:marRight w:val="0"/>
              <w:marTop w:val="0"/>
              <w:marBottom w:val="0"/>
              <w:divBdr>
                <w:top w:val="none" w:sz="0" w:space="0" w:color="auto"/>
                <w:left w:val="none" w:sz="0" w:space="0" w:color="auto"/>
                <w:bottom w:val="none" w:sz="0" w:space="0" w:color="auto"/>
                <w:right w:val="none" w:sz="0" w:space="0" w:color="auto"/>
              </w:divBdr>
            </w:div>
            <w:div w:id="103311661">
              <w:marLeft w:val="0"/>
              <w:marRight w:val="0"/>
              <w:marTop w:val="0"/>
              <w:marBottom w:val="0"/>
              <w:divBdr>
                <w:top w:val="none" w:sz="0" w:space="0" w:color="auto"/>
                <w:left w:val="none" w:sz="0" w:space="0" w:color="auto"/>
                <w:bottom w:val="none" w:sz="0" w:space="0" w:color="auto"/>
                <w:right w:val="none" w:sz="0" w:space="0" w:color="auto"/>
              </w:divBdr>
            </w:div>
            <w:div w:id="2007437506">
              <w:marLeft w:val="0"/>
              <w:marRight w:val="0"/>
              <w:marTop w:val="0"/>
              <w:marBottom w:val="0"/>
              <w:divBdr>
                <w:top w:val="none" w:sz="0" w:space="0" w:color="auto"/>
                <w:left w:val="none" w:sz="0" w:space="0" w:color="auto"/>
                <w:bottom w:val="none" w:sz="0" w:space="0" w:color="auto"/>
                <w:right w:val="none" w:sz="0" w:space="0" w:color="auto"/>
              </w:divBdr>
            </w:div>
          </w:divsChild>
        </w:div>
        <w:div w:id="780803905">
          <w:marLeft w:val="0"/>
          <w:marRight w:val="0"/>
          <w:marTop w:val="0"/>
          <w:marBottom w:val="0"/>
          <w:divBdr>
            <w:top w:val="none" w:sz="0" w:space="0" w:color="auto"/>
            <w:left w:val="none" w:sz="0" w:space="0" w:color="auto"/>
            <w:bottom w:val="none" w:sz="0" w:space="0" w:color="auto"/>
            <w:right w:val="none" w:sz="0" w:space="0" w:color="auto"/>
          </w:divBdr>
          <w:divsChild>
            <w:div w:id="1258632934">
              <w:marLeft w:val="0"/>
              <w:marRight w:val="0"/>
              <w:marTop w:val="0"/>
              <w:marBottom w:val="0"/>
              <w:divBdr>
                <w:top w:val="none" w:sz="0" w:space="0" w:color="auto"/>
                <w:left w:val="none" w:sz="0" w:space="0" w:color="auto"/>
                <w:bottom w:val="none" w:sz="0" w:space="0" w:color="auto"/>
                <w:right w:val="none" w:sz="0" w:space="0" w:color="auto"/>
              </w:divBdr>
            </w:div>
            <w:div w:id="997732820">
              <w:marLeft w:val="0"/>
              <w:marRight w:val="0"/>
              <w:marTop w:val="0"/>
              <w:marBottom w:val="0"/>
              <w:divBdr>
                <w:top w:val="none" w:sz="0" w:space="0" w:color="auto"/>
                <w:left w:val="none" w:sz="0" w:space="0" w:color="auto"/>
                <w:bottom w:val="none" w:sz="0" w:space="0" w:color="auto"/>
                <w:right w:val="none" w:sz="0" w:space="0" w:color="auto"/>
              </w:divBdr>
            </w:div>
            <w:div w:id="1001927614">
              <w:marLeft w:val="0"/>
              <w:marRight w:val="0"/>
              <w:marTop w:val="0"/>
              <w:marBottom w:val="0"/>
              <w:divBdr>
                <w:top w:val="none" w:sz="0" w:space="0" w:color="auto"/>
                <w:left w:val="none" w:sz="0" w:space="0" w:color="auto"/>
                <w:bottom w:val="none" w:sz="0" w:space="0" w:color="auto"/>
                <w:right w:val="none" w:sz="0" w:space="0" w:color="auto"/>
              </w:divBdr>
            </w:div>
            <w:div w:id="374739835">
              <w:marLeft w:val="0"/>
              <w:marRight w:val="0"/>
              <w:marTop w:val="0"/>
              <w:marBottom w:val="0"/>
              <w:divBdr>
                <w:top w:val="none" w:sz="0" w:space="0" w:color="auto"/>
                <w:left w:val="none" w:sz="0" w:space="0" w:color="auto"/>
                <w:bottom w:val="none" w:sz="0" w:space="0" w:color="auto"/>
                <w:right w:val="none" w:sz="0" w:space="0" w:color="auto"/>
              </w:divBdr>
            </w:div>
            <w:div w:id="1538659244">
              <w:marLeft w:val="0"/>
              <w:marRight w:val="0"/>
              <w:marTop w:val="0"/>
              <w:marBottom w:val="0"/>
              <w:divBdr>
                <w:top w:val="none" w:sz="0" w:space="0" w:color="auto"/>
                <w:left w:val="none" w:sz="0" w:space="0" w:color="auto"/>
                <w:bottom w:val="none" w:sz="0" w:space="0" w:color="auto"/>
                <w:right w:val="none" w:sz="0" w:space="0" w:color="auto"/>
              </w:divBdr>
            </w:div>
          </w:divsChild>
        </w:div>
        <w:div w:id="90127974">
          <w:marLeft w:val="0"/>
          <w:marRight w:val="0"/>
          <w:marTop w:val="0"/>
          <w:marBottom w:val="0"/>
          <w:divBdr>
            <w:top w:val="none" w:sz="0" w:space="0" w:color="auto"/>
            <w:left w:val="none" w:sz="0" w:space="0" w:color="auto"/>
            <w:bottom w:val="none" w:sz="0" w:space="0" w:color="auto"/>
            <w:right w:val="none" w:sz="0" w:space="0" w:color="auto"/>
          </w:divBdr>
        </w:div>
        <w:div w:id="2028292019">
          <w:marLeft w:val="0"/>
          <w:marRight w:val="0"/>
          <w:marTop w:val="0"/>
          <w:marBottom w:val="0"/>
          <w:divBdr>
            <w:top w:val="none" w:sz="0" w:space="0" w:color="auto"/>
            <w:left w:val="none" w:sz="0" w:space="0" w:color="auto"/>
            <w:bottom w:val="none" w:sz="0" w:space="0" w:color="auto"/>
            <w:right w:val="none" w:sz="0" w:space="0" w:color="auto"/>
          </w:divBdr>
        </w:div>
      </w:divsChild>
    </w:div>
    <w:div w:id="1093815735">
      <w:bodyDiv w:val="1"/>
      <w:marLeft w:val="0"/>
      <w:marRight w:val="0"/>
      <w:marTop w:val="0"/>
      <w:marBottom w:val="0"/>
      <w:divBdr>
        <w:top w:val="none" w:sz="0" w:space="0" w:color="auto"/>
        <w:left w:val="none" w:sz="0" w:space="0" w:color="auto"/>
        <w:bottom w:val="none" w:sz="0" w:space="0" w:color="auto"/>
        <w:right w:val="none" w:sz="0" w:space="0" w:color="auto"/>
      </w:divBdr>
      <w:divsChild>
        <w:div w:id="280693405">
          <w:marLeft w:val="0"/>
          <w:marRight w:val="0"/>
          <w:marTop w:val="0"/>
          <w:marBottom w:val="0"/>
          <w:divBdr>
            <w:top w:val="none" w:sz="0" w:space="0" w:color="auto"/>
            <w:left w:val="none" w:sz="0" w:space="0" w:color="auto"/>
            <w:bottom w:val="none" w:sz="0" w:space="0" w:color="auto"/>
            <w:right w:val="none" w:sz="0" w:space="0" w:color="auto"/>
          </w:divBdr>
          <w:divsChild>
            <w:div w:id="877936138">
              <w:marLeft w:val="0"/>
              <w:marRight w:val="0"/>
              <w:marTop w:val="0"/>
              <w:marBottom w:val="0"/>
              <w:divBdr>
                <w:top w:val="none" w:sz="0" w:space="0" w:color="auto"/>
                <w:left w:val="none" w:sz="0" w:space="0" w:color="auto"/>
                <w:bottom w:val="none" w:sz="0" w:space="0" w:color="auto"/>
                <w:right w:val="none" w:sz="0" w:space="0" w:color="auto"/>
              </w:divBdr>
              <w:divsChild>
                <w:div w:id="41432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269818">
      <w:bodyDiv w:val="1"/>
      <w:marLeft w:val="0"/>
      <w:marRight w:val="0"/>
      <w:marTop w:val="0"/>
      <w:marBottom w:val="0"/>
      <w:divBdr>
        <w:top w:val="none" w:sz="0" w:space="0" w:color="auto"/>
        <w:left w:val="none" w:sz="0" w:space="0" w:color="auto"/>
        <w:bottom w:val="none" w:sz="0" w:space="0" w:color="auto"/>
        <w:right w:val="none" w:sz="0" w:space="0" w:color="auto"/>
      </w:divBdr>
      <w:divsChild>
        <w:div w:id="804782322">
          <w:marLeft w:val="0"/>
          <w:marRight w:val="0"/>
          <w:marTop w:val="0"/>
          <w:marBottom w:val="0"/>
          <w:divBdr>
            <w:top w:val="none" w:sz="0" w:space="0" w:color="auto"/>
            <w:left w:val="none" w:sz="0" w:space="0" w:color="auto"/>
            <w:bottom w:val="none" w:sz="0" w:space="0" w:color="auto"/>
            <w:right w:val="none" w:sz="0" w:space="0" w:color="auto"/>
          </w:divBdr>
          <w:divsChild>
            <w:div w:id="1995603421">
              <w:marLeft w:val="0"/>
              <w:marRight w:val="0"/>
              <w:marTop w:val="0"/>
              <w:marBottom w:val="0"/>
              <w:divBdr>
                <w:top w:val="none" w:sz="0" w:space="0" w:color="auto"/>
                <w:left w:val="none" w:sz="0" w:space="0" w:color="auto"/>
                <w:bottom w:val="none" w:sz="0" w:space="0" w:color="auto"/>
                <w:right w:val="none" w:sz="0" w:space="0" w:color="auto"/>
              </w:divBdr>
              <w:divsChild>
                <w:div w:id="169125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723837">
      <w:bodyDiv w:val="1"/>
      <w:marLeft w:val="0"/>
      <w:marRight w:val="0"/>
      <w:marTop w:val="0"/>
      <w:marBottom w:val="0"/>
      <w:divBdr>
        <w:top w:val="none" w:sz="0" w:space="0" w:color="auto"/>
        <w:left w:val="none" w:sz="0" w:space="0" w:color="auto"/>
        <w:bottom w:val="none" w:sz="0" w:space="0" w:color="auto"/>
        <w:right w:val="none" w:sz="0" w:space="0" w:color="auto"/>
      </w:divBdr>
      <w:divsChild>
        <w:div w:id="9069190">
          <w:marLeft w:val="0"/>
          <w:marRight w:val="0"/>
          <w:marTop w:val="0"/>
          <w:marBottom w:val="0"/>
          <w:divBdr>
            <w:top w:val="none" w:sz="0" w:space="0" w:color="auto"/>
            <w:left w:val="none" w:sz="0" w:space="0" w:color="auto"/>
            <w:bottom w:val="none" w:sz="0" w:space="0" w:color="auto"/>
            <w:right w:val="none" w:sz="0" w:space="0" w:color="auto"/>
          </w:divBdr>
          <w:divsChild>
            <w:div w:id="1796949737">
              <w:marLeft w:val="0"/>
              <w:marRight w:val="0"/>
              <w:marTop w:val="0"/>
              <w:marBottom w:val="0"/>
              <w:divBdr>
                <w:top w:val="none" w:sz="0" w:space="0" w:color="auto"/>
                <w:left w:val="none" w:sz="0" w:space="0" w:color="auto"/>
                <w:bottom w:val="none" w:sz="0" w:space="0" w:color="auto"/>
                <w:right w:val="none" w:sz="0" w:space="0" w:color="auto"/>
              </w:divBdr>
              <w:divsChild>
                <w:div w:id="144423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668812">
      <w:bodyDiv w:val="1"/>
      <w:marLeft w:val="0"/>
      <w:marRight w:val="0"/>
      <w:marTop w:val="0"/>
      <w:marBottom w:val="0"/>
      <w:divBdr>
        <w:top w:val="none" w:sz="0" w:space="0" w:color="auto"/>
        <w:left w:val="none" w:sz="0" w:space="0" w:color="auto"/>
        <w:bottom w:val="none" w:sz="0" w:space="0" w:color="auto"/>
        <w:right w:val="none" w:sz="0" w:space="0" w:color="auto"/>
      </w:divBdr>
      <w:divsChild>
        <w:div w:id="1974172315">
          <w:marLeft w:val="0"/>
          <w:marRight w:val="0"/>
          <w:marTop w:val="0"/>
          <w:marBottom w:val="0"/>
          <w:divBdr>
            <w:top w:val="none" w:sz="0" w:space="0" w:color="auto"/>
            <w:left w:val="none" w:sz="0" w:space="0" w:color="auto"/>
            <w:bottom w:val="none" w:sz="0" w:space="0" w:color="auto"/>
            <w:right w:val="none" w:sz="0" w:space="0" w:color="auto"/>
          </w:divBdr>
          <w:divsChild>
            <w:div w:id="2108765834">
              <w:marLeft w:val="0"/>
              <w:marRight w:val="0"/>
              <w:marTop w:val="0"/>
              <w:marBottom w:val="0"/>
              <w:divBdr>
                <w:top w:val="none" w:sz="0" w:space="0" w:color="auto"/>
                <w:left w:val="none" w:sz="0" w:space="0" w:color="auto"/>
                <w:bottom w:val="none" w:sz="0" w:space="0" w:color="auto"/>
                <w:right w:val="none" w:sz="0" w:space="0" w:color="auto"/>
              </w:divBdr>
              <w:divsChild>
                <w:div w:id="105565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916172">
      <w:bodyDiv w:val="1"/>
      <w:marLeft w:val="0"/>
      <w:marRight w:val="0"/>
      <w:marTop w:val="0"/>
      <w:marBottom w:val="0"/>
      <w:divBdr>
        <w:top w:val="none" w:sz="0" w:space="0" w:color="auto"/>
        <w:left w:val="none" w:sz="0" w:space="0" w:color="auto"/>
        <w:bottom w:val="none" w:sz="0" w:space="0" w:color="auto"/>
        <w:right w:val="none" w:sz="0" w:space="0" w:color="auto"/>
      </w:divBdr>
    </w:div>
    <w:div w:id="1227883043">
      <w:bodyDiv w:val="1"/>
      <w:marLeft w:val="0"/>
      <w:marRight w:val="0"/>
      <w:marTop w:val="0"/>
      <w:marBottom w:val="0"/>
      <w:divBdr>
        <w:top w:val="none" w:sz="0" w:space="0" w:color="auto"/>
        <w:left w:val="none" w:sz="0" w:space="0" w:color="auto"/>
        <w:bottom w:val="none" w:sz="0" w:space="0" w:color="auto"/>
        <w:right w:val="none" w:sz="0" w:space="0" w:color="auto"/>
      </w:divBdr>
    </w:div>
    <w:div w:id="1232733076">
      <w:bodyDiv w:val="1"/>
      <w:marLeft w:val="0"/>
      <w:marRight w:val="0"/>
      <w:marTop w:val="0"/>
      <w:marBottom w:val="0"/>
      <w:divBdr>
        <w:top w:val="none" w:sz="0" w:space="0" w:color="auto"/>
        <w:left w:val="none" w:sz="0" w:space="0" w:color="auto"/>
        <w:bottom w:val="none" w:sz="0" w:space="0" w:color="auto"/>
        <w:right w:val="none" w:sz="0" w:space="0" w:color="auto"/>
      </w:divBdr>
    </w:div>
    <w:div w:id="1266310038">
      <w:bodyDiv w:val="1"/>
      <w:marLeft w:val="0"/>
      <w:marRight w:val="0"/>
      <w:marTop w:val="0"/>
      <w:marBottom w:val="0"/>
      <w:divBdr>
        <w:top w:val="none" w:sz="0" w:space="0" w:color="auto"/>
        <w:left w:val="none" w:sz="0" w:space="0" w:color="auto"/>
        <w:bottom w:val="none" w:sz="0" w:space="0" w:color="auto"/>
        <w:right w:val="none" w:sz="0" w:space="0" w:color="auto"/>
      </w:divBdr>
    </w:div>
    <w:div w:id="1305239192">
      <w:bodyDiv w:val="1"/>
      <w:marLeft w:val="0"/>
      <w:marRight w:val="0"/>
      <w:marTop w:val="0"/>
      <w:marBottom w:val="0"/>
      <w:divBdr>
        <w:top w:val="none" w:sz="0" w:space="0" w:color="auto"/>
        <w:left w:val="none" w:sz="0" w:space="0" w:color="auto"/>
        <w:bottom w:val="none" w:sz="0" w:space="0" w:color="auto"/>
        <w:right w:val="none" w:sz="0" w:space="0" w:color="auto"/>
      </w:divBdr>
      <w:divsChild>
        <w:div w:id="1555970281">
          <w:marLeft w:val="0"/>
          <w:marRight w:val="0"/>
          <w:marTop w:val="0"/>
          <w:marBottom w:val="0"/>
          <w:divBdr>
            <w:top w:val="none" w:sz="0" w:space="0" w:color="auto"/>
            <w:left w:val="none" w:sz="0" w:space="0" w:color="auto"/>
            <w:bottom w:val="none" w:sz="0" w:space="0" w:color="auto"/>
            <w:right w:val="none" w:sz="0" w:space="0" w:color="auto"/>
          </w:divBdr>
          <w:divsChild>
            <w:div w:id="1317340967">
              <w:marLeft w:val="0"/>
              <w:marRight w:val="0"/>
              <w:marTop w:val="0"/>
              <w:marBottom w:val="0"/>
              <w:divBdr>
                <w:top w:val="none" w:sz="0" w:space="0" w:color="auto"/>
                <w:left w:val="none" w:sz="0" w:space="0" w:color="auto"/>
                <w:bottom w:val="none" w:sz="0" w:space="0" w:color="auto"/>
                <w:right w:val="none" w:sz="0" w:space="0" w:color="auto"/>
              </w:divBdr>
              <w:divsChild>
                <w:div w:id="64994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297174">
      <w:bodyDiv w:val="1"/>
      <w:marLeft w:val="0"/>
      <w:marRight w:val="0"/>
      <w:marTop w:val="0"/>
      <w:marBottom w:val="0"/>
      <w:divBdr>
        <w:top w:val="none" w:sz="0" w:space="0" w:color="auto"/>
        <w:left w:val="none" w:sz="0" w:space="0" w:color="auto"/>
        <w:bottom w:val="none" w:sz="0" w:space="0" w:color="auto"/>
        <w:right w:val="none" w:sz="0" w:space="0" w:color="auto"/>
      </w:divBdr>
      <w:divsChild>
        <w:div w:id="1483695740">
          <w:marLeft w:val="0"/>
          <w:marRight w:val="0"/>
          <w:marTop w:val="0"/>
          <w:marBottom w:val="0"/>
          <w:divBdr>
            <w:top w:val="none" w:sz="0" w:space="0" w:color="auto"/>
            <w:left w:val="none" w:sz="0" w:space="0" w:color="auto"/>
            <w:bottom w:val="none" w:sz="0" w:space="0" w:color="auto"/>
            <w:right w:val="none" w:sz="0" w:space="0" w:color="auto"/>
          </w:divBdr>
          <w:divsChild>
            <w:div w:id="806237203">
              <w:marLeft w:val="0"/>
              <w:marRight w:val="0"/>
              <w:marTop w:val="0"/>
              <w:marBottom w:val="0"/>
              <w:divBdr>
                <w:top w:val="none" w:sz="0" w:space="0" w:color="auto"/>
                <w:left w:val="none" w:sz="0" w:space="0" w:color="auto"/>
                <w:bottom w:val="none" w:sz="0" w:space="0" w:color="auto"/>
                <w:right w:val="none" w:sz="0" w:space="0" w:color="auto"/>
              </w:divBdr>
              <w:divsChild>
                <w:div w:id="1675113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861240">
      <w:bodyDiv w:val="1"/>
      <w:marLeft w:val="0"/>
      <w:marRight w:val="0"/>
      <w:marTop w:val="0"/>
      <w:marBottom w:val="0"/>
      <w:divBdr>
        <w:top w:val="none" w:sz="0" w:space="0" w:color="auto"/>
        <w:left w:val="none" w:sz="0" w:space="0" w:color="auto"/>
        <w:bottom w:val="none" w:sz="0" w:space="0" w:color="auto"/>
        <w:right w:val="none" w:sz="0" w:space="0" w:color="auto"/>
      </w:divBdr>
      <w:divsChild>
        <w:div w:id="2022312995">
          <w:marLeft w:val="0"/>
          <w:marRight w:val="0"/>
          <w:marTop w:val="0"/>
          <w:marBottom w:val="0"/>
          <w:divBdr>
            <w:top w:val="none" w:sz="0" w:space="0" w:color="auto"/>
            <w:left w:val="none" w:sz="0" w:space="0" w:color="auto"/>
            <w:bottom w:val="none" w:sz="0" w:space="0" w:color="auto"/>
            <w:right w:val="none" w:sz="0" w:space="0" w:color="auto"/>
          </w:divBdr>
          <w:divsChild>
            <w:div w:id="159927424">
              <w:marLeft w:val="0"/>
              <w:marRight w:val="0"/>
              <w:marTop w:val="0"/>
              <w:marBottom w:val="0"/>
              <w:divBdr>
                <w:top w:val="none" w:sz="0" w:space="0" w:color="auto"/>
                <w:left w:val="none" w:sz="0" w:space="0" w:color="auto"/>
                <w:bottom w:val="none" w:sz="0" w:space="0" w:color="auto"/>
                <w:right w:val="none" w:sz="0" w:space="0" w:color="auto"/>
              </w:divBdr>
              <w:divsChild>
                <w:div w:id="1471633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155874">
          <w:marLeft w:val="0"/>
          <w:marRight w:val="0"/>
          <w:marTop w:val="0"/>
          <w:marBottom w:val="0"/>
          <w:divBdr>
            <w:top w:val="none" w:sz="0" w:space="0" w:color="auto"/>
            <w:left w:val="none" w:sz="0" w:space="0" w:color="auto"/>
            <w:bottom w:val="none" w:sz="0" w:space="0" w:color="auto"/>
            <w:right w:val="none" w:sz="0" w:space="0" w:color="auto"/>
          </w:divBdr>
          <w:divsChild>
            <w:div w:id="799762856">
              <w:marLeft w:val="0"/>
              <w:marRight w:val="0"/>
              <w:marTop w:val="0"/>
              <w:marBottom w:val="0"/>
              <w:divBdr>
                <w:top w:val="none" w:sz="0" w:space="0" w:color="auto"/>
                <w:left w:val="none" w:sz="0" w:space="0" w:color="auto"/>
                <w:bottom w:val="none" w:sz="0" w:space="0" w:color="auto"/>
                <w:right w:val="none" w:sz="0" w:space="0" w:color="auto"/>
              </w:divBdr>
              <w:divsChild>
                <w:div w:id="896939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146259">
      <w:bodyDiv w:val="1"/>
      <w:marLeft w:val="0"/>
      <w:marRight w:val="0"/>
      <w:marTop w:val="0"/>
      <w:marBottom w:val="0"/>
      <w:divBdr>
        <w:top w:val="none" w:sz="0" w:space="0" w:color="auto"/>
        <w:left w:val="none" w:sz="0" w:space="0" w:color="auto"/>
        <w:bottom w:val="none" w:sz="0" w:space="0" w:color="auto"/>
        <w:right w:val="none" w:sz="0" w:space="0" w:color="auto"/>
      </w:divBdr>
    </w:div>
    <w:div w:id="1426654153">
      <w:bodyDiv w:val="1"/>
      <w:marLeft w:val="0"/>
      <w:marRight w:val="0"/>
      <w:marTop w:val="0"/>
      <w:marBottom w:val="0"/>
      <w:divBdr>
        <w:top w:val="none" w:sz="0" w:space="0" w:color="auto"/>
        <w:left w:val="none" w:sz="0" w:space="0" w:color="auto"/>
        <w:bottom w:val="none" w:sz="0" w:space="0" w:color="auto"/>
        <w:right w:val="none" w:sz="0" w:space="0" w:color="auto"/>
      </w:divBdr>
    </w:div>
    <w:div w:id="1436360327">
      <w:bodyDiv w:val="1"/>
      <w:marLeft w:val="0"/>
      <w:marRight w:val="0"/>
      <w:marTop w:val="0"/>
      <w:marBottom w:val="0"/>
      <w:divBdr>
        <w:top w:val="none" w:sz="0" w:space="0" w:color="auto"/>
        <w:left w:val="none" w:sz="0" w:space="0" w:color="auto"/>
        <w:bottom w:val="none" w:sz="0" w:space="0" w:color="auto"/>
        <w:right w:val="none" w:sz="0" w:space="0" w:color="auto"/>
      </w:divBdr>
    </w:div>
    <w:div w:id="1437408195">
      <w:bodyDiv w:val="1"/>
      <w:marLeft w:val="0"/>
      <w:marRight w:val="0"/>
      <w:marTop w:val="0"/>
      <w:marBottom w:val="0"/>
      <w:divBdr>
        <w:top w:val="none" w:sz="0" w:space="0" w:color="auto"/>
        <w:left w:val="none" w:sz="0" w:space="0" w:color="auto"/>
        <w:bottom w:val="none" w:sz="0" w:space="0" w:color="auto"/>
        <w:right w:val="none" w:sz="0" w:space="0" w:color="auto"/>
      </w:divBdr>
    </w:div>
    <w:div w:id="1439451955">
      <w:bodyDiv w:val="1"/>
      <w:marLeft w:val="0"/>
      <w:marRight w:val="0"/>
      <w:marTop w:val="0"/>
      <w:marBottom w:val="0"/>
      <w:divBdr>
        <w:top w:val="none" w:sz="0" w:space="0" w:color="auto"/>
        <w:left w:val="none" w:sz="0" w:space="0" w:color="auto"/>
        <w:bottom w:val="none" w:sz="0" w:space="0" w:color="auto"/>
        <w:right w:val="none" w:sz="0" w:space="0" w:color="auto"/>
      </w:divBdr>
      <w:divsChild>
        <w:div w:id="1409502235">
          <w:marLeft w:val="0"/>
          <w:marRight w:val="0"/>
          <w:marTop w:val="0"/>
          <w:marBottom w:val="0"/>
          <w:divBdr>
            <w:top w:val="none" w:sz="0" w:space="0" w:color="auto"/>
            <w:left w:val="none" w:sz="0" w:space="0" w:color="auto"/>
            <w:bottom w:val="none" w:sz="0" w:space="0" w:color="auto"/>
            <w:right w:val="none" w:sz="0" w:space="0" w:color="auto"/>
          </w:divBdr>
          <w:divsChild>
            <w:div w:id="1226181985">
              <w:marLeft w:val="0"/>
              <w:marRight w:val="0"/>
              <w:marTop w:val="0"/>
              <w:marBottom w:val="0"/>
              <w:divBdr>
                <w:top w:val="none" w:sz="0" w:space="0" w:color="auto"/>
                <w:left w:val="none" w:sz="0" w:space="0" w:color="auto"/>
                <w:bottom w:val="none" w:sz="0" w:space="0" w:color="auto"/>
                <w:right w:val="none" w:sz="0" w:space="0" w:color="auto"/>
              </w:divBdr>
              <w:divsChild>
                <w:div w:id="193365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3401009">
      <w:bodyDiv w:val="1"/>
      <w:marLeft w:val="0"/>
      <w:marRight w:val="0"/>
      <w:marTop w:val="0"/>
      <w:marBottom w:val="0"/>
      <w:divBdr>
        <w:top w:val="none" w:sz="0" w:space="0" w:color="auto"/>
        <w:left w:val="none" w:sz="0" w:space="0" w:color="auto"/>
        <w:bottom w:val="none" w:sz="0" w:space="0" w:color="auto"/>
        <w:right w:val="none" w:sz="0" w:space="0" w:color="auto"/>
      </w:divBdr>
      <w:divsChild>
        <w:div w:id="1919829873">
          <w:marLeft w:val="0"/>
          <w:marRight w:val="0"/>
          <w:marTop w:val="0"/>
          <w:marBottom w:val="0"/>
          <w:divBdr>
            <w:top w:val="none" w:sz="0" w:space="0" w:color="auto"/>
            <w:left w:val="none" w:sz="0" w:space="0" w:color="auto"/>
            <w:bottom w:val="none" w:sz="0" w:space="0" w:color="auto"/>
            <w:right w:val="none" w:sz="0" w:space="0" w:color="auto"/>
          </w:divBdr>
        </w:div>
      </w:divsChild>
    </w:div>
    <w:div w:id="1465612705">
      <w:bodyDiv w:val="1"/>
      <w:marLeft w:val="0"/>
      <w:marRight w:val="0"/>
      <w:marTop w:val="0"/>
      <w:marBottom w:val="0"/>
      <w:divBdr>
        <w:top w:val="none" w:sz="0" w:space="0" w:color="auto"/>
        <w:left w:val="none" w:sz="0" w:space="0" w:color="auto"/>
        <w:bottom w:val="none" w:sz="0" w:space="0" w:color="auto"/>
        <w:right w:val="none" w:sz="0" w:space="0" w:color="auto"/>
      </w:divBdr>
      <w:divsChild>
        <w:div w:id="248008408">
          <w:marLeft w:val="0"/>
          <w:marRight w:val="0"/>
          <w:marTop w:val="0"/>
          <w:marBottom w:val="0"/>
          <w:divBdr>
            <w:top w:val="none" w:sz="0" w:space="0" w:color="auto"/>
            <w:left w:val="none" w:sz="0" w:space="0" w:color="auto"/>
            <w:bottom w:val="none" w:sz="0" w:space="0" w:color="auto"/>
            <w:right w:val="none" w:sz="0" w:space="0" w:color="auto"/>
          </w:divBdr>
          <w:divsChild>
            <w:div w:id="1348023056">
              <w:marLeft w:val="0"/>
              <w:marRight w:val="0"/>
              <w:marTop w:val="0"/>
              <w:marBottom w:val="0"/>
              <w:divBdr>
                <w:top w:val="none" w:sz="0" w:space="0" w:color="auto"/>
                <w:left w:val="none" w:sz="0" w:space="0" w:color="auto"/>
                <w:bottom w:val="none" w:sz="0" w:space="0" w:color="auto"/>
                <w:right w:val="none" w:sz="0" w:space="0" w:color="auto"/>
              </w:divBdr>
              <w:divsChild>
                <w:div w:id="999963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452247">
      <w:bodyDiv w:val="1"/>
      <w:marLeft w:val="0"/>
      <w:marRight w:val="0"/>
      <w:marTop w:val="0"/>
      <w:marBottom w:val="0"/>
      <w:divBdr>
        <w:top w:val="none" w:sz="0" w:space="0" w:color="auto"/>
        <w:left w:val="none" w:sz="0" w:space="0" w:color="auto"/>
        <w:bottom w:val="none" w:sz="0" w:space="0" w:color="auto"/>
        <w:right w:val="none" w:sz="0" w:space="0" w:color="auto"/>
      </w:divBdr>
    </w:div>
    <w:div w:id="1531410629">
      <w:bodyDiv w:val="1"/>
      <w:marLeft w:val="0"/>
      <w:marRight w:val="0"/>
      <w:marTop w:val="0"/>
      <w:marBottom w:val="0"/>
      <w:divBdr>
        <w:top w:val="none" w:sz="0" w:space="0" w:color="auto"/>
        <w:left w:val="none" w:sz="0" w:space="0" w:color="auto"/>
        <w:bottom w:val="none" w:sz="0" w:space="0" w:color="auto"/>
        <w:right w:val="none" w:sz="0" w:space="0" w:color="auto"/>
      </w:divBdr>
      <w:divsChild>
        <w:div w:id="149176544">
          <w:marLeft w:val="0"/>
          <w:marRight w:val="0"/>
          <w:marTop w:val="0"/>
          <w:marBottom w:val="0"/>
          <w:divBdr>
            <w:top w:val="none" w:sz="0" w:space="0" w:color="auto"/>
            <w:left w:val="none" w:sz="0" w:space="0" w:color="auto"/>
            <w:bottom w:val="none" w:sz="0" w:space="0" w:color="auto"/>
            <w:right w:val="none" w:sz="0" w:space="0" w:color="auto"/>
          </w:divBdr>
          <w:divsChild>
            <w:div w:id="1856336821">
              <w:marLeft w:val="0"/>
              <w:marRight w:val="0"/>
              <w:marTop w:val="0"/>
              <w:marBottom w:val="0"/>
              <w:divBdr>
                <w:top w:val="none" w:sz="0" w:space="0" w:color="auto"/>
                <w:left w:val="none" w:sz="0" w:space="0" w:color="auto"/>
                <w:bottom w:val="none" w:sz="0" w:space="0" w:color="auto"/>
                <w:right w:val="none" w:sz="0" w:space="0" w:color="auto"/>
              </w:divBdr>
              <w:divsChild>
                <w:div w:id="173049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762545">
      <w:bodyDiv w:val="1"/>
      <w:marLeft w:val="0"/>
      <w:marRight w:val="0"/>
      <w:marTop w:val="0"/>
      <w:marBottom w:val="0"/>
      <w:divBdr>
        <w:top w:val="none" w:sz="0" w:space="0" w:color="auto"/>
        <w:left w:val="none" w:sz="0" w:space="0" w:color="auto"/>
        <w:bottom w:val="none" w:sz="0" w:space="0" w:color="auto"/>
        <w:right w:val="none" w:sz="0" w:space="0" w:color="auto"/>
      </w:divBdr>
    </w:div>
    <w:div w:id="1556038512">
      <w:bodyDiv w:val="1"/>
      <w:marLeft w:val="0"/>
      <w:marRight w:val="0"/>
      <w:marTop w:val="0"/>
      <w:marBottom w:val="0"/>
      <w:divBdr>
        <w:top w:val="none" w:sz="0" w:space="0" w:color="auto"/>
        <w:left w:val="none" w:sz="0" w:space="0" w:color="auto"/>
        <w:bottom w:val="none" w:sz="0" w:space="0" w:color="auto"/>
        <w:right w:val="none" w:sz="0" w:space="0" w:color="auto"/>
      </w:divBdr>
    </w:div>
    <w:div w:id="1599602740">
      <w:bodyDiv w:val="1"/>
      <w:marLeft w:val="0"/>
      <w:marRight w:val="0"/>
      <w:marTop w:val="0"/>
      <w:marBottom w:val="0"/>
      <w:divBdr>
        <w:top w:val="none" w:sz="0" w:space="0" w:color="auto"/>
        <w:left w:val="none" w:sz="0" w:space="0" w:color="auto"/>
        <w:bottom w:val="none" w:sz="0" w:space="0" w:color="auto"/>
        <w:right w:val="none" w:sz="0" w:space="0" w:color="auto"/>
      </w:divBdr>
    </w:div>
    <w:div w:id="1601836009">
      <w:bodyDiv w:val="1"/>
      <w:marLeft w:val="0"/>
      <w:marRight w:val="0"/>
      <w:marTop w:val="0"/>
      <w:marBottom w:val="0"/>
      <w:divBdr>
        <w:top w:val="none" w:sz="0" w:space="0" w:color="auto"/>
        <w:left w:val="none" w:sz="0" w:space="0" w:color="auto"/>
        <w:bottom w:val="none" w:sz="0" w:space="0" w:color="auto"/>
        <w:right w:val="none" w:sz="0" w:space="0" w:color="auto"/>
      </w:divBdr>
      <w:divsChild>
        <w:div w:id="1997490831">
          <w:marLeft w:val="0"/>
          <w:marRight w:val="0"/>
          <w:marTop w:val="0"/>
          <w:marBottom w:val="0"/>
          <w:divBdr>
            <w:top w:val="none" w:sz="0" w:space="0" w:color="auto"/>
            <w:left w:val="none" w:sz="0" w:space="0" w:color="auto"/>
            <w:bottom w:val="none" w:sz="0" w:space="0" w:color="auto"/>
            <w:right w:val="none" w:sz="0" w:space="0" w:color="auto"/>
          </w:divBdr>
          <w:divsChild>
            <w:div w:id="554971066">
              <w:marLeft w:val="0"/>
              <w:marRight w:val="0"/>
              <w:marTop w:val="0"/>
              <w:marBottom w:val="0"/>
              <w:divBdr>
                <w:top w:val="none" w:sz="0" w:space="0" w:color="auto"/>
                <w:left w:val="none" w:sz="0" w:space="0" w:color="auto"/>
                <w:bottom w:val="none" w:sz="0" w:space="0" w:color="auto"/>
                <w:right w:val="none" w:sz="0" w:space="0" w:color="auto"/>
              </w:divBdr>
              <w:divsChild>
                <w:div w:id="699165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251193">
      <w:bodyDiv w:val="1"/>
      <w:marLeft w:val="0"/>
      <w:marRight w:val="0"/>
      <w:marTop w:val="0"/>
      <w:marBottom w:val="0"/>
      <w:divBdr>
        <w:top w:val="none" w:sz="0" w:space="0" w:color="auto"/>
        <w:left w:val="none" w:sz="0" w:space="0" w:color="auto"/>
        <w:bottom w:val="none" w:sz="0" w:space="0" w:color="auto"/>
        <w:right w:val="none" w:sz="0" w:space="0" w:color="auto"/>
      </w:divBdr>
    </w:div>
    <w:div w:id="1650551486">
      <w:bodyDiv w:val="1"/>
      <w:marLeft w:val="0"/>
      <w:marRight w:val="0"/>
      <w:marTop w:val="0"/>
      <w:marBottom w:val="0"/>
      <w:divBdr>
        <w:top w:val="none" w:sz="0" w:space="0" w:color="auto"/>
        <w:left w:val="none" w:sz="0" w:space="0" w:color="auto"/>
        <w:bottom w:val="none" w:sz="0" w:space="0" w:color="auto"/>
        <w:right w:val="none" w:sz="0" w:space="0" w:color="auto"/>
      </w:divBdr>
    </w:div>
    <w:div w:id="1677003641">
      <w:bodyDiv w:val="1"/>
      <w:marLeft w:val="0"/>
      <w:marRight w:val="0"/>
      <w:marTop w:val="0"/>
      <w:marBottom w:val="0"/>
      <w:divBdr>
        <w:top w:val="none" w:sz="0" w:space="0" w:color="auto"/>
        <w:left w:val="none" w:sz="0" w:space="0" w:color="auto"/>
        <w:bottom w:val="none" w:sz="0" w:space="0" w:color="auto"/>
        <w:right w:val="none" w:sz="0" w:space="0" w:color="auto"/>
      </w:divBdr>
    </w:div>
    <w:div w:id="1690913785">
      <w:bodyDiv w:val="1"/>
      <w:marLeft w:val="0"/>
      <w:marRight w:val="0"/>
      <w:marTop w:val="0"/>
      <w:marBottom w:val="0"/>
      <w:divBdr>
        <w:top w:val="none" w:sz="0" w:space="0" w:color="auto"/>
        <w:left w:val="none" w:sz="0" w:space="0" w:color="auto"/>
        <w:bottom w:val="none" w:sz="0" w:space="0" w:color="auto"/>
        <w:right w:val="none" w:sz="0" w:space="0" w:color="auto"/>
      </w:divBdr>
    </w:div>
    <w:div w:id="1719013574">
      <w:bodyDiv w:val="1"/>
      <w:marLeft w:val="0"/>
      <w:marRight w:val="0"/>
      <w:marTop w:val="0"/>
      <w:marBottom w:val="0"/>
      <w:divBdr>
        <w:top w:val="none" w:sz="0" w:space="0" w:color="auto"/>
        <w:left w:val="none" w:sz="0" w:space="0" w:color="auto"/>
        <w:bottom w:val="none" w:sz="0" w:space="0" w:color="auto"/>
        <w:right w:val="none" w:sz="0" w:space="0" w:color="auto"/>
      </w:divBdr>
      <w:divsChild>
        <w:div w:id="1228879208">
          <w:marLeft w:val="0"/>
          <w:marRight w:val="0"/>
          <w:marTop w:val="0"/>
          <w:marBottom w:val="0"/>
          <w:divBdr>
            <w:top w:val="none" w:sz="0" w:space="0" w:color="auto"/>
            <w:left w:val="none" w:sz="0" w:space="0" w:color="auto"/>
            <w:bottom w:val="none" w:sz="0" w:space="0" w:color="auto"/>
            <w:right w:val="none" w:sz="0" w:space="0" w:color="auto"/>
          </w:divBdr>
          <w:divsChild>
            <w:div w:id="1482042726">
              <w:marLeft w:val="0"/>
              <w:marRight w:val="0"/>
              <w:marTop w:val="0"/>
              <w:marBottom w:val="0"/>
              <w:divBdr>
                <w:top w:val="none" w:sz="0" w:space="0" w:color="auto"/>
                <w:left w:val="none" w:sz="0" w:space="0" w:color="auto"/>
                <w:bottom w:val="none" w:sz="0" w:space="0" w:color="auto"/>
                <w:right w:val="none" w:sz="0" w:space="0" w:color="auto"/>
              </w:divBdr>
              <w:divsChild>
                <w:div w:id="1637755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209188">
      <w:bodyDiv w:val="1"/>
      <w:marLeft w:val="0"/>
      <w:marRight w:val="0"/>
      <w:marTop w:val="0"/>
      <w:marBottom w:val="0"/>
      <w:divBdr>
        <w:top w:val="none" w:sz="0" w:space="0" w:color="auto"/>
        <w:left w:val="none" w:sz="0" w:space="0" w:color="auto"/>
        <w:bottom w:val="none" w:sz="0" w:space="0" w:color="auto"/>
        <w:right w:val="none" w:sz="0" w:space="0" w:color="auto"/>
      </w:divBdr>
      <w:divsChild>
        <w:div w:id="1301111431">
          <w:marLeft w:val="0"/>
          <w:marRight w:val="0"/>
          <w:marTop w:val="0"/>
          <w:marBottom w:val="0"/>
          <w:divBdr>
            <w:top w:val="none" w:sz="0" w:space="0" w:color="auto"/>
            <w:left w:val="none" w:sz="0" w:space="0" w:color="auto"/>
            <w:bottom w:val="none" w:sz="0" w:space="0" w:color="auto"/>
            <w:right w:val="none" w:sz="0" w:space="0" w:color="auto"/>
          </w:divBdr>
          <w:divsChild>
            <w:div w:id="315884636">
              <w:marLeft w:val="0"/>
              <w:marRight w:val="0"/>
              <w:marTop w:val="0"/>
              <w:marBottom w:val="0"/>
              <w:divBdr>
                <w:top w:val="none" w:sz="0" w:space="0" w:color="auto"/>
                <w:left w:val="none" w:sz="0" w:space="0" w:color="auto"/>
                <w:bottom w:val="none" w:sz="0" w:space="0" w:color="auto"/>
                <w:right w:val="none" w:sz="0" w:space="0" w:color="auto"/>
              </w:divBdr>
              <w:divsChild>
                <w:div w:id="16809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199361">
      <w:bodyDiv w:val="1"/>
      <w:marLeft w:val="0"/>
      <w:marRight w:val="0"/>
      <w:marTop w:val="0"/>
      <w:marBottom w:val="0"/>
      <w:divBdr>
        <w:top w:val="none" w:sz="0" w:space="0" w:color="auto"/>
        <w:left w:val="none" w:sz="0" w:space="0" w:color="auto"/>
        <w:bottom w:val="none" w:sz="0" w:space="0" w:color="auto"/>
        <w:right w:val="none" w:sz="0" w:space="0" w:color="auto"/>
      </w:divBdr>
    </w:div>
    <w:div w:id="1794706998">
      <w:bodyDiv w:val="1"/>
      <w:marLeft w:val="0"/>
      <w:marRight w:val="0"/>
      <w:marTop w:val="0"/>
      <w:marBottom w:val="0"/>
      <w:divBdr>
        <w:top w:val="none" w:sz="0" w:space="0" w:color="auto"/>
        <w:left w:val="none" w:sz="0" w:space="0" w:color="auto"/>
        <w:bottom w:val="none" w:sz="0" w:space="0" w:color="auto"/>
        <w:right w:val="none" w:sz="0" w:space="0" w:color="auto"/>
      </w:divBdr>
    </w:div>
    <w:div w:id="1823352071">
      <w:bodyDiv w:val="1"/>
      <w:marLeft w:val="0"/>
      <w:marRight w:val="0"/>
      <w:marTop w:val="0"/>
      <w:marBottom w:val="0"/>
      <w:divBdr>
        <w:top w:val="none" w:sz="0" w:space="0" w:color="auto"/>
        <w:left w:val="none" w:sz="0" w:space="0" w:color="auto"/>
        <w:bottom w:val="none" w:sz="0" w:space="0" w:color="auto"/>
        <w:right w:val="none" w:sz="0" w:space="0" w:color="auto"/>
      </w:divBdr>
      <w:divsChild>
        <w:div w:id="2019648642">
          <w:marLeft w:val="0"/>
          <w:marRight w:val="0"/>
          <w:marTop w:val="0"/>
          <w:marBottom w:val="0"/>
          <w:divBdr>
            <w:top w:val="none" w:sz="0" w:space="0" w:color="auto"/>
            <w:left w:val="none" w:sz="0" w:space="0" w:color="auto"/>
            <w:bottom w:val="none" w:sz="0" w:space="0" w:color="auto"/>
            <w:right w:val="none" w:sz="0" w:space="0" w:color="auto"/>
          </w:divBdr>
        </w:div>
      </w:divsChild>
    </w:div>
    <w:div w:id="1827551392">
      <w:bodyDiv w:val="1"/>
      <w:marLeft w:val="0"/>
      <w:marRight w:val="0"/>
      <w:marTop w:val="0"/>
      <w:marBottom w:val="0"/>
      <w:divBdr>
        <w:top w:val="none" w:sz="0" w:space="0" w:color="auto"/>
        <w:left w:val="none" w:sz="0" w:space="0" w:color="auto"/>
        <w:bottom w:val="none" w:sz="0" w:space="0" w:color="auto"/>
        <w:right w:val="none" w:sz="0" w:space="0" w:color="auto"/>
      </w:divBdr>
    </w:div>
    <w:div w:id="1831018896">
      <w:bodyDiv w:val="1"/>
      <w:marLeft w:val="0"/>
      <w:marRight w:val="0"/>
      <w:marTop w:val="0"/>
      <w:marBottom w:val="0"/>
      <w:divBdr>
        <w:top w:val="none" w:sz="0" w:space="0" w:color="auto"/>
        <w:left w:val="none" w:sz="0" w:space="0" w:color="auto"/>
        <w:bottom w:val="none" w:sz="0" w:space="0" w:color="auto"/>
        <w:right w:val="none" w:sz="0" w:space="0" w:color="auto"/>
      </w:divBdr>
      <w:divsChild>
        <w:div w:id="448282955">
          <w:marLeft w:val="0"/>
          <w:marRight w:val="0"/>
          <w:marTop w:val="0"/>
          <w:marBottom w:val="0"/>
          <w:divBdr>
            <w:top w:val="none" w:sz="0" w:space="0" w:color="auto"/>
            <w:left w:val="none" w:sz="0" w:space="0" w:color="auto"/>
            <w:bottom w:val="none" w:sz="0" w:space="0" w:color="auto"/>
            <w:right w:val="none" w:sz="0" w:space="0" w:color="auto"/>
          </w:divBdr>
        </w:div>
      </w:divsChild>
    </w:div>
    <w:div w:id="1841577348">
      <w:bodyDiv w:val="1"/>
      <w:marLeft w:val="0"/>
      <w:marRight w:val="0"/>
      <w:marTop w:val="0"/>
      <w:marBottom w:val="0"/>
      <w:divBdr>
        <w:top w:val="none" w:sz="0" w:space="0" w:color="auto"/>
        <w:left w:val="none" w:sz="0" w:space="0" w:color="auto"/>
        <w:bottom w:val="none" w:sz="0" w:space="0" w:color="auto"/>
        <w:right w:val="none" w:sz="0" w:space="0" w:color="auto"/>
      </w:divBdr>
      <w:divsChild>
        <w:div w:id="326329350">
          <w:marLeft w:val="0"/>
          <w:marRight w:val="0"/>
          <w:marTop w:val="0"/>
          <w:marBottom w:val="0"/>
          <w:divBdr>
            <w:top w:val="none" w:sz="0" w:space="0" w:color="auto"/>
            <w:left w:val="none" w:sz="0" w:space="0" w:color="auto"/>
            <w:bottom w:val="none" w:sz="0" w:space="0" w:color="auto"/>
            <w:right w:val="none" w:sz="0" w:space="0" w:color="auto"/>
          </w:divBdr>
          <w:divsChild>
            <w:div w:id="2031179719">
              <w:marLeft w:val="0"/>
              <w:marRight w:val="0"/>
              <w:marTop w:val="0"/>
              <w:marBottom w:val="0"/>
              <w:divBdr>
                <w:top w:val="none" w:sz="0" w:space="0" w:color="auto"/>
                <w:left w:val="none" w:sz="0" w:space="0" w:color="auto"/>
                <w:bottom w:val="none" w:sz="0" w:space="0" w:color="auto"/>
                <w:right w:val="none" w:sz="0" w:space="0" w:color="auto"/>
              </w:divBdr>
              <w:divsChild>
                <w:div w:id="1915551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784892">
      <w:bodyDiv w:val="1"/>
      <w:marLeft w:val="0"/>
      <w:marRight w:val="0"/>
      <w:marTop w:val="0"/>
      <w:marBottom w:val="0"/>
      <w:divBdr>
        <w:top w:val="none" w:sz="0" w:space="0" w:color="auto"/>
        <w:left w:val="none" w:sz="0" w:space="0" w:color="auto"/>
        <w:bottom w:val="none" w:sz="0" w:space="0" w:color="auto"/>
        <w:right w:val="none" w:sz="0" w:space="0" w:color="auto"/>
      </w:divBdr>
    </w:div>
    <w:div w:id="1910995981">
      <w:bodyDiv w:val="1"/>
      <w:marLeft w:val="0"/>
      <w:marRight w:val="0"/>
      <w:marTop w:val="0"/>
      <w:marBottom w:val="0"/>
      <w:divBdr>
        <w:top w:val="none" w:sz="0" w:space="0" w:color="auto"/>
        <w:left w:val="none" w:sz="0" w:space="0" w:color="auto"/>
        <w:bottom w:val="none" w:sz="0" w:space="0" w:color="auto"/>
        <w:right w:val="none" w:sz="0" w:space="0" w:color="auto"/>
      </w:divBdr>
      <w:divsChild>
        <w:div w:id="848640010">
          <w:marLeft w:val="0"/>
          <w:marRight w:val="0"/>
          <w:marTop w:val="0"/>
          <w:marBottom w:val="0"/>
          <w:divBdr>
            <w:top w:val="none" w:sz="0" w:space="0" w:color="auto"/>
            <w:left w:val="none" w:sz="0" w:space="0" w:color="auto"/>
            <w:bottom w:val="none" w:sz="0" w:space="0" w:color="auto"/>
            <w:right w:val="none" w:sz="0" w:space="0" w:color="auto"/>
          </w:divBdr>
          <w:divsChild>
            <w:div w:id="472723060">
              <w:marLeft w:val="0"/>
              <w:marRight w:val="0"/>
              <w:marTop w:val="0"/>
              <w:marBottom w:val="0"/>
              <w:divBdr>
                <w:top w:val="none" w:sz="0" w:space="0" w:color="auto"/>
                <w:left w:val="none" w:sz="0" w:space="0" w:color="auto"/>
                <w:bottom w:val="none" w:sz="0" w:space="0" w:color="auto"/>
                <w:right w:val="none" w:sz="0" w:space="0" w:color="auto"/>
              </w:divBdr>
              <w:divsChild>
                <w:div w:id="1556620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480283">
      <w:bodyDiv w:val="1"/>
      <w:marLeft w:val="0"/>
      <w:marRight w:val="0"/>
      <w:marTop w:val="0"/>
      <w:marBottom w:val="0"/>
      <w:divBdr>
        <w:top w:val="none" w:sz="0" w:space="0" w:color="auto"/>
        <w:left w:val="none" w:sz="0" w:space="0" w:color="auto"/>
        <w:bottom w:val="none" w:sz="0" w:space="0" w:color="auto"/>
        <w:right w:val="none" w:sz="0" w:space="0" w:color="auto"/>
      </w:divBdr>
    </w:div>
    <w:div w:id="1955361063">
      <w:bodyDiv w:val="1"/>
      <w:marLeft w:val="0"/>
      <w:marRight w:val="0"/>
      <w:marTop w:val="0"/>
      <w:marBottom w:val="0"/>
      <w:divBdr>
        <w:top w:val="none" w:sz="0" w:space="0" w:color="auto"/>
        <w:left w:val="none" w:sz="0" w:space="0" w:color="auto"/>
        <w:bottom w:val="none" w:sz="0" w:space="0" w:color="auto"/>
        <w:right w:val="none" w:sz="0" w:space="0" w:color="auto"/>
      </w:divBdr>
      <w:divsChild>
        <w:div w:id="1616331633">
          <w:marLeft w:val="0"/>
          <w:marRight w:val="0"/>
          <w:marTop w:val="0"/>
          <w:marBottom w:val="0"/>
          <w:divBdr>
            <w:top w:val="none" w:sz="0" w:space="0" w:color="auto"/>
            <w:left w:val="none" w:sz="0" w:space="0" w:color="auto"/>
            <w:bottom w:val="none" w:sz="0" w:space="0" w:color="auto"/>
            <w:right w:val="none" w:sz="0" w:space="0" w:color="auto"/>
          </w:divBdr>
          <w:divsChild>
            <w:div w:id="1107040083">
              <w:marLeft w:val="0"/>
              <w:marRight w:val="0"/>
              <w:marTop w:val="0"/>
              <w:marBottom w:val="0"/>
              <w:divBdr>
                <w:top w:val="none" w:sz="0" w:space="0" w:color="auto"/>
                <w:left w:val="none" w:sz="0" w:space="0" w:color="auto"/>
                <w:bottom w:val="none" w:sz="0" w:space="0" w:color="auto"/>
                <w:right w:val="none" w:sz="0" w:space="0" w:color="auto"/>
              </w:divBdr>
              <w:divsChild>
                <w:div w:id="939340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579608">
      <w:bodyDiv w:val="1"/>
      <w:marLeft w:val="0"/>
      <w:marRight w:val="0"/>
      <w:marTop w:val="0"/>
      <w:marBottom w:val="0"/>
      <w:divBdr>
        <w:top w:val="none" w:sz="0" w:space="0" w:color="auto"/>
        <w:left w:val="none" w:sz="0" w:space="0" w:color="auto"/>
        <w:bottom w:val="none" w:sz="0" w:space="0" w:color="auto"/>
        <w:right w:val="none" w:sz="0" w:space="0" w:color="auto"/>
      </w:divBdr>
    </w:div>
    <w:div w:id="2013868262">
      <w:bodyDiv w:val="1"/>
      <w:marLeft w:val="0"/>
      <w:marRight w:val="0"/>
      <w:marTop w:val="0"/>
      <w:marBottom w:val="0"/>
      <w:divBdr>
        <w:top w:val="none" w:sz="0" w:space="0" w:color="auto"/>
        <w:left w:val="none" w:sz="0" w:space="0" w:color="auto"/>
        <w:bottom w:val="none" w:sz="0" w:space="0" w:color="auto"/>
        <w:right w:val="none" w:sz="0" w:space="0" w:color="auto"/>
      </w:divBdr>
      <w:divsChild>
        <w:div w:id="707753872">
          <w:marLeft w:val="0"/>
          <w:marRight w:val="0"/>
          <w:marTop w:val="0"/>
          <w:marBottom w:val="0"/>
          <w:divBdr>
            <w:top w:val="none" w:sz="0" w:space="0" w:color="auto"/>
            <w:left w:val="none" w:sz="0" w:space="0" w:color="auto"/>
            <w:bottom w:val="none" w:sz="0" w:space="0" w:color="auto"/>
            <w:right w:val="none" w:sz="0" w:space="0" w:color="auto"/>
          </w:divBdr>
          <w:divsChild>
            <w:div w:id="993067426">
              <w:marLeft w:val="0"/>
              <w:marRight w:val="0"/>
              <w:marTop w:val="0"/>
              <w:marBottom w:val="0"/>
              <w:divBdr>
                <w:top w:val="none" w:sz="0" w:space="0" w:color="auto"/>
                <w:left w:val="none" w:sz="0" w:space="0" w:color="auto"/>
                <w:bottom w:val="none" w:sz="0" w:space="0" w:color="auto"/>
                <w:right w:val="none" w:sz="0" w:space="0" w:color="auto"/>
              </w:divBdr>
            </w:div>
            <w:div w:id="609626547">
              <w:marLeft w:val="0"/>
              <w:marRight w:val="0"/>
              <w:marTop w:val="0"/>
              <w:marBottom w:val="0"/>
              <w:divBdr>
                <w:top w:val="none" w:sz="0" w:space="0" w:color="auto"/>
                <w:left w:val="none" w:sz="0" w:space="0" w:color="auto"/>
                <w:bottom w:val="none" w:sz="0" w:space="0" w:color="auto"/>
                <w:right w:val="none" w:sz="0" w:space="0" w:color="auto"/>
              </w:divBdr>
            </w:div>
            <w:div w:id="1508908619">
              <w:marLeft w:val="0"/>
              <w:marRight w:val="0"/>
              <w:marTop w:val="0"/>
              <w:marBottom w:val="0"/>
              <w:divBdr>
                <w:top w:val="none" w:sz="0" w:space="0" w:color="auto"/>
                <w:left w:val="none" w:sz="0" w:space="0" w:color="auto"/>
                <w:bottom w:val="none" w:sz="0" w:space="0" w:color="auto"/>
                <w:right w:val="none" w:sz="0" w:space="0" w:color="auto"/>
              </w:divBdr>
            </w:div>
          </w:divsChild>
        </w:div>
        <w:div w:id="1464808247">
          <w:marLeft w:val="0"/>
          <w:marRight w:val="0"/>
          <w:marTop w:val="0"/>
          <w:marBottom w:val="0"/>
          <w:divBdr>
            <w:top w:val="none" w:sz="0" w:space="0" w:color="auto"/>
            <w:left w:val="none" w:sz="0" w:space="0" w:color="auto"/>
            <w:bottom w:val="none" w:sz="0" w:space="0" w:color="auto"/>
            <w:right w:val="none" w:sz="0" w:space="0" w:color="auto"/>
          </w:divBdr>
          <w:divsChild>
            <w:div w:id="1747846215">
              <w:marLeft w:val="0"/>
              <w:marRight w:val="0"/>
              <w:marTop w:val="0"/>
              <w:marBottom w:val="0"/>
              <w:divBdr>
                <w:top w:val="none" w:sz="0" w:space="0" w:color="auto"/>
                <w:left w:val="none" w:sz="0" w:space="0" w:color="auto"/>
                <w:bottom w:val="none" w:sz="0" w:space="0" w:color="auto"/>
                <w:right w:val="none" w:sz="0" w:space="0" w:color="auto"/>
              </w:divBdr>
            </w:div>
            <w:div w:id="432870270">
              <w:marLeft w:val="0"/>
              <w:marRight w:val="0"/>
              <w:marTop w:val="0"/>
              <w:marBottom w:val="0"/>
              <w:divBdr>
                <w:top w:val="none" w:sz="0" w:space="0" w:color="auto"/>
                <w:left w:val="none" w:sz="0" w:space="0" w:color="auto"/>
                <w:bottom w:val="none" w:sz="0" w:space="0" w:color="auto"/>
                <w:right w:val="none" w:sz="0" w:space="0" w:color="auto"/>
              </w:divBdr>
            </w:div>
            <w:div w:id="1134567542">
              <w:marLeft w:val="0"/>
              <w:marRight w:val="0"/>
              <w:marTop w:val="0"/>
              <w:marBottom w:val="0"/>
              <w:divBdr>
                <w:top w:val="none" w:sz="0" w:space="0" w:color="auto"/>
                <w:left w:val="none" w:sz="0" w:space="0" w:color="auto"/>
                <w:bottom w:val="none" w:sz="0" w:space="0" w:color="auto"/>
                <w:right w:val="none" w:sz="0" w:space="0" w:color="auto"/>
              </w:divBdr>
            </w:div>
          </w:divsChild>
        </w:div>
        <w:div w:id="257493476">
          <w:marLeft w:val="0"/>
          <w:marRight w:val="0"/>
          <w:marTop w:val="0"/>
          <w:marBottom w:val="0"/>
          <w:divBdr>
            <w:top w:val="none" w:sz="0" w:space="0" w:color="auto"/>
            <w:left w:val="none" w:sz="0" w:space="0" w:color="auto"/>
            <w:bottom w:val="none" w:sz="0" w:space="0" w:color="auto"/>
            <w:right w:val="none" w:sz="0" w:space="0" w:color="auto"/>
          </w:divBdr>
          <w:divsChild>
            <w:div w:id="1706980417">
              <w:marLeft w:val="0"/>
              <w:marRight w:val="0"/>
              <w:marTop w:val="0"/>
              <w:marBottom w:val="0"/>
              <w:divBdr>
                <w:top w:val="none" w:sz="0" w:space="0" w:color="auto"/>
                <w:left w:val="none" w:sz="0" w:space="0" w:color="auto"/>
                <w:bottom w:val="none" w:sz="0" w:space="0" w:color="auto"/>
                <w:right w:val="none" w:sz="0" w:space="0" w:color="auto"/>
              </w:divBdr>
            </w:div>
            <w:div w:id="240067693">
              <w:marLeft w:val="0"/>
              <w:marRight w:val="0"/>
              <w:marTop w:val="0"/>
              <w:marBottom w:val="0"/>
              <w:divBdr>
                <w:top w:val="none" w:sz="0" w:space="0" w:color="auto"/>
                <w:left w:val="none" w:sz="0" w:space="0" w:color="auto"/>
                <w:bottom w:val="none" w:sz="0" w:space="0" w:color="auto"/>
                <w:right w:val="none" w:sz="0" w:space="0" w:color="auto"/>
              </w:divBdr>
            </w:div>
            <w:div w:id="159975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841102">
      <w:bodyDiv w:val="1"/>
      <w:marLeft w:val="0"/>
      <w:marRight w:val="0"/>
      <w:marTop w:val="0"/>
      <w:marBottom w:val="0"/>
      <w:divBdr>
        <w:top w:val="none" w:sz="0" w:space="0" w:color="auto"/>
        <w:left w:val="none" w:sz="0" w:space="0" w:color="auto"/>
        <w:bottom w:val="none" w:sz="0" w:space="0" w:color="auto"/>
        <w:right w:val="none" w:sz="0" w:space="0" w:color="auto"/>
      </w:divBdr>
      <w:divsChild>
        <w:div w:id="1635061629">
          <w:marLeft w:val="0"/>
          <w:marRight w:val="0"/>
          <w:marTop w:val="0"/>
          <w:marBottom w:val="0"/>
          <w:divBdr>
            <w:top w:val="none" w:sz="0" w:space="0" w:color="auto"/>
            <w:left w:val="none" w:sz="0" w:space="0" w:color="auto"/>
            <w:bottom w:val="none" w:sz="0" w:space="0" w:color="auto"/>
            <w:right w:val="none" w:sz="0" w:space="0" w:color="auto"/>
          </w:divBdr>
        </w:div>
        <w:div w:id="1281843415">
          <w:marLeft w:val="0"/>
          <w:marRight w:val="0"/>
          <w:marTop w:val="0"/>
          <w:marBottom w:val="0"/>
          <w:divBdr>
            <w:top w:val="none" w:sz="0" w:space="0" w:color="auto"/>
            <w:left w:val="none" w:sz="0" w:space="0" w:color="auto"/>
            <w:bottom w:val="none" w:sz="0" w:space="0" w:color="auto"/>
            <w:right w:val="none" w:sz="0" w:space="0" w:color="auto"/>
          </w:divBdr>
        </w:div>
        <w:div w:id="1059134514">
          <w:marLeft w:val="0"/>
          <w:marRight w:val="0"/>
          <w:marTop w:val="0"/>
          <w:marBottom w:val="0"/>
          <w:divBdr>
            <w:top w:val="none" w:sz="0" w:space="0" w:color="auto"/>
            <w:left w:val="none" w:sz="0" w:space="0" w:color="auto"/>
            <w:bottom w:val="none" w:sz="0" w:space="0" w:color="auto"/>
            <w:right w:val="none" w:sz="0" w:space="0" w:color="auto"/>
          </w:divBdr>
        </w:div>
        <w:div w:id="1290281302">
          <w:marLeft w:val="0"/>
          <w:marRight w:val="0"/>
          <w:marTop w:val="0"/>
          <w:marBottom w:val="0"/>
          <w:divBdr>
            <w:top w:val="none" w:sz="0" w:space="0" w:color="auto"/>
            <w:left w:val="none" w:sz="0" w:space="0" w:color="auto"/>
            <w:bottom w:val="none" w:sz="0" w:space="0" w:color="auto"/>
            <w:right w:val="none" w:sz="0" w:space="0" w:color="auto"/>
          </w:divBdr>
        </w:div>
      </w:divsChild>
    </w:div>
    <w:div w:id="2050841414">
      <w:bodyDiv w:val="1"/>
      <w:marLeft w:val="0"/>
      <w:marRight w:val="0"/>
      <w:marTop w:val="0"/>
      <w:marBottom w:val="0"/>
      <w:divBdr>
        <w:top w:val="none" w:sz="0" w:space="0" w:color="auto"/>
        <w:left w:val="none" w:sz="0" w:space="0" w:color="auto"/>
        <w:bottom w:val="none" w:sz="0" w:space="0" w:color="auto"/>
        <w:right w:val="none" w:sz="0" w:space="0" w:color="auto"/>
      </w:divBdr>
    </w:div>
    <w:div w:id="2054619526">
      <w:bodyDiv w:val="1"/>
      <w:marLeft w:val="0"/>
      <w:marRight w:val="0"/>
      <w:marTop w:val="0"/>
      <w:marBottom w:val="0"/>
      <w:divBdr>
        <w:top w:val="none" w:sz="0" w:space="0" w:color="auto"/>
        <w:left w:val="none" w:sz="0" w:space="0" w:color="auto"/>
        <w:bottom w:val="none" w:sz="0" w:space="0" w:color="auto"/>
        <w:right w:val="none" w:sz="0" w:space="0" w:color="auto"/>
      </w:divBdr>
      <w:divsChild>
        <w:div w:id="2062902095">
          <w:marLeft w:val="0"/>
          <w:marRight w:val="0"/>
          <w:marTop w:val="0"/>
          <w:marBottom w:val="0"/>
          <w:divBdr>
            <w:top w:val="none" w:sz="0" w:space="0" w:color="auto"/>
            <w:left w:val="none" w:sz="0" w:space="0" w:color="auto"/>
            <w:bottom w:val="none" w:sz="0" w:space="0" w:color="auto"/>
            <w:right w:val="none" w:sz="0" w:space="0" w:color="auto"/>
          </w:divBdr>
          <w:divsChild>
            <w:div w:id="1599752540">
              <w:marLeft w:val="0"/>
              <w:marRight w:val="0"/>
              <w:marTop w:val="0"/>
              <w:marBottom w:val="0"/>
              <w:divBdr>
                <w:top w:val="none" w:sz="0" w:space="0" w:color="auto"/>
                <w:left w:val="none" w:sz="0" w:space="0" w:color="auto"/>
                <w:bottom w:val="none" w:sz="0" w:space="0" w:color="auto"/>
                <w:right w:val="none" w:sz="0" w:space="0" w:color="auto"/>
              </w:divBdr>
              <w:divsChild>
                <w:div w:id="1477532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017988">
      <w:bodyDiv w:val="1"/>
      <w:marLeft w:val="0"/>
      <w:marRight w:val="0"/>
      <w:marTop w:val="0"/>
      <w:marBottom w:val="0"/>
      <w:divBdr>
        <w:top w:val="none" w:sz="0" w:space="0" w:color="auto"/>
        <w:left w:val="none" w:sz="0" w:space="0" w:color="auto"/>
        <w:bottom w:val="none" w:sz="0" w:space="0" w:color="auto"/>
        <w:right w:val="none" w:sz="0" w:space="0" w:color="auto"/>
      </w:divBdr>
      <w:divsChild>
        <w:div w:id="1515680199">
          <w:marLeft w:val="0"/>
          <w:marRight w:val="0"/>
          <w:marTop w:val="0"/>
          <w:marBottom w:val="0"/>
          <w:divBdr>
            <w:top w:val="none" w:sz="0" w:space="0" w:color="auto"/>
            <w:left w:val="none" w:sz="0" w:space="0" w:color="auto"/>
            <w:bottom w:val="none" w:sz="0" w:space="0" w:color="auto"/>
            <w:right w:val="none" w:sz="0" w:space="0" w:color="auto"/>
          </w:divBdr>
        </w:div>
        <w:div w:id="322319425">
          <w:marLeft w:val="0"/>
          <w:marRight w:val="0"/>
          <w:marTop w:val="0"/>
          <w:marBottom w:val="0"/>
          <w:divBdr>
            <w:top w:val="none" w:sz="0" w:space="0" w:color="auto"/>
            <w:left w:val="none" w:sz="0" w:space="0" w:color="auto"/>
            <w:bottom w:val="none" w:sz="0" w:space="0" w:color="auto"/>
            <w:right w:val="none" w:sz="0" w:space="0" w:color="auto"/>
          </w:divBdr>
          <w:divsChild>
            <w:div w:id="331104745">
              <w:marLeft w:val="0"/>
              <w:marRight w:val="0"/>
              <w:marTop w:val="0"/>
              <w:marBottom w:val="0"/>
              <w:divBdr>
                <w:top w:val="none" w:sz="0" w:space="0" w:color="auto"/>
                <w:left w:val="none" w:sz="0" w:space="0" w:color="auto"/>
                <w:bottom w:val="none" w:sz="0" w:space="0" w:color="auto"/>
                <w:right w:val="none" w:sz="0" w:space="0" w:color="auto"/>
              </w:divBdr>
            </w:div>
            <w:div w:id="912473281">
              <w:marLeft w:val="0"/>
              <w:marRight w:val="0"/>
              <w:marTop w:val="0"/>
              <w:marBottom w:val="0"/>
              <w:divBdr>
                <w:top w:val="none" w:sz="0" w:space="0" w:color="auto"/>
                <w:left w:val="none" w:sz="0" w:space="0" w:color="auto"/>
                <w:bottom w:val="none" w:sz="0" w:space="0" w:color="auto"/>
                <w:right w:val="none" w:sz="0" w:space="0" w:color="auto"/>
              </w:divBdr>
            </w:div>
            <w:div w:id="1194197827">
              <w:marLeft w:val="0"/>
              <w:marRight w:val="0"/>
              <w:marTop w:val="0"/>
              <w:marBottom w:val="0"/>
              <w:divBdr>
                <w:top w:val="none" w:sz="0" w:space="0" w:color="auto"/>
                <w:left w:val="none" w:sz="0" w:space="0" w:color="auto"/>
                <w:bottom w:val="none" w:sz="0" w:space="0" w:color="auto"/>
                <w:right w:val="none" w:sz="0" w:space="0" w:color="auto"/>
              </w:divBdr>
            </w:div>
            <w:div w:id="401559247">
              <w:marLeft w:val="0"/>
              <w:marRight w:val="0"/>
              <w:marTop w:val="0"/>
              <w:marBottom w:val="0"/>
              <w:divBdr>
                <w:top w:val="none" w:sz="0" w:space="0" w:color="auto"/>
                <w:left w:val="none" w:sz="0" w:space="0" w:color="auto"/>
                <w:bottom w:val="none" w:sz="0" w:space="0" w:color="auto"/>
                <w:right w:val="none" w:sz="0" w:space="0" w:color="auto"/>
              </w:divBdr>
            </w:div>
            <w:div w:id="58595344">
              <w:marLeft w:val="0"/>
              <w:marRight w:val="0"/>
              <w:marTop w:val="0"/>
              <w:marBottom w:val="0"/>
              <w:divBdr>
                <w:top w:val="none" w:sz="0" w:space="0" w:color="auto"/>
                <w:left w:val="none" w:sz="0" w:space="0" w:color="auto"/>
                <w:bottom w:val="none" w:sz="0" w:space="0" w:color="auto"/>
                <w:right w:val="none" w:sz="0" w:space="0" w:color="auto"/>
              </w:divBdr>
            </w:div>
            <w:div w:id="984896634">
              <w:marLeft w:val="0"/>
              <w:marRight w:val="0"/>
              <w:marTop w:val="0"/>
              <w:marBottom w:val="0"/>
              <w:divBdr>
                <w:top w:val="none" w:sz="0" w:space="0" w:color="auto"/>
                <w:left w:val="none" w:sz="0" w:space="0" w:color="auto"/>
                <w:bottom w:val="none" w:sz="0" w:space="0" w:color="auto"/>
                <w:right w:val="none" w:sz="0" w:space="0" w:color="auto"/>
              </w:divBdr>
            </w:div>
            <w:div w:id="1797218578">
              <w:marLeft w:val="0"/>
              <w:marRight w:val="0"/>
              <w:marTop w:val="0"/>
              <w:marBottom w:val="0"/>
              <w:divBdr>
                <w:top w:val="none" w:sz="0" w:space="0" w:color="auto"/>
                <w:left w:val="none" w:sz="0" w:space="0" w:color="auto"/>
                <w:bottom w:val="none" w:sz="0" w:space="0" w:color="auto"/>
                <w:right w:val="none" w:sz="0" w:space="0" w:color="auto"/>
              </w:divBdr>
            </w:div>
            <w:div w:id="144779801">
              <w:marLeft w:val="0"/>
              <w:marRight w:val="0"/>
              <w:marTop w:val="0"/>
              <w:marBottom w:val="0"/>
              <w:divBdr>
                <w:top w:val="none" w:sz="0" w:space="0" w:color="auto"/>
                <w:left w:val="none" w:sz="0" w:space="0" w:color="auto"/>
                <w:bottom w:val="none" w:sz="0" w:space="0" w:color="auto"/>
                <w:right w:val="none" w:sz="0" w:space="0" w:color="auto"/>
              </w:divBdr>
            </w:div>
          </w:divsChild>
        </w:div>
        <w:div w:id="1113786373">
          <w:marLeft w:val="0"/>
          <w:marRight w:val="0"/>
          <w:marTop w:val="0"/>
          <w:marBottom w:val="0"/>
          <w:divBdr>
            <w:top w:val="none" w:sz="0" w:space="0" w:color="auto"/>
            <w:left w:val="none" w:sz="0" w:space="0" w:color="auto"/>
            <w:bottom w:val="none" w:sz="0" w:space="0" w:color="auto"/>
            <w:right w:val="none" w:sz="0" w:space="0" w:color="auto"/>
          </w:divBdr>
          <w:divsChild>
            <w:div w:id="1236552301">
              <w:marLeft w:val="0"/>
              <w:marRight w:val="0"/>
              <w:marTop w:val="0"/>
              <w:marBottom w:val="0"/>
              <w:divBdr>
                <w:top w:val="none" w:sz="0" w:space="0" w:color="auto"/>
                <w:left w:val="none" w:sz="0" w:space="0" w:color="auto"/>
                <w:bottom w:val="none" w:sz="0" w:space="0" w:color="auto"/>
                <w:right w:val="none" w:sz="0" w:space="0" w:color="auto"/>
              </w:divBdr>
            </w:div>
            <w:div w:id="1731951960">
              <w:marLeft w:val="0"/>
              <w:marRight w:val="0"/>
              <w:marTop w:val="0"/>
              <w:marBottom w:val="0"/>
              <w:divBdr>
                <w:top w:val="none" w:sz="0" w:space="0" w:color="auto"/>
                <w:left w:val="none" w:sz="0" w:space="0" w:color="auto"/>
                <w:bottom w:val="none" w:sz="0" w:space="0" w:color="auto"/>
                <w:right w:val="none" w:sz="0" w:space="0" w:color="auto"/>
              </w:divBdr>
            </w:div>
            <w:div w:id="975796240">
              <w:marLeft w:val="0"/>
              <w:marRight w:val="0"/>
              <w:marTop w:val="0"/>
              <w:marBottom w:val="0"/>
              <w:divBdr>
                <w:top w:val="none" w:sz="0" w:space="0" w:color="auto"/>
                <w:left w:val="none" w:sz="0" w:space="0" w:color="auto"/>
                <w:bottom w:val="none" w:sz="0" w:space="0" w:color="auto"/>
                <w:right w:val="none" w:sz="0" w:space="0" w:color="auto"/>
              </w:divBdr>
            </w:div>
            <w:div w:id="824856667">
              <w:marLeft w:val="0"/>
              <w:marRight w:val="0"/>
              <w:marTop w:val="0"/>
              <w:marBottom w:val="0"/>
              <w:divBdr>
                <w:top w:val="none" w:sz="0" w:space="0" w:color="auto"/>
                <w:left w:val="none" w:sz="0" w:space="0" w:color="auto"/>
                <w:bottom w:val="none" w:sz="0" w:space="0" w:color="auto"/>
                <w:right w:val="none" w:sz="0" w:space="0" w:color="auto"/>
              </w:divBdr>
            </w:div>
            <w:div w:id="1319919925">
              <w:marLeft w:val="0"/>
              <w:marRight w:val="0"/>
              <w:marTop w:val="0"/>
              <w:marBottom w:val="0"/>
              <w:divBdr>
                <w:top w:val="none" w:sz="0" w:space="0" w:color="auto"/>
                <w:left w:val="none" w:sz="0" w:space="0" w:color="auto"/>
                <w:bottom w:val="none" w:sz="0" w:space="0" w:color="auto"/>
                <w:right w:val="none" w:sz="0" w:space="0" w:color="auto"/>
              </w:divBdr>
            </w:div>
          </w:divsChild>
        </w:div>
        <w:div w:id="749037545">
          <w:marLeft w:val="0"/>
          <w:marRight w:val="0"/>
          <w:marTop w:val="0"/>
          <w:marBottom w:val="0"/>
          <w:divBdr>
            <w:top w:val="none" w:sz="0" w:space="0" w:color="auto"/>
            <w:left w:val="none" w:sz="0" w:space="0" w:color="auto"/>
            <w:bottom w:val="none" w:sz="0" w:space="0" w:color="auto"/>
            <w:right w:val="none" w:sz="0" w:space="0" w:color="auto"/>
          </w:divBdr>
        </w:div>
        <w:div w:id="1822504477">
          <w:marLeft w:val="0"/>
          <w:marRight w:val="0"/>
          <w:marTop w:val="0"/>
          <w:marBottom w:val="0"/>
          <w:divBdr>
            <w:top w:val="none" w:sz="0" w:space="0" w:color="auto"/>
            <w:left w:val="none" w:sz="0" w:space="0" w:color="auto"/>
            <w:bottom w:val="none" w:sz="0" w:space="0" w:color="auto"/>
            <w:right w:val="none" w:sz="0" w:space="0" w:color="auto"/>
          </w:divBdr>
        </w:div>
      </w:divsChild>
    </w:div>
    <w:div w:id="2081097810">
      <w:bodyDiv w:val="1"/>
      <w:marLeft w:val="0"/>
      <w:marRight w:val="0"/>
      <w:marTop w:val="0"/>
      <w:marBottom w:val="0"/>
      <w:divBdr>
        <w:top w:val="none" w:sz="0" w:space="0" w:color="auto"/>
        <w:left w:val="none" w:sz="0" w:space="0" w:color="auto"/>
        <w:bottom w:val="none" w:sz="0" w:space="0" w:color="auto"/>
        <w:right w:val="none" w:sz="0" w:space="0" w:color="auto"/>
      </w:divBdr>
      <w:divsChild>
        <w:div w:id="514929787">
          <w:marLeft w:val="0"/>
          <w:marRight w:val="0"/>
          <w:marTop w:val="0"/>
          <w:marBottom w:val="0"/>
          <w:divBdr>
            <w:top w:val="none" w:sz="0" w:space="0" w:color="auto"/>
            <w:left w:val="none" w:sz="0" w:space="0" w:color="auto"/>
            <w:bottom w:val="none" w:sz="0" w:space="0" w:color="auto"/>
            <w:right w:val="none" w:sz="0" w:space="0" w:color="auto"/>
          </w:divBdr>
          <w:divsChild>
            <w:div w:id="255871262">
              <w:marLeft w:val="0"/>
              <w:marRight w:val="0"/>
              <w:marTop w:val="0"/>
              <w:marBottom w:val="0"/>
              <w:divBdr>
                <w:top w:val="none" w:sz="0" w:space="0" w:color="auto"/>
                <w:left w:val="none" w:sz="0" w:space="0" w:color="auto"/>
                <w:bottom w:val="none" w:sz="0" w:space="0" w:color="auto"/>
                <w:right w:val="none" w:sz="0" w:space="0" w:color="auto"/>
              </w:divBdr>
              <w:divsChild>
                <w:div w:id="1873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005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801ca020d8d711eb9f09e7df20500045"/>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yperlink" TargetMode="External" Target="https://www.e-tar.lt/portal/legalAct.html?documentId=8dcc66700aa711e9a5eaf2cd290f1944"/>
  <Relationship Id="rId8" Type="http://schemas.openxmlformats.org/officeDocument/2006/relationships/hyperlink" TargetMode="External" Target="https://www.e-tar.lt/portal/legalAct.html?documentId=d16aac50abdd11e6b844f0f29024f5ac"/>
  <Relationship Id="rId9" Type="http://schemas.openxmlformats.org/officeDocument/2006/relationships/hyperlink" TargetMode="External" Target="https://www.e-tar.lt/portal/legalAct.html?documentId=cbbdab3079fa11e8ae2bfd1913d66d57"/>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60bd55593fec4b4d8059d4b06f9eae4d" PartId="6ffe7a71098c46e7adcd9bdc1f7e2035"/>
  <Part Type="pastraipa" DocPartId="e5f98e542bfe4a0faccfa218f9d73093" PartId="79096e6b6c214949a45bddef7f4981cc"/>
</Parts>
</file>

<file path=customXml/itemProps1.xml><?xml version="1.0" encoding="utf-8"?>
<ds:datastoreItem xmlns:ds="http://schemas.openxmlformats.org/officeDocument/2006/customXml" ds:itemID="{10C55DD5-AA2A-43A2-B7D3-32ACA26493E7}">
  <ds:schemaRefs>
    <ds:schemaRef ds:uri="http://schemas.openxmlformats.org/officeDocument/2006/bibliography"/>
  </ds:schemaRefs>
</ds:datastoreItem>
</file>

<file path=customXml/itemProps2.xml><?xml version="1.0" encoding="utf-8"?>
<ds:datastoreItem xmlns:ds="http://schemas.openxmlformats.org/officeDocument/2006/customXml" ds:itemID="{D5DB4C29-947B-4D2F-82E5-59300B8B18F9}">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2989</Words>
  <Characters>20744</Characters>
  <Application>Microsoft Office Word</Application>
  <DocSecurity>4</DocSecurity>
  <Lines>531</Lines>
  <Paragraphs>202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23531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Simona Mikalauskaitė</dc:creator>
  <lastModifiedBy>adlibuser</lastModifiedBy>
  <dcterms:modified xsi:type="dcterms:W3CDTF">2026-03-05T11:33:00Z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e96ab93,38bfa53a,44120ca8</vt:lpwstr>
  </property>
  <property fmtid="{D5CDD505-2E9C-101B-9397-08002B2CF9AE}" pid="3" name="ClassificationContentMarkingFooterFontProps">
    <vt:lpwstr>#000000,10,Aptos</vt:lpwstr>
  </property>
  <property fmtid="{D5CDD505-2E9C-101B-9397-08002B2CF9AE}" pid="4" name="ClassificationContentMarkingFooterText">
    <vt:lpwstr>Socialinės apsaugos ir darbo ministerija bei pavaldžios įstaigos | Viešam naudojimui</vt:lpwstr>
  </property>
</Properties>
</file>