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Metadata/LabelInfo.xml" ContentType="application/vnd.ms-office.classificationlabel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microsoft.com/office/2020/02/relationships/classificationlabels" Target="docMetadata/LabelInfo.xml"/>
  <Relationship Id="rId6"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lentele"/>
        <w:tag w:val="part_f8824589ac424de3b2a7441f2cbd496d"/>
        <w:lock w:val="sdtLocked"/>
        <w:richText/>
      </w:sdtPr>
      <w:sdtContent>
        <w:p>
          <w:pPr>
            <w:tabs>
              <w:tab w:val="center" w:pos="4819"/>
              <w:tab w:val="right" w:pos="9638"/>
            </w:tabs>
            <w:jc w:val="center"/>
            <w:rPr>
              <w:sz w:val="22"/>
              <w:szCs w:val="22"/>
            </w:rPr>
          </w:pPr>
          <w:r>
            <w:rPr>
              <w:sz w:val="22"/>
              <w:szCs w:val="22"/>
            </w:rPr>
            <w:fldChar w:fldCharType="begin" w:fldLock="1"/>
          </w:r>
          <w:r>
            <w:rPr>
              <w:sz w:val="22"/>
              <w:szCs w:val="22"/>
            </w:rPr>
            <w:instrText>PAGE   \* MERGEFORMAT</w:instrText>
          </w:r>
          <w:r>
            <w:rPr>
              <w:sz w:val="22"/>
              <w:szCs w:val="22"/>
            </w:rPr>
            <w:fldChar w:fldCharType="separate"/>
          </w:r>
          <w:r>
            <w:rPr>
              <w:sz w:val="22"/>
              <w:szCs w:val="22"/>
            </w:rPr>
            <w:t>2</w:t>
          </w:r>
          <w:r>
            <w:rPr>
              <w:sz w:val="22"/>
              <w:szCs w:val="22"/>
            </w:rPr>
            <w:fldChar w:fldCharType="end"/>
          </w:r>
        </w:p>
        <w:p>
          <w:pPr>
            <w:tabs>
              <w:tab w:val="center" w:pos="4819"/>
              <w:tab w:val="right" w:pos="9638"/>
            </w:tabs>
            <w:rPr>
              <w:sz w:val="22"/>
              <w:szCs w:val="22"/>
            </w:rPr>
          </w:pPr>
        </w:p>
        <w:p>
          <w:pPr>
            <w:jc w:val="center"/>
            <w:rPr>
              <w:b/>
              <w:bCs/>
              <w:szCs w:val="24"/>
              <w:lang w:val="es-ES" w:bidi="lt-LT"/>
            </w:rPr>
          </w:pPr>
          <w:r>
            <w:rPr>
              <w:b/>
              <w:szCs w:val="24"/>
            </w:rPr>
            <w:t>DIREKTYVOS (ES) 2019/1158 IR</w:t>
          </w:r>
          <w:r>
            <w:rPr>
              <w:b/>
              <w:szCs w:val="24"/>
              <w:lang w:bidi="lt-LT"/>
            </w:rPr>
            <w:t xml:space="preserve"> </w:t>
          </w:r>
          <w:r>
            <w:rPr>
              <w:b/>
              <w:bCs/>
              <w:szCs w:val="24"/>
              <w:lang w:val="es-ES" w:bidi="lt-LT"/>
            </w:rPr>
            <w:t>NACIONALINIŲ TEISĖS AKTŲ ATITIKTIES LENTELĖ</w:t>
          </w:r>
        </w:p>
        <w:p>
          <w:pPr>
            <w:jc w:val="center"/>
            <w:rPr>
              <w:color w:val="000000"/>
              <w:szCs w:val="24"/>
              <w:lang w:eastAsia="lt-LT"/>
            </w:rPr>
          </w:pPr>
        </w:p>
        <w:tbl>
          <w:tblPr>
            <w:tblW w:w="147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61"/>
            <w:gridCol w:w="8013"/>
            <w:gridCol w:w="1763"/>
          </w:tblGrid>
          <w:tr>
            <w:trPr>
              <w:trHeight w:val="699"/>
            </w:trPr>
            <w:tc>
              <w:tcPr>
                <w:tcW w:w="4961" w:type="dxa"/>
              </w:tcPr>
              <w:p>
                <w:pPr>
                  <w:jc w:val="both"/>
                  <w:rPr>
                    <w:b/>
                    <w:szCs w:val="24"/>
                  </w:rPr>
                </w:pPr>
                <w:r>
                  <w:rPr>
                    <w:b/>
                    <w:szCs w:val="24"/>
                  </w:rPr>
                  <w:t xml:space="preserve">2019 m. birželio 20 d. Europos Parlamento ir Tarybos direktyva </w:t>
                </w:r>
                <w:fldSimple w:instr="HYPERLINK http://eur-lex.europa.eu/legal-content/LIT/TXT/?uri=CELEX:32019L1158&amp;locale=lt \t _blank">
                  <w:r>
                    <w:rPr>
                      <w:b/>
                      <w:szCs w:val="24"/>
                      <w:u w:val="single"/>
                      <w:color w:val="0000FF" w:themeColor="hyperlink"/>
                    </w:rPr>
                    <w:t>(ES) 2019/1158</w:t>
                  </w:r>
                </w:fldSimple>
                <w:r>
                  <w:rPr>
                    <w:b/>
                    <w:szCs w:val="24"/>
                  </w:rPr>
                  <w:t xml:space="preserve"> dėl tėvų ir prižiūrinčiųjų asmenų profesinio ir asmeninio gyvenimo pusiausvyros, kuria panaikinama tarybos direktyva </w:t>
                </w:r>
                <w:fldSimple w:instr="HYPERLINK http://eur-lex.europa.eu/legal-content/LIT/TXT/?uri=CELEX:32010L0018&amp;locale=lt \t _blank">
                  <w:r>
                    <w:rPr>
                      <w:b/>
                      <w:szCs w:val="24"/>
                      <w:u w:val="single"/>
                      <w:color w:val="0000FF" w:themeColor="hyperlink"/>
                    </w:rPr>
                    <w:t>2010/18/ES</w:t>
                  </w:r>
                </w:fldSimple>
              </w:p>
            </w:tc>
            <w:tc>
              <w:tcPr>
                <w:tcW w:w="8013" w:type="dxa"/>
              </w:tcPr>
              <w:p>
                <w:pPr>
                  <w:rPr>
                    <w:b/>
                    <w:bCs/>
                    <w:szCs w:val="24"/>
                  </w:rPr>
                </w:pPr>
                <w:r>
                  <w:rPr>
                    <w:b/>
                    <w:bCs/>
                    <w:szCs w:val="24"/>
                  </w:rPr>
                  <w:t>1. Lietuvos Respublikos lygių galimybių įstatymo Nr. IX-1826 pakeitimo įstatymo projektas (toliau - Projektas)</w:t>
                </w:r>
              </w:p>
              <w:p>
                <w:pPr>
                  <w:rPr>
                    <w:szCs w:val="24"/>
                  </w:rPr>
                </w:pPr>
              </w:p>
              <w:p>
                <w:pPr>
                  <w:rPr>
                    <w:color w:val="000000"/>
                    <w:szCs w:val="24"/>
                  </w:rPr>
                </w:pPr>
                <w:r>
                  <w:rPr>
                    <w:color w:val="000000"/>
                    <w:szCs w:val="24"/>
                  </w:rPr>
                  <w:t>2. Lietuvos Respublikos valstybinės darbo inspekcijos įstatymas Nr.  IX-1768 (Suvestinė redakcija nuo 2022-05-01 iki 2024-06-30)</w:t>
                </w:r>
              </w:p>
              <w:p>
                <w:pPr>
                  <w:jc w:val="center"/>
                  <w:rPr>
                    <w:b/>
                    <w:color w:val="000000"/>
                    <w:szCs w:val="24"/>
                  </w:rPr>
                </w:pPr>
              </w:p>
            </w:tc>
            <w:tc>
              <w:tcPr>
                <w:tcW w:w="1763" w:type="dxa"/>
              </w:tcPr>
              <w:p>
                <w:pPr>
                  <w:jc w:val="center"/>
                  <w:rPr>
                    <w:b/>
                    <w:szCs w:val="24"/>
                  </w:rPr>
                </w:pPr>
                <w:r>
                  <w:rPr>
                    <w:b/>
                    <w:bCs/>
                    <w:color w:val="000000"/>
                    <w:szCs w:val="24"/>
                  </w:rPr>
                  <w:t xml:space="preserve">Europos Sąjungos teisės akto perkėlimo (įgyvendinimo) lygis </w:t>
                </w:r>
              </w:p>
            </w:tc>
          </w:tr>
          <w:tr>
            <w:tc>
              <w:tcPr>
                <w:tcW w:w="4961" w:type="dxa"/>
              </w:tcPr>
              <w:p>
                <w:pPr>
                  <w:jc w:val="both"/>
                  <w:rPr>
                    <w:b/>
                    <w:bCs/>
                    <w:szCs w:val="24"/>
                  </w:rPr>
                </w:pPr>
                <w:r>
                  <w:rPr>
                    <w:b/>
                    <w:bCs/>
                    <w:szCs w:val="24"/>
                  </w:rPr>
                  <w:t>15 straipsnis</w:t>
                </w:r>
              </w:p>
              <w:p>
                <w:pPr>
                  <w:ind w:firstLine="62"/>
                  <w:jc w:val="both"/>
                  <w:rPr>
                    <w:b/>
                    <w:bCs/>
                    <w:szCs w:val="24"/>
                  </w:rPr>
                </w:pPr>
                <w:r>
                  <w:rPr>
                    <w:b/>
                    <w:bCs/>
                    <w:szCs w:val="24"/>
                  </w:rPr>
                  <w:t>Lygybės įstaigos</w:t>
                </w:r>
              </w:p>
              <w:p>
                <w:pPr>
                  <w:jc w:val="both"/>
                  <w:rPr>
                    <w:szCs w:val="24"/>
                  </w:rPr>
                </w:pPr>
                <w:r>
                  <w:rPr>
                    <w:szCs w:val="24"/>
                  </w:rPr>
                  <w:t xml:space="preserve">Nedarant poveikio darbo inspekcijų ar kitų įstaigų, užtikrinančių darbuotojų teisių taikymą, įskaitant socialinius partnerius, kompetencijai, valstybės narės užtikrina, kad vienodam požiūriui į visus asmenis, nediskriminuojant dėl lyties, skatinti, analizuoti, stebėti ir remti pagal Direktyvos </w:t>
                </w:r>
                <w:fldSimple w:instr="HYPERLINK http://eur-lex.europa.eu/legal-content/LIT/TXT/?uri=CELEX:32006L0054&amp;locale=lt \t _blank">
                  <w:r>
                    <w:rPr>
                      <w:szCs w:val="24"/>
                      <w:u w:val="single"/>
                      <w:color w:val="0000FF" w:themeColor="hyperlink"/>
                    </w:rPr>
                    <w:t>2006/54/EB</w:t>
                  </w:r>
                </w:fldSimple>
                <w:r>
                  <w:rPr>
                    <w:szCs w:val="24"/>
                  </w:rPr>
                  <w:t xml:space="preserve"> 20 straipsnį paskirta įstaiga ar įstaigos būtų kompetentinga (-os) sprendžiant klausimus, susijusius su diskriminacija, kuriems taikoma ši direktyva.</w:t>
                </w:r>
              </w:p>
            </w:tc>
            <w:tc>
              <w:tcPr>
                <w:tcW w:w="8013" w:type="dxa"/>
              </w:tcPr>
              <w:p>
                <w:pPr>
                  <w:jc w:val="both"/>
                  <w:rPr>
                    <w:b/>
                    <w:bCs/>
                    <w:szCs w:val="24"/>
                  </w:rPr>
                </w:pPr>
                <w:r>
                  <w:rPr>
                    <w:b/>
                    <w:bCs/>
                    <w:szCs w:val="24"/>
                  </w:rPr>
                  <w:t>Projektas</w:t>
                </w:r>
              </w:p>
              <w:p>
                <w:pPr>
                  <w:jc w:val="both"/>
                  <w:rPr>
                    <w:b/>
                    <w:bCs/>
                    <w:szCs w:val="24"/>
                  </w:rPr>
                </w:pPr>
                <w:r>
                  <w:rPr>
                    <w:b/>
                    <w:bCs/>
                    <w:szCs w:val="24"/>
                  </w:rPr>
                  <w:t>8 straipsnis. Darbdavio pareiga įgyvendinti lygias galimybes darbe, valstybės tarnyboje</w:t>
                </w:r>
              </w:p>
              <w:p>
                <w:pPr>
                  <w:jc w:val="both"/>
                  <w:rPr>
                    <w:b/>
                    <w:bCs/>
                    <w:szCs w:val="24"/>
                  </w:rPr>
                </w:pPr>
                <w:r>
                  <w:rPr>
                    <w:b/>
                    <w:bCs/>
                    <w:szCs w:val="24"/>
                  </w:rPr>
                  <w:t>Įgyvendindamas lygias galimybes, darbdavys privalo:</w:t>
                </w:r>
              </w:p>
              <w:p>
                <w:pPr>
                  <w:jc w:val="both"/>
                  <w:rPr>
                    <w:b/>
                    <w:bCs/>
                    <w:szCs w:val="24"/>
                  </w:rPr>
                </w:pPr>
                <w:r>
                  <w:rPr>
                    <w:b/>
                    <w:bCs/>
                    <w:szCs w:val="24"/>
                  </w:rPr>
                  <w:t>[...]</w:t>
                </w:r>
              </w:p>
              <w:p>
                <w:pPr>
                  <w:jc w:val="both"/>
                  <w:rPr>
                    <w:b/>
                    <w:bCs/>
                    <w:szCs w:val="24"/>
                  </w:rPr>
                </w:pPr>
                <w:r>
                  <w:rPr>
                    <w:b/>
                    <w:bCs/>
                    <w:szCs w:val="24"/>
                  </w:rPr>
                  <w:t>8) imtis priemonių, kad darbuotojai ar valstybės tarnautojai darbo vietoje nebūtų diskriminuojami dėl nėštumo ir gimdymo atostogų, tėvystės atostogų, atostogų vaikui prižiūrėti, papildomų poilsio dienų darbuotojams, auginantiems vaikus, nemokamų atostogų suteikimo ir darbo laiko režimo pasirinkimo.</w:t>
                </w:r>
              </w:p>
              <w:p>
                <w:pPr>
                  <w:jc w:val="both"/>
                  <w:rPr>
                    <w:szCs w:val="24"/>
                  </w:rPr>
                </w:pPr>
              </w:p>
              <w:p>
                <w:pPr>
                  <w:jc w:val="both"/>
                  <w:rPr>
                    <w:b/>
                    <w:bCs/>
                    <w:szCs w:val="24"/>
                  </w:rPr>
                </w:pPr>
                <w:r>
                  <w:rPr>
                    <w:b/>
                    <w:bCs/>
                    <w:szCs w:val="24"/>
                  </w:rPr>
                  <w:t>22 straipsnis. Lygių galimybių pažeidimas</w:t>
                </w:r>
              </w:p>
              <w:p>
                <w:pPr>
                  <w:jc w:val="both"/>
                  <w:rPr>
                    <w:b/>
                    <w:bCs/>
                    <w:szCs w:val="24"/>
                  </w:rPr>
                </w:pPr>
                <w:r>
                  <w:rPr>
                    <w:b/>
                    <w:bCs/>
                    <w:szCs w:val="24"/>
                  </w:rPr>
                  <w:t>Lygių galimybių pažeidimu laikomas šiame įstatyme nustatytų pareigų nevykdymas ar netinkamas jų vykdymas, draudimų nesilaikymas.</w:t>
                </w:r>
              </w:p>
              <w:p>
                <w:pPr>
                  <w:jc w:val="both"/>
                  <w:rPr>
                    <w:b/>
                    <w:bCs/>
                    <w:szCs w:val="24"/>
                  </w:rPr>
                </w:pPr>
              </w:p>
              <w:p>
                <w:pPr>
                  <w:jc w:val="both"/>
                  <w:rPr>
                    <w:b/>
                    <w:szCs w:val="24"/>
                  </w:rPr>
                </w:pPr>
                <w:r>
                  <w:rPr>
                    <w:b/>
                    <w:szCs w:val="24"/>
                  </w:rPr>
                  <w:t xml:space="preserve">23 straipsnis. Asmens, kurio lygios galimybės galimai pažeistos, teisės </w:t>
                </w:r>
              </w:p>
              <w:p>
                <w:pPr>
                  <w:jc w:val="both"/>
                  <w:rPr>
                    <w:b/>
                    <w:szCs w:val="24"/>
                  </w:rPr>
                </w:pPr>
                <w:r>
                  <w:rPr>
                    <w:b/>
                    <w:szCs w:val="24"/>
                  </w:rPr>
                  <w:t xml:space="preserve">1. Asmuo, manantis, kad yra pažeistos jo lygios galimybės, turi teisę kreiptis į lygių galimybių kontrolierių ir šio įstatymo VI skyriuje nustatyta tvarka pateikti skundą. </w:t>
                </w:r>
              </w:p>
              <w:p>
                <w:pPr>
                  <w:jc w:val="both"/>
                  <w:rPr>
                    <w:b/>
                    <w:bCs/>
                    <w:szCs w:val="24"/>
                  </w:rPr>
                </w:pPr>
                <w:r>
                  <w:rPr>
                    <w:b/>
                    <w:bCs/>
                    <w:szCs w:val="24"/>
                  </w:rPr>
                  <w:t>[...]</w:t>
                </w:r>
              </w:p>
              <w:p>
                <w:pPr>
                  <w:jc w:val="both"/>
                  <w:rPr>
                    <w:b/>
                    <w:bCs/>
                    <w:szCs w:val="24"/>
                  </w:rPr>
                </w:pPr>
                <w:r>
                  <w:rPr>
                    <w:b/>
                    <w:bCs/>
                    <w:szCs w:val="24"/>
                  </w:rPr>
                  <w:t>4. Asmens kreipimasis į lygių galimybių kontrolierių neatima iš asmens teisės kreiptis į teismą ir ginti savo teises jame, taip pat reikalauti iš kaltų asmenų atlyginti turtinę ir neturtinę žalą įstatymų nustatyta tvarka.</w:t>
                </w:r>
              </w:p>
              <w:p>
                <w:pPr>
                  <w:jc w:val="both"/>
                  <w:rPr>
                    <w:b/>
                    <w:bCs/>
                    <w:szCs w:val="24"/>
                  </w:rPr>
                </w:pPr>
                <w:r>
                  <w:rPr>
                    <w:b/>
                    <w:bCs/>
                    <w:szCs w:val="24"/>
                  </w:rPr>
                  <w:t>[...]</w:t>
                </w:r>
              </w:p>
              <w:p>
                <w:pPr>
                  <w:jc w:val="both"/>
                  <w:rPr>
                    <w:szCs w:val="24"/>
                  </w:rPr>
                </w:pPr>
              </w:p>
              <w:p>
                <w:pPr>
                  <w:jc w:val="both"/>
                  <w:rPr>
                    <w:b/>
                    <w:bCs/>
                    <w:szCs w:val="24"/>
                  </w:rPr>
                </w:pPr>
              </w:p>
              <w:p>
                <w:pPr>
                  <w:jc w:val="both"/>
                  <w:rPr>
                    <w:b/>
                    <w:szCs w:val="24"/>
                  </w:rPr>
                </w:pPr>
                <w:r>
                  <w:rPr>
                    <w:b/>
                    <w:szCs w:val="24"/>
                  </w:rPr>
                  <w:t xml:space="preserve">13 straipsnis. Lygių galimybių kontrolierius </w:t>
                </w:r>
              </w:p>
              <w:p>
                <w:pPr>
                  <w:jc w:val="both"/>
                  <w:rPr>
                    <w:b/>
                    <w:szCs w:val="24"/>
                  </w:rPr>
                </w:pPr>
                <w:r>
                  <w:rPr>
                    <w:b/>
                    <w:szCs w:val="24"/>
                  </w:rPr>
                  <w:t xml:space="preserve">1. Lygių galimybių kontrolierius yra nepriklausomas nuo valstybės ir savivaldybių institucijų bei įstaigų, pareigūnų ar kitų asmenų ir pagal kompetenciją veikia savarankiškai. Lygių galimybių kontrolieriui negali būti daromas joks politinis, ekonominis, psichologinis, socialinis spaudimas ar kitoks neteisėtas poveikis, kuris galėtų turėti įtakos jo sprendimams. </w:t>
                </w:r>
              </w:p>
              <w:p>
                <w:pPr>
                  <w:jc w:val="both"/>
                  <w:rPr>
                    <w:b/>
                    <w:szCs w:val="24"/>
                  </w:rPr>
                </w:pPr>
                <w:r>
                  <w:rPr>
                    <w:b/>
                    <w:szCs w:val="24"/>
                  </w:rPr>
                  <w:t>2. Lygių galimybių kontrolierius yra valstybės pareigūnas.</w:t>
                </w:r>
              </w:p>
              <w:p>
                <w:pPr>
                  <w:jc w:val="both"/>
                  <w:rPr>
                    <w:b/>
                    <w:szCs w:val="24"/>
                  </w:rPr>
                </w:pPr>
                <w:r>
                  <w:rPr>
                    <w:b/>
                    <w:szCs w:val="24"/>
                  </w:rPr>
                  <w:t xml:space="preserve">3. Lygių galimybių kontrolierius savo veikloje yra objektyvus ir, spręsdamas jo kompetencijai priskirtus klausimus, vienodai (lygiai teisingai) priima sprendimus, užtikrindamas lygias galimybes. </w:t>
                </w:r>
              </w:p>
              <w:p>
                <w:pPr>
                  <w:jc w:val="both"/>
                  <w:rPr>
                    <w:b/>
                    <w:szCs w:val="24"/>
                  </w:rPr>
                </w:pPr>
                <w:r>
                  <w:rPr>
                    <w:b/>
                    <w:szCs w:val="24"/>
                  </w:rPr>
                  <w:t>4. Lygių galimybių kontrolierius:</w:t>
                </w:r>
              </w:p>
              <w:p>
                <w:pPr>
                  <w:jc w:val="both"/>
                  <w:rPr>
                    <w:b/>
                    <w:szCs w:val="24"/>
                  </w:rPr>
                </w:pPr>
                <w:r>
                  <w:rPr>
                    <w:b/>
                    <w:szCs w:val="24"/>
                  </w:rPr>
                  <w:t xml:space="preserve">1)sprendžia jo kompetencijai priskirtus klausimus ir atsako už Lygių galimybių kontrolieriaus tarnybos veiklą: jai nustatytų veiklos tikslų pasiekimą, veiklos planavimą ir organizavimą bei funkcijų atlikimą, laikantis įstatymų ir kitų teisės aktų; </w:t>
                </w:r>
              </w:p>
              <w:p>
                <w:pPr>
                  <w:jc w:val="both"/>
                  <w:rPr>
                    <w:b/>
                    <w:szCs w:val="24"/>
                  </w:rPr>
                </w:pPr>
                <w:r>
                  <w:rPr>
                    <w:b/>
                    <w:szCs w:val="24"/>
                  </w:rPr>
                  <w:t xml:space="preserve">2)atstovauja Lygių galimybių kontrolieriaus tarnybai Lietuvos Respublikos ir užsienio valstybių institucijose bei įstaigose, tarptautinėse ir Europos Sąjungos institucijose bei jų darbo (valdymo) organuose; </w:t>
                </w:r>
              </w:p>
              <w:p>
                <w:pPr>
                  <w:jc w:val="both"/>
                  <w:rPr>
                    <w:b/>
                    <w:szCs w:val="24"/>
                  </w:rPr>
                </w:pPr>
                <w:r>
                  <w:rPr>
                    <w:b/>
                    <w:szCs w:val="24"/>
                  </w:rPr>
                  <w:t>3) vykdo šio įstatymo įgyvendinimo priežiūrą ir Jungtinių Tautų asmenų su negalia teisių konvencijos įgyvendinimo kontrolę;</w:t>
                </w:r>
              </w:p>
              <w:p>
                <w:pPr>
                  <w:jc w:val="both"/>
                  <w:rPr>
                    <w:b/>
                    <w:szCs w:val="24"/>
                  </w:rPr>
                </w:pPr>
                <w:r>
                  <w:rPr>
                    <w:b/>
                    <w:szCs w:val="24"/>
                  </w:rPr>
                  <w:t xml:space="preserve">4) tvirtina Komisijos nuostatus; </w:t>
                </w:r>
              </w:p>
              <w:p>
                <w:pPr>
                  <w:jc w:val="both"/>
                  <w:rPr>
                    <w:b/>
                    <w:szCs w:val="24"/>
                  </w:rPr>
                </w:pPr>
                <w:r>
                  <w:rPr>
                    <w:b/>
                    <w:szCs w:val="24"/>
                  </w:rPr>
                  <w:t>5) siūlo Seimui, Vyriausybei ir (ar) Lietuvos Respublikos Prezidentui kreiptis į Lietuvos Respublikos Konstitucinį Teismą, kad jis ištirtų, ar teisės aktai, susiję su lygių galimybių užtikrinimu, atitinka Konstituciją ir įstatymus;</w:t>
                </w:r>
              </w:p>
              <w:p>
                <w:pPr>
                  <w:jc w:val="both"/>
                  <w:rPr>
                    <w:b/>
                    <w:szCs w:val="24"/>
                  </w:rPr>
                </w:pPr>
                <w:r>
                  <w:rPr>
                    <w:b/>
                    <w:szCs w:val="24"/>
                  </w:rPr>
                  <w:t xml:space="preserve">6) gina viešąjį interesą lygių galimybių srityje teisme Lietuvos Respublikos civilinio proceso kodekso arba Lietuvos Respublikos administracinių bylų teisenos įstatymo nustatyta tvarka; </w:t>
                </w:r>
              </w:p>
              <w:p>
                <w:pPr>
                  <w:jc w:val="both"/>
                  <w:rPr>
                    <w:b/>
                    <w:szCs w:val="24"/>
                  </w:rPr>
                </w:pPr>
                <w:r>
                  <w:rPr>
                    <w:b/>
                    <w:szCs w:val="24"/>
                  </w:rPr>
                  <w:t>7) gali su pareiškimu kreiptis į administracinį teismą, prašydamas ištirti, ar norminis administracinis aktas (ar jo dalis), konkrečios bendrijos, politinės partijos, politinės organizacijos ar asociacijos priimtas bendro pobūdžio teisės aktas atitinka šį įstatymą ar Moterų ir vyrų lygių galimybių įstatymą;</w:t>
                </w:r>
              </w:p>
              <w:p>
                <w:pPr>
                  <w:jc w:val="both"/>
                  <w:rPr>
                    <w:b/>
                    <w:szCs w:val="24"/>
                  </w:rPr>
                </w:pPr>
                <w:r>
                  <w:rPr>
                    <w:b/>
                    <w:szCs w:val="24"/>
                  </w:rPr>
                  <w:t>8) įstatymų, reglamentuojančių išankstinį ginčų nagrinėjimą ne teismo tvarka, nustatyta tvarka gali pateikti išvadą dėl lygių galimybių pažeidimo išankstinio ginčų nagrinėjimo ne teismo tvarka institucijoms ir (ar) gauti informaciją iš jų apie jų nagrinėjamus ar išnagrinėtus skundus (prašymus), susijusius su lygiomis galimybėmis;</w:t>
                </w:r>
              </w:p>
              <w:p>
                <w:pPr>
                  <w:jc w:val="both"/>
                  <w:rPr>
                    <w:b/>
                    <w:szCs w:val="24"/>
                  </w:rPr>
                </w:pPr>
                <w:r>
                  <w:rPr>
                    <w:b/>
                    <w:szCs w:val="24"/>
                  </w:rPr>
                  <w:t xml:space="preserve">9) nagrinėja asmenų skundus; </w:t>
                </w:r>
              </w:p>
              <w:p>
                <w:pPr>
                  <w:jc w:val="both"/>
                  <w:rPr>
                    <w:b/>
                    <w:szCs w:val="24"/>
                  </w:rPr>
                </w:pPr>
                <w:r>
                  <w:rPr>
                    <w:b/>
                    <w:szCs w:val="24"/>
                  </w:rPr>
                  <w:t xml:space="preserve">10) gali atlikti taikinimo procedūrą; </w:t>
                </w:r>
              </w:p>
              <w:p>
                <w:pPr>
                  <w:jc w:val="both"/>
                  <w:rPr>
                    <w:b/>
                    <w:szCs w:val="24"/>
                  </w:rPr>
                </w:pPr>
                <w:r>
                  <w:rPr>
                    <w:b/>
                    <w:szCs w:val="24"/>
                  </w:rPr>
                  <w:t>11) gali pradėti lygių galimybių pažeidimo tyrimą savo iniciatyva, nustatęs šio pažeidimo požymius visuomenės informavimo priemonėse ar kitur;</w:t>
                </w:r>
              </w:p>
              <w:p>
                <w:pPr>
                  <w:jc w:val="both"/>
                  <w:rPr>
                    <w:b/>
                    <w:szCs w:val="24"/>
                  </w:rPr>
                </w:pPr>
                <w:r>
                  <w:rPr>
                    <w:b/>
                    <w:szCs w:val="24"/>
                  </w:rPr>
                  <w:t>12)konsultuoja asmenis, patyrusius priekabiavimą, seksualinį priekabiavimą, dėl galimų jų teisių gynimo būdų;</w:t>
                </w:r>
              </w:p>
              <w:p>
                <w:pPr>
                  <w:jc w:val="both"/>
                  <w:rPr>
                    <w:b/>
                    <w:szCs w:val="24"/>
                  </w:rPr>
                </w:pPr>
                <w:r>
                  <w:rPr>
                    <w:b/>
                    <w:szCs w:val="24"/>
                  </w:rPr>
                  <w:t>13) vykdo informacinę, prevencinę ir švietėjišką veiklą lygių galimybių srityje;</w:t>
                </w:r>
              </w:p>
              <w:p>
                <w:pPr>
                  <w:jc w:val="both"/>
                  <w:rPr>
                    <w:b/>
                    <w:szCs w:val="24"/>
                  </w:rPr>
                </w:pPr>
                <w:r>
                  <w:rPr>
                    <w:b/>
                    <w:szCs w:val="24"/>
                  </w:rPr>
                  <w:t>14) savo iniciatyva atlieka nepriklausomus socialinius, visuomenės nuostatų tyrimus, rengia diskriminacijos apraiškų ir lygių galimybių užtikrinimo apžvalgas;</w:t>
                </w:r>
              </w:p>
              <w:p>
                <w:pPr>
                  <w:jc w:val="both"/>
                  <w:rPr>
                    <w:b/>
                    <w:szCs w:val="24"/>
                  </w:rPr>
                </w:pPr>
                <w:r>
                  <w:rPr>
                    <w:b/>
                    <w:szCs w:val="24"/>
                  </w:rPr>
                  <w:t>15) rengia ir skelbia nepriklausomas diskriminacijos apraiškų Lietuvos Respublikoje apžvalgas, ataskaitas dėl lygių galimybių ir diskriminacijos padėties, įskaitant ne rečiau kaip kas 4 metus skelbiamą vieną ar kelias ataskaitas dėl lygių galimybių ir diskriminacijos, kurioje (kuriose) pateikiamos rekomendacijos, kaip gerinti padėtį, susijusią su asmenų lygybe ir vienodu požiūriu į juos be diskriminacijos visoje Lietuvos Respublikos teritorijoje;</w:t>
                </w:r>
              </w:p>
              <w:p>
                <w:pPr>
                  <w:jc w:val="both"/>
                  <w:rPr>
                    <w:b/>
                    <w:szCs w:val="24"/>
                  </w:rPr>
                </w:pPr>
                <w:r>
                  <w:rPr>
                    <w:b/>
                    <w:szCs w:val="24"/>
                  </w:rPr>
                  <w:t>16) teikia išvadas ir (ar) rekomendacijas</w:t>
                </w:r>
                <w:r>
                  <w:rPr>
                    <w:bCs/>
                    <w:szCs w:val="24"/>
                  </w:rPr>
                  <w:t xml:space="preserve"> </w:t>
                </w:r>
                <w:r>
                  <w:rPr>
                    <w:b/>
                    <w:szCs w:val="24"/>
                  </w:rPr>
                  <w:t>dėl šio įstatymo įgyvendinimo, gali viešai jas skelbti ir prašyti nevyriausybinių organizacijų, kitų suinteresuotų subjektų pateikti nuomonę ir pasiūlymus dėl jų;</w:t>
                </w:r>
              </w:p>
              <w:p>
                <w:pPr>
                  <w:jc w:val="both"/>
                  <w:rPr>
                    <w:b/>
                    <w:szCs w:val="24"/>
                  </w:rPr>
                </w:pPr>
                <w:r>
                  <w:rPr>
                    <w:b/>
                    <w:szCs w:val="24"/>
                  </w:rPr>
                  <w:t>17) teikia pasiūlymus valstybės ir savivaldybių institucijoms bei įstaigoms dėl valstybės lygių galimybių politikos prioritetų ir (ar) teisės aktų lygių galimybių srityje tobulinimo;</w:t>
                </w:r>
              </w:p>
              <w:p>
                <w:pPr>
                  <w:jc w:val="both"/>
                  <w:rPr>
                    <w:b/>
                    <w:szCs w:val="24"/>
                  </w:rPr>
                </w:pPr>
                <w:r>
                  <w:rPr>
                    <w:b/>
                    <w:szCs w:val="24"/>
                  </w:rPr>
                  <w:t>18) pagal savo veiklos prioritetus vykdo kitą veiklą lygių galimybių užtikrinimo ir nediskriminavimo srityje;</w:t>
                </w:r>
              </w:p>
              <w:p>
                <w:pPr>
                  <w:jc w:val="both"/>
                  <w:rPr>
                    <w:b/>
                    <w:szCs w:val="24"/>
                  </w:rPr>
                </w:pPr>
                <w:r>
                  <w:rPr>
                    <w:b/>
                    <w:szCs w:val="24"/>
                  </w:rPr>
                  <w:t>19) laikydamasis įstatymuose ir kituose teisės aktuose, reglamentuojančiuose informacijos teikimą ir (ar) gavimą bei asmens duomenų apsaugą, nustatytų</w:t>
                </w:r>
                <w:r>
                  <w:rPr>
                    <w:bCs/>
                    <w:szCs w:val="24"/>
                  </w:rPr>
                  <w:t xml:space="preserve"> </w:t>
                </w:r>
                <w:r>
                  <w:rPr>
                    <w:b/>
                    <w:szCs w:val="24"/>
                  </w:rPr>
                  <w:t xml:space="preserve">reikalavimų, pagal kompetenciją teikia informaciją kitoms Lietuvos Respublikos ir užsienio valstybių institucijoms bei įstaigoms, tarptautinėms ir Europos Sąjungos institucijoms bei jų darbo (valdymo) organams, nevyriausybinėms organizacijoms; </w:t>
                </w:r>
              </w:p>
              <w:p>
                <w:pPr>
                  <w:jc w:val="both"/>
                  <w:rPr>
                    <w:b/>
                    <w:szCs w:val="24"/>
                  </w:rPr>
                </w:pPr>
                <w:r>
                  <w:rPr>
                    <w:b/>
                    <w:szCs w:val="24"/>
                  </w:rPr>
                  <w:t>20) kaupia, sistemina, analizuoja informaciją savo veiklos srityje, įskaitant lygybės duomenis;</w:t>
                </w:r>
              </w:p>
              <w:p>
                <w:pPr>
                  <w:jc w:val="both"/>
                  <w:rPr>
                    <w:b/>
                    <w:szCs w:val="24"/>
                  </w:rPr>
                </w:pPr>
                <w:r>
                  <w:rPr>
                    <w:b/>
                    <w:szCs w:val="24"/>
                  </w:rPr>
                  <w:t>21) atlieka kitas įstatymais ir kitais teisės aktais jam nustatytas funkcijas.</w:t>
                </w:r>
              </w:p>
              <w:p>
                <w:pPr>
                  <w:jc w:val="both"/>
                  <w:rPr>
                    <w:b/>
                    <w:szCs w:val="24"/>
                  </w:rPr>
                </w:pPr>
                <w:r>
                  <w:rPr>
                    <w:b/>
                    <w:szCs w:val="24"/>
                  </w:rPr>
                  <w:t>5. Jei lygių galimybių kontrolierius Lietuvos Respublikos viešųjų ir privačių interesų derinimo įstatymo nustatyta tvarka nusišalina nuo tarnybinių pareigų atlikimo, apie viešųjų ir privačių interesų konfliktą informuodamas ir pareiškimą apie nusišalinimą pateikdamas Seimo valdybai, atostogauja, yra išvykęs į komandiruotę už Lietuvos Respublikos ribų ilgiau kaip vienai dienai arba yra laikinai nedarbingas ir dėl to laikinai negali eiti savo pareigų ar atlikti funkcijų, tuo laiku Seimo valdybos sprendimu jį pavaduoja vaiko teisių apsaugos kontrolierius, o jei jis negali, – Seimo kontrolierius.</w:t>
                </w:r>
              </w:p>
              <w:p>
                <w:pPr>
                  <w:jc w:val="both"/>
                  <w:rPr>
                    <w:szCs w:val="24"/>
                  </w:rPr>
                </w:pPr>
              </w:p>
              <w:p>
                <w:pPr>
                  <w:jc w:val="both"/>
                  <w:rPr>
                    <w:b/>
                    <w:bCs/>
                    <w:szCs w:val="24"/>
                  </w:rPr>
                </w:pPr>
                <w:r>
                  <w:rPr>
                    <w:b/>
                    <w:bCs/>
                    <w:color w:val="000000"/>
                    <w:szCs w:val="24"/>
                  </w:rPr>
                  <w:t xml:space="preserve">Lietuvos Respublikos valstybinės darbo inspekcijos įstatymas Nr.  IX-1768 </w:t>
                </w:r>
              </w:p>
              <w:p>
                <w:pPr>
                  <w:jc w:val="both"/>
                  <w:rPr>
                    <w:b/>
                    <w:szCs w:val="24"/>
                  </w:rPr>
                </w:pPr>
                <w:r>
                  <w:rPr>
                    <w:b/>
                    <w:szCs w:val="24"/>
                  </w:rPr>
                  <w:t>4 straipsnis. Valstybinės darbo inspekcijos kompetencija</w:t>
                </w:r>
              </w:p>
              <w:p>
                <w:pPr>
                  <w:jc w:val="both"/>
                  <w:rPr>
                    <w:szCs w:val="24"/>
                  </w:rPr>
                </w:pPr>
                <w:r>
                  <w:rPr>
                    <w:szCs w:val="24"/>
                  </w:rPr>
                  <w:t>Valstybinės darbo inspekcijos kompetencijai priskiriama nelaimingų atsitikimų darbe, profesinių ligų, darbuotojų saugos ir sveikatos, norminių darbo teisės aktų pažeidimų prevencija ir Lietuvos Respublikos darbo kodekso, darbuotojų saugą ir sveikatą bei darbo santykius reglamentuojančių įstatymų ir kitų norminių teisės aktų laikymosi</w:t>
                </w:r>
                <w:r>
                  <w:rPr>
                    <w:b/>
                    <w:bCs/>
                    <w:szCs w:val="24"/>
                  </w:rPr>
                  <w:t> </w:t>
                </w:r>
                <w:r>
                  <w:rPr>
                    <w:szCs w:val="24"/>
                  </w:rPr>
                  <w:t>kontrolė įmonėse, įstaigose, organizacijose ar kitose organizacinėse struktūrose, nepaisant jų nuosavybės formos, rūšies, veiklos pobūdžio, taip pat tais atvejais, kai darbdavys yra fizinis asmuo (toliau – darbdaviai),</w:t>
                </w:r>
                <w:r>
                  <w:rPr>
                    <w:b/>
                    <w:bCs/>
                    <w:szCs w:val="24"/>
                  </w:rPr>
                  <w:t> </w:t>
                </w:r>
                <w:r>
                  <w:rPr>
                    <w:szCs w:val="24"/>
                  </w:rPr>
                  <w:t>ir tais atvejais, kai savarankišką veiklą vykdo savarankiškai dirbantys asmenys, jeigu jiems taikomi darbuotojų saugos ir sveikatos norminių teisės aktų reikalavimai (toliau – savarankiškai dirbantys asmenys).</w:t>
                </w:r>
              </w:p>
              <w:p>
                <w:pPr>
                  <w:rPr>
                    <w:szCs w:val="24"/>
                    <w:lang w:eastAsia="lt-LT"/>
                  </w:rPr>
                </w:pPr>
                <w:r>
                  <w:rPr>
                    <w:i/>
                    <w:iCs/>
                    <w:sz w:val="20"/>
                    <w:lang w:eastAsia="lt-LT"/>
                  </w:rPr>
                  <w:t>Straipsnio pakeitimai:</w:t>
                </w:r>
              </w:p>
              <w:p>
                <w:pPr>
                  <w:rPr>
                    <w:sz w:val="20"/>
                    <w:lang w:eastAsia="lt-LT"/>
                  </w:rPr>
                </w:pPr>
                <w:r>
                  <w:rPr>
                    <w:i/>
                    <w:iCs/>
                    <w:sz w:val="20"/>
                    <w:lang w:eastAsia="lt-LT"/>
                  </w:rPr>
                  <w:t>Nr. </w:t>
                </w:r>
                <w:hyperlink r:id="rId10" w:history="1">
                  <w:r>
                    <w:rPr>
                      <w:i/>
                      <w:iCs/>
                      <w:color w:val="0000FF"/>
                      <w:sz w:val="20"/>
                      <w:u w:val="single"/>
                      <w:lang w:eastAsia="lt-LT"/>
                    </w:rPr>
                    <w:t>XIII-1160</w:t>
                  </w:r>
                </w:hyperlink>
                <w:r>
                  <w:rPr>
                    <w:i/>
                    <w:iCs/>
                    <w:sz w:val="20"/>
                    <w:lang w:eastAsia="lt-LT"/>
                  </w:rPr>
                  <w:t>, 2018-05-17, paskelbta TAR 2018-05-28, i. k. 2018-08533</w:t>
                </w:r>
              </w:p>
              <w:p>
                <w:pPr>
                  <w:rPr>
                    <w:sz w:val="20"/>
                    <w:lang w:eastAsia="lt-LT"/>
                  </w:rPr>
                </w:pPr>
                <w:r>
                  <w:rPr>
                    <w:i/>
                    <w:iCs/>
                    <w:sz w:val="20"/>
                    <w:lang w:eastAsia="lt-LT"/>
                  </w:rPr>
                  <w:t>Nr. </w:t>
                </w:r>
                <w:hyperlink r:id="rId11" w:history="1">
                  <w:r>
                    <w:rPr>
                      <w:i/>
                      <w:iCs/>
                      <w:color w:val="0000FF"/>
                      <w:sz w:val="20"/>
                      <w:u w:val="single"/>
                      <w:lang w:eastAsia="lt-LT"/>
                    </w:rPr>
                    <w:t>XIV-552</w:t>
                  </w:r>
                </w:hyperlink>
                <w:r>
                  <w:rPr>
                    <w:i/>
                    <w:iCs/>
                    <w:sz w:val="20"/>
                    <w:lang w:eastAsia="lt-LT"/>
                  </w:rPr>
                  <w:t>, 2021-09-30, paskelbta TAR 2021-10-08, i. k. 2021-21219.</w:t>
                </w:r>
              </w:p>
              <w:p>
                <w:pPr>
                  <w:jc w:val="both"/>
                  <w:rPr>
                    <w:szCs w:val="24"/>
                  </w:rPr>
                </w:pPr>
              </w:p>
            </w:tc>
            <w:tc>
              <w:tcPr>
                <w:tcW w:w="1763" w:type="dxa"/>
              </w:tcPr>
              <w:p>
                <w:pPr>
                  <w:jc w:val="both"/>
                  <w:rPr>
                    <w:b/>
                    <w:bCs/>
                    <w:szCs w:val="24"/>
                  </w:rPr>
                </w:pPr>
                <w:r>
                  <w:rPr>
                    <w:b/>
                    <w:bCs/>
                    <w:szCs w:val="24"/>
                  </w:rPr>
                  <w:t>Visiškas</w:t>
                </w:r>
              </w:p>
            </w:tc>
          </w:tr>
          <w:tr>
            <w:tc>
              <w:tcPr>
                <w:tcW w:w="4961" w:type="dxa"/>
              </w:tcPr>
              <w:p>
                <w:pPr>
                  <w:jc w:val="both"/>
                  <w:rPr>
                    <w:b/>
                    <w:bCs/>
                    <w:szCs w:val="24"/>
                  </w:rPr>
                </w:pPr>
                <w:r>
                  <w:rPr>
                    <w:b/>
                    <w:bCs/>
                    <w:szCs w:val="24"/>
                  </w:rPr>
                  <w:t>17 straipsnis</w:t>
                </w:r>
              </w:p>
              <w:p>
                <w:pPr>
                  <w:jc w:val="both"/>
                  <w:rPr>
                    <w:b/>
                    <w:bCs/>
                    <w:szCs w:val="24"/>
                  </w:rPr>
                </w:pPr>
                <w:r>
                  <w:rPr>
                    <w:b/>
                    <w:bCs/>
                    <w:szCs w:val="24"/>
                  </w:rPr>
                  <w:t>Informacijos sklaida</w:t>
                </w:r>
              </w:p>
              <w:p>
                <w:pPr>
                  <w:jc w:val="both"/>
                  <w:rPr>
                    <w:szCs w:val="24"/>
                  </w:rPr>
                </w:pPr>
                <w:r>
                  <w:rPr>
                    <w:szCs w:val="24"/>
                  </w:rPr>
                  <w:t>Valstybės narės užtikrina, kad visoje jų teritorijoje darbuotojams ir darbdaviams, įskaitant tokius darbdavius, kaip MVĮ, visomis tinkamomis priemonėmis būtų pranešta apie nacionalines priemones, kuriomis ši direktyva perkeliama į nacionalinę teisę, ir jau galiojančias nuostatas, susijusias su šios direktyvos 1 straipsnyje nustatytu dalyku.</w:t>
                </w:r>
              </w:p>
            </w:tc>
            <w:tc>
              <w:tcPr>
                <w:tcW w:w="8013" w:type="dxa"/>
              </w:tcPr>
              <w:p>
                <w:pPr>
                  <w:jc w:val="both"/>
                  <w:rPr>
                    <w:b/>
                    <w:bCs/>
                    <w:szCs w:val="24"/>
                  </w:rPr>
                </w:pPr>
                <w:r>
                  <w:rPr>
                    <w:b/>
                    <w:bCs/>
                    <w:szCs w:val="24"/>
                  </w:rPr>
                  <w:t>Projektas</w:t>
                </w:r>
              </w:p>
              <w:p>
                <w:pPr>
                  <w:jc w:val="right"/>
                  <w:rPr>
                    <w:b/>
                    <w:bCs/>
                    <w:szCs w:val="24"/>
                    <w:lang w:bidi="lt-LT"/>
                  </w:rPr>
                </w:pPr>
                <w:r>
                  <w:rPr>
                    <w:b/>
                    <w:bCs/>
                    <w:szCs w:val="24"/>
                    <w:lang w:bidi="lt-LT"/>
                  </w:rPr>
                  <w:t>Lietuvos Respublikos</w:t>
                </w:r>
              </w:p>
              <w:p>
                <w:pPr>
                  <w:jc w:val="right"/>
                  <w:rPr>
                    <w:b/>
                    <w:bCs/>
                    <w:szCs w:val="24"/>
                    <w:lang w:bidi="lt-LT"/>
                  </w:rPr>
                </w:pPr>
                <w:r>
                  <w:rPr>
                    <w:b/>
                    <w:bCs/>
                    <w:szCs w:val="24"/>
                    <w:lang w:bidi="lt-LT"/>
                  </w:rPr>
                  <w:t>lygių galimybių įstatymo</w:t>
                </w:r>
              </w:p>
              <w:p>
                <w:pPr>
                  <w:jc w:val="right"/>
                  <w:rPr>
                    <w:b/>
                    <w:bCs/>
                    <w:szCs w:val="24"/>
                    <w:lang w:bidi="lt-LT"/>
                  </w:rPr>
                </w:pPr>
                <w:r>
                  <w:rPr>
                    <w:b/>
                    <w:bCs/>
                    <w:szCs w:val="24"/>
                    <w:lang w:bidi="lt-LT"/>
                  </w:rPr>
                  <w:t>priedas</w:t>
                </w:r>
              </w:p>
              <w:p>
                <w:pPr>
                  <w:ind w:firstLine="62"/>
                  <w:jc w:val="both"/>
                  <w:rPr>
                    <w:b/>
                    <w:bCs/>
                    <w:szCs w:val="24"/>
                    <w:lang w:bidi="lt-LT"/>
                  </w:rPr>
                </w:pPr>
              </w:p>
              <w:p>
                <w:pPr>
                  <w:jc w:val="center"/>
                  <w:rPr>
                    <w:b/>
                    <w:bCs/>
                    <w:szCs w:val="24"/>
                    <w:lang w:bidi="lt-LT"/>
                  </w:rPr>
                </w:pPr>
                <w:r>
                  <w:rPr>
                    <w:b/>
                    <w:bCs/>
                    <w:szCs w:val="24"/>
                    <w:lang w:bidi="lt-LT"/>
                  </w:rPr>
                  <w:t>ĮGYVENDINAMI EUROPOS SĄJUNGOS TEISĖS AKTAI</w:t>
                </w:r>
              </w:p>
              <w:p>
                <w:pPr>
                  <w:jc w:val="both"/>
                  <w:rPr>
                    <w:b/>
                    <w:bCs/>
                    <w:szCs w:val="24"/>
                  </w:rPr>
                </w:pPr>
              </w:p>
              <w:p>
                <w:pPr>
                  <w:jc w:val="both"/>
                  <w:rPr>
                    <w:b/>
                    <w:bCs/>
                    <w:sz w:val="22"/>
                    <w:szCs w:val="22"/>
                  </w:rPr>
                </w:pPr>
              </w:p>
              <w:p>
                <w:pPr>
                  <w:jc w:val="both"/>
                  <w:rPr>
                    <w:b/>
                    <w:bCs/>
                    <w:sz w:val="22"/>
                    <w:szCs w:val="22"/>
                  </w:rPr>
                </w:pPr>
                <w:r>
                  <w:rPr>
                    <w:b/>
                    <w:bCs/>
                    <w:sz w:val="22"/>
                    <w:szCs w:val="22"/>
                  </w:rPr>
                  <w:t>[...]</w:t>
                </w:r>
              </w:p>
              <w:p>
                <w:pPr>
                  <w:jc w:val="both"/>
                  <w:rPr>
                    <w:b/>
                    <w:bCs/>
                    <w:szCs w:val="24"/>
                    <w:lang w:bidi="lt-LT"/>
                  </w:rPr>
                </w:pPr>
                <w:r>
                  <w:rPr>
                    <w:b/>
                    <w:bCs/>
                    <w:szCs w:val="24"/>
                    <w:lang w:val="es-ES" w:bidi="lt-LT"/>
                  </w:rPr>
                  <w:t>7</w:t>
                </w:r>
                <w:r>
                  <w:rPr>
                    <w:b/>
                    <w:bCs/>
                    <w:szCs w:val="24"/>
                    <w:lang w:bidi="lt-LT"/>
                  </w:rPr>
                  <w:t xml:space="preserve">. 2019 m. birželio 20 d. Europos Parlamento ir Tarybos direktyva </w:t>
                </w:r>
                <w:fldSimple w:instr="HYPERLINK http://eur-lex.europa.eu/legal-content/LIT/TXT/?uri=CELEX:32019L1158&amp;locale=lt \t _blank">
                  <w:r>
                    <w:rPr>
                      <w:b/>
                      <w:bCs/>
                      <w:szCs w:val="24"/>
                      <w:lang w:bidi="lt-LT"/>
                      <w:u w:val="single"/>
                      <w:color w:val="0000FF" w:themeColor="hyperlink"/>
                    </w:rPr>
                    <w:t>(ES) 2019/1158</w:t>
                  </w:r>
                </w:fldSimple>
                <w:r>
                  <w:rPr>
                    <w:b/>
                    <w:bCs/>
                    <w:szCs w:val="24"/>
                    <w:lang w:bidi="lt-LT"/>
                  </w:rPr>
                  <w:t xml:space="preserve"> dėl tėvų ir prižiūrinčiųjų asmenų profesinio ir asmeninio gyvenimo pusiausvyros, kuria panaikinama Tarybos direktyva </w:t>
                </w:r>
                <w:fldSimple w:instr="HYPERLINK http://eur-lex.europa.eu/legal-content/LIT/TXT/?uri=CELEX:32010L0018&amp;locale=lt \t _blank">
                  <w:r>
                    <w:rPr>
                      <w:b/>
                      <w:bCs/>
                      <w:szCs w:val="24"/>
                      <w:lang w:bidi="lt-LT"/>
                      <w:u w:val="single"/>
                      <w:color w:val="0000FF" w:themeColor="hyperlink"/>
                    </w:rPr>
                    <w:t>2010/18/ES</w:t>
                  </w:r>
                </w:fldSimple>
                <w:r>
                  <w:rPr>
                    <w:b/>
                    <w:bCs/>
                    <w:szCs w:val="24"/>
                    <w:lang w:bidi="lt-LT"/>
                  </w:rPr>
                  <w:t>.</w:t>
                </w:r>
              </w:p>
              <w:p>
                <w:pPr>
                  <w:jc w:val="both"/>
                  <w:rPr>
                    <w:sz w:val="22"/>
                    <w:szCs w:val="22"/>
                  </w:rPr>
                </w:pPr>
                <w:r>
                  <w:rPr>
                    <w:sz w:val="22"/>
                    <w:szCs w:val="22"/>
                  </w:rPr>
                  <w:t>[...]</w:t>
                </w:r>
              </w:p>
              <w:p>
                <w:pPr>
                  <w:jc w:val="both"/>
                  <w:rPr>
                    <w:i/>
                    <w:szCs w:val="24"/>
                  </w:rPr>
                </w:pPr>
              </w:p>
              <w:p>
                <w:pPr>
                  <w:jc w:val="both"/>
                  <w:rPr>
                    <w:b/>
                    <w:bCs/>
                    <w:iCs/>
                    <w:szCs w:val="24"/>
                  </w:rPr>
                </w:pPr>
              </w:p>
              <w:p>
                <w:pPr>
                  <w:jc w:val="both"/>
                  <w:rPr>
                    <w:b/>
                    <w:szCs w:val="24"/>
                  </w:rPr>
                </w:pPr>
              </w:p>
            </w:tc>
            <w:tc>
              <w:tcPr>
                <w:tcW w:w="1763" w:type="dxa"/>
              </w:tcPr>
              <w:p>
                <w:pPr>
                  <w:jc w:val="both"/>
                  <w:rPr>
                    <w:b/>
                    <w:bCs/>
                    <w:szCs w:val="24"/>
                  </w:rPr>
                </w:pPr>
                <w:r>
                  <w:rPr>
                    <w:b/>
                    <w:bCs/>
                    <w:szCs w:val="24"/>
                  </w:rPr>
                  <w:t>Visiškas</w:t>
                </w:r>
              </w:p>
            </w:tc>
          </w:tr>
        </w:tbl>
        <w:p>
          <w:pPr>
            <w:spacing w:line="276" w:lineRule="auto"/>
            <w:jc w:val="both"/>
            <w:rPr>
              <w:szCs w:val="24"/>
            </w:rPr>
          </w:pPr>
        </w:p>
        <w:p>
          <w:pPr>
            <w:rPr>
              <w:sz w:val="18"/>
              <w:szCs w:val="18"/>
            </w:rPr>
          </w:pPr>
        </w:p>
      </w:sdtContent>
    </w:sdt>
    <w:sdt>
      <w:sdtPr>
        <w:alias w:val="pastraipa"/>
        <w:tag w:val="part_99cbb9482db741a984e3ee5796668fba"/>
        <w:lock w:val="sdtLocked"/>
        <w:richText/>
      </w:sdtPr>
      <w:sdtContent>
        <w:p>
          <w:pPr>
            <w:spacing w:line="276" w:lineRule="auto"/>
            <w:jc w:val="center"/>
            <w:rPr>
              <w:szCs w:val="24"/>
            </w:rPr>
          </w:pPr>
          <w:r>
            <w:rPr>
              <w:szCs w:val="24"/>
            </w:rPr>
            <w:t>_______________________________</w:t>
          </w:r>
        </w:p>
      </w:sdtContent>
    </w:sdt>
    <w:sectPr>
      <w:headerReference w:type="even" r:id="rId12"/>
      <w:headerReference w:type="default" r:id="rId13"/>
      <w:footerReference w:type="even" r:id="rId14"/>
      <w:footerReference w:type="default" r:id="rId15"/>
      <w:headerReference w:type="first" r:id="rId16"/>
      <w:footerReference w:type="first" r:id="rId17"/>
      <w:pgSz w:w="16838" w:h="11906" w:orient="landscape"/>
      <w:pgMar w:top="1701" w:right="1134" w:bottom="567" w:left="1134"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sz w:val="22"/>
          <w:szCs w:val="22"/>
        </w:rPr>
      </w:pPr>
      <w:r>
        <w:rPr>
          <w:sz w:val="22"/>
          <w:szCs w:val="22"/>
        </w:rPr>
        <w:separator/>
      </w:r>
    </w:p>
  </w:endnote>
  <w:endnote w:type="continuationSeparator" w:id="0">
    <w:p>
      <w:pPr>
        <w:rPr>
          <w:sz w:val="22"/>
          <w:szCs w:val="22"/>
        </w:rPr>
      </w:pPr>
      <w:r>
        <w:rPr>
          <w:sz w:val="22"/>
          <w:szCs w:val="22"/>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Aptos">
    <w:altName w:val="Arial"/>
    <w:charset w:val="00"/>
    <w:family w:val="swiss"/>
    <w:pitch w:val="variable"/>
    <w:sig w:usb0="20000287" w:usb1="00000003" w:usb2="00000000" w:usb3="00000000" w:csb0="0000019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 w:val="22"/>
        <w:szCs w:val="22"/>
      </w:rPr>
    </w:pPr>
    <w:r>
      <w:rPr>
        <w:sz w:val="22"/>
        <w:szCs w:val="22"/>
        <w:lang w:val="en-US"/>
      </w:rPr>
      <mc:AlternateContent>
        <mc:Choice Requires="wps">
          <w:drawing>
            <wp:anchor distT="0" distB="0" distL="0" distR="0" simplePos="0" relativeHeight="251659264" behindDoc="0" locked="0" layoutInCell="1" allowOverlap="1" wp14:anchorId="76862E7F" wp14:editId="6DF97D14">
              <wp:simplePos x="635" y="635"/>
              <wp:positionH relativeFrom="page">
                <wp:align>left</wp:align>
              </wp:positionH>
              <wp:positionV relativeFrom="page">
                <wp:align>bottom</wp:align>
              </wp:positionV>
              <wp:extent cx="4829175" cy="368935"/>
              <wp:effectExtent l="0" t="0" r="9525" b="0"/>
              <wp:wrapNone/>
              <wp:docPr id="1635404302" name="Text Box 5" descr="Socialinės apsaugos ir darbo ministerija bei pavaldžios įstaigos | Viešam naudojimui">
                <a:extLst xmlns:a="http://schemas.openxmlformats.org/drawingml/2006/main">
                  <a:ext uri="{5AE41FA2-C0FF-4470-9BD4-5FADCA87CBE2}">
                    <aclsh:classification xmlns:aclsh="http://schemas.microsoft.com/office/drawing/2020/classificationShape"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classificationOutcomeType="ftr"/>
                  </a:ext>
                </a:extLst>
              </wp:docPr>
              <wp:cNvGraphicFramePr/>
              <a:graphic xmlns:a="http://schemas.openxmlformats.org/drawingml/2006/main">
                <a:graphicData uri="http://schemas.microsoft.com/office/word/2010/wordprocessingShape">
                  <wps:wsp>
                    <wps:cNvSpPr txBox="1"/>
                    <wps:spPr>
                      <a:xfrm>
                        <a:off x="0" y="0"/>
                        <a:ext cx="4829175" cy="368935"/>
                      </a:xfrm>
                      <a:prstGeom prst="rect">
                        <a:avLst/>
                      </a:prstGeom>
                      <a:noFill/>
                      <a:ln>
                        <a:noFill/>
                      </a:ln>
                    </wps:spPr>
                    <wps:txbx>
                      <w:txbxContent>
                        <w:p>
                          <w:pPr>
                            <w:spacing w:line="276" w:lineRule="auto"/>
                            <w:rPr>
                              <w:rFonts w:ascii="Aptos" w:eastAsia="Aptos" w:hAnsi="Aptos" w:cs="Aptos"/>
                              <w:color w:val="000000"/>
                              <w:sz w:val="20"/>
                            </w:rPr>
                          </w:pPr>
                          <w:r>
                            <w:rPr>
                              <w:rFonts w:ascii="Aptos" w:eastAsia="Aptos" w:hAnsi="Aptos" w:cs="Aptos"/>
                              <w:color w:val="000000"/>
                              <w:sz w:val="20"/>
                            </w:rPr>
                            <w:t>Socialinės apsaugos ir darbo ministerija bei pavaldžios įstaigos | Viešam naudojimui</w:t>
                          </w:r>
                        </w:p>
                      </w:txbxContent>
                    </wps:txbx>
                    <wps:bodyPr rot="0" spcFirstLastPara="0" vertOverflow="overflow" horzOverflow="overflow" vert="horz" wrap="none" lIns="254000" tIns="0" rIns="0" bIns="190500" numCol="1" spcCol="0" rtlCol="0" fromWordArt="0" anchor="b" anchorCtr="0" forceAA="0" compatLnSpc="1">
                      <a:prstTxWarp prst="textNoShape">
                        <a:avLst/>
                      </a:prstTxWarp>
                      <a:spAutoFit/>
                    </wps:bodyPr>
                  </wps:wsp>
                </a:graphicData>
              </a:graphic>
            </wp:anchor>
          </w:drawing>
        </mc:Choice>
        <mc:Fallback>
          <w:pict>
            <v:shapetype w14:anchorId="76862E7F" id="_x0000_t202" coordsize="21600,21600" o:spt="202" path="m,l,21600r21600,l21600,xe">
              <v:stroke joinstyle="miter"/>
              <v:path gradientshapeok="t" o:connecttype="rect"/>
            </v:shapetype>
            <v:shape id="Text Box 5" o:spid="_x0000_s1026" type="#_x0000_t202" alt="Socialinės apsaugos ir darbo ministerija bei pavaldžios įstaigos | Viešam naudojimui" style="position:absolute;margin-left:0;margin-top:0;width:380.25pt;height:29.05pt;z-index:251659264;visibility:visible;mso-wrap-style:none;mso-wrap-distance-left:0;mso-wrap-distance-top:0;mso-wrap-distance-right:0;mso-wrap-distance-bottom:0;mso-position-horizontal:left;mso-position-horizontal-relative:page;mso-position-vertical:bottom;mso-position-vertical-relative:page;v-text-anchor:bottom"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VFtk8tgIAAP8EAAAOAAAAZHJzL2Uyb0RvYy54bWysVEtu2zAQ3RfoHQjuHcmynNhG5ECxo6JA kARw2qwpirIZiB+QtKX0c46ue4LeoKvkXh3SctqmXRXd0KOZ4cy8x3k+PetEg3bMWK5khodHMUZM UlVxuc7wu9tiMMHIOiIr0ijJMvzALD6bv3512uoZS9RGNRUzCIpIO2t1hjfO6VkUWbphgtgjpZmE YK2MIA4+zTqqDGmhumiiJI6Po1aZShtFmbXgXe6DeB7q1zWj7rquLXOoyTDM5sJpwln6M5qfktna EL3htB+D/MMUgnAJTZ9LLYkjaGv4H6UEp0ZZVbsjqkSk6ppTFjAAmmH8As1qQzQLWIAcq59psv+v LL3a3RjEK3i749E4jdNRnGAkiYC3umWdQ+eqQ2OMKmYp0LZSlJOGy8cvFhFtyXatLOIGVcSUCgku uXXM8HuCSsaRJjvSVE/fOSQ9foM14D79E3rP2dNXIqDNtlL3XGx54A7aXVrnWfSNA3sfx/lFOizy ZLCIi2KQpifxYHq+TAfjIl8u8snJ4vwi+exfMQq3wv2o1XYWgPk1COZKA0rXARgA6tO934LTd+tq I/wvvAaCOKzJw/Nq+EkoONNJMh2eABEUYqPjyXQ07rsebmtj3RumBPJGhg2sXkBFdjDUfsBDim8m VcGbJqxfI39zABLvCSj2I/phXVd2/dylqh4AjlH7bbaaFhx6XhLrboiB9QUEIEl3DUfdqDbDqrcw 2ijz4W9+nw9bBVGMWpBDhiXoFaPmrYRtS2AzYi+f8AWGORhlMIbTeOzjcisWCpQ2BNFrGkyf7JqD WRsl7kCxue8GISIp9MxweTAXbi9OUDxleR6SQCmauEu50tSX9mR5Jm+7O2J0T7eDh7pSB8GQ2QvW 97n+ptX51gH34Uk8sXs2e75BZWGV+n8EL+Nfv0PWz/+t+Q8AAAD//wMAUEsDBBQABgAIAAAAIQDk CcHz2wAAAAQBAAAPAAAAZHJzL2Rvd25yZXYueG1sTI/NbsIwEITvlXgHa5F6Kw5IpCiNgxD9Ua8N SPToxEscEe+G2ED69nV7aS8rjWY0822+Hl0nrjj4lknBfJaAQKrZtNQo2O9eH1YgfNBkdMeECr7Q w7qY3OU6M3yjD7yWoRGxhHymFdgQ+kxKX1t02s+4R4rekQenQ5RDI82gb7HcdXKRJKl0uqW4YHWP W4v1qbw4Benz28b2h/TzfFz4d1/xKZT8otT9dNw8gQg4hr8w/OBHdCgiU8UXMl50CuIj4fdG7zFN liAqBcvVHGSRy//wxTcAAAD//wMAUEsBAi0AFAAGAAgAAAAhALaDOJL+AAAA4QEAABMAAAAAAAAA AAAAAAAAAAAAAFtDb250ZW50X1R5cGVzXS54bWxQSwECLQAUAAYACAAAACEAOP0h/9YAAACUAQAA CwAAAAAAAAAAAAAAAAAvAQAAX3JlbHMvLnJlbHNQSwECLQAUAAYACAAAACEA1RbZPLYCAAD/BAAA DgAAAAAAAAAAAAAAAAAuAgAAZHJzL2Uyb0RvYy54bWxQSwECLQAUAAYACAAAACEA5AnB89sAAAAE AQAADwAAAAAAAAAAAAAAAAAQBQAAZHJzL2Rvd25yZXYueG1sUEsFBgAAAAAEAAQA8wAAABgGAAAA AA== " filled="f" stroked="f">
              <v:textbox style="mso-fit-shape-to-text:t" inset="20pt,0,0,15pt">
                <w:txbxContent>
                  <w:p w14:paraId="289E9CF5" w14:textId="67F82A55">
                    <w:pPr>
                      <w:spacing w:line="276"/>
                      <w:rPr>
                        <w:rFonts w:ascii="Aptos" w:hAnsi="Aptos" w:eastAsia="Aptos" w:cs="Aptos"/>
                        <w:color w:val="000000"/>
                        <w:sz w:val="20"/>
                      </w:rPr>
                    </w:pPr>
                    <w:r>
                      <w:rPr>
                        <w:rFonts w:ascii="Aptos" w:hAnsi="Aptos" w:eastAsia="Aptos" w:cs="Aptos"/>
                        <w:color w:val="000000"/>
                        <w:sz w:val="20"/>
                      </w:rPr>
                      <w:t>Socialinės apsaugos ir darbo ministerija bei pavaldžios įstaigos | Viešam naudojimui</w:t>
                    </w:r>
                  </w:p>
                </w:txbxContent>
              </v:textbox>
              <w10:wrap anchorx="page" anchory="page"/>
            </v:shape>
          </w:pict>
        </mc:Fallback>
      </mc:AlternateContent>
    </w: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 w:val="22"/>
        <w:szCs w:val="22"/>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 w:val="22"/>
        <w:szCs w:val="22"/>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sz w:val="22"/>
          <w:szCs w:val="22"/>
        </w:rPr>
      </w:pPr>
      <w:r>
        <w:rPr>
          <w:sz w:val="22"/>
          <w:szCs w:val="22"/>
        </w:rPr>
        <w:separator/>
      </w:r>
    </w:p>
  </w:footnote>
  <w:footnote w:type="continuationSeparator" w:id="0">
    <w:p>
      <w:pPr>
        <w:rPr>
          <w:sz w:val="22"/>
          <w:szCs w:val="22"/>
        </w:rPr>
      </w:pPr>
      <w:r>
        <w:rPr>
          <w:sz w:val="22"/>
          <w:szCs w:val="22"/>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 w:val="22"/>
        <w:szCs w:val="22"/>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21</w:t>
    </w:r>
    <w:r>
      <w:rPr>
        <w:szCs w:val="24"/>
      </w:rPr>
      <w:fldChar w:fldCharType="end"/>
    </w:r>
  </w:p>
  <w:p>
    <w:pPr>
      <w:tabs>
        <w:tab w:val="center" w:pos="4819"/>
        <w:tab w:val="right" w:pos="9638"/>
      </w:tabs>
      <w:rPr>
        <w:sz w:val="22"/>
        <w:szCs w:val="22"/>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 w:val="22"/>
        <w:szCs w:val="22"/>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hdrShapeDefaults>
    <o:shapedefaults v:ext="edit" spidmax="1228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A472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2289"/>
    <o:shapelayout v:ext="edit">
      <o:idmap v:ext="edit" data="1"/>
    </o:shapelayout>
  </w:shapeDefaults>
  <w:decimalSymbol w:val="."/>
  <w:listSeparator w:val=","/>
  <w15:docId w15:val="{8AC4016D-FE91-4121-891C-AAFEB26D5B60}"/>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35665963">
      <w:bodyDiv w:val="1"/>
      <w:marLeft w:val="0"/>
      <w:marRight w:val="0"/>
      <w:marTop w:val="0"/>
      <w:marBottom w:val="0"/>
      <w:divBdr>
        <w:top w:val="none" w:sz="0" w:space="0" w:color="auto"/>
        <w:left w:val="none" w:sz="0" w:space="0" w:color="auto"/>
        <w:bottom w:val="none" w:sz="0" w:space="0" w:color="auto"/>
        <w:right w:val="none" w:sz="0" w:space="0" w:color="auto"/>
      </w:divBdr>
      <w:divsChild>
        <w:div w:id="1024526490">
          <w:marLeft w:val="0"/>
          <w:marRight w:val="0"/>
          <w:marTop w:val="0"/>
          <w:marBottom w:val="0"/>
          <w:divBdr>
            <w:top w:val="none" w:sz="0" w:space="0" w:color="auto"/>
            <w:left w:val="none" w:sz="0" w:space="0" w:color="auto"/>
            <w:bottom w:val="none" w:sz="0" w:space="0" w:color="auto"/>
            <w:right w:val="none" w:sz="0" w:space="0" w:color="auto"/>
          </w:divBdr>
          <w:divsChild>
            <w:div w:id="1096748898">
              <w:marLeft w:val="0"/>
              <w:marRight w:val="0"/>
              <w:marTop w:val="0"/>
              <w:marBottom w:val="0"/>
              <w:divBdr>
                <w:top w:val="none" w:sz="0" w:space="0" w:color="auto"/>
                <w:left w:val="none" w:sz="0" w:space="0" w:color="auto"/>
                <w:bottom w:val="none" w:sz="0" w:space="0" w:color="auto"/>
                <w:right w:val="none" w:sz="0" w:space="0" w:color="auto"/>
              </w:divBdr>
            </w:div>
            <w:div w:id="646714023">
              <w:marLeft w:val="0"/>
              <w:marRight w:val="0"/>
              <w:marTop w:val="0"/>
              <w:marBottom w:val="0"/>
              <w:divBdr>
                <w:top w:val="none" w:sz="0" w:space="0" w:color="auto"/>
                <w:left w:val="none" w:sz="0" w:space="0" w:color="auto"/>
                <w:bottom w:val="none" w:sz="0" w:space="0" w:color="auto"/>
                <w:right w:val="none" w:sz="0" w:space="0" w:color="auto"/>
              </w:divBdr>
            </w:div>
            <w:div w:id="506409221">
              <w:marLeft w:val="0"/>
              <w:marRight w:val="0"/>
              <w:marTop w:val="0"/>
              <w:marBottom w:val="0"/>
              <w:divBdr>
                <w:top w:val="none" w:sz="0" w:space="0" w:color="auto"/>
                <w:left w:val="none" w:sz="0" w:space="0" w:color="auto"/>
                <w:bottom w:val="none" w:sz="0" w:space="0" w:color="auto"/>
                <w:right w:val="none" w:sz="0" w:space="0" w:color="auto"/>
              </w:divBdr>
            </w:div>
            <w:div w:id="766465760">
              <w:marLeft w:val="0"/>
              <w:marRight w:val="0"/>
              <w:marTop w:val="0"/>
              <w:marBottom w:val="0"/>
              <w:divBdr>
                <w:top w:val="none" w:sz="0" w:space="0" w:color="auto"/>
                <w:left w:val="none" w:sz="0" w:space="0" w:color="auto"/>
                <w:bottom w:val="none" w:sz="0" w:space="0" w:color="auto"/>
                <w:right w:val="none" w:sz="0" w:space="0" w:color="auto"/>
              </w:divBdr>
            </w:div>
            <w:div w:id="1865900346">
              <w:marLeft w:val="0"/>
              <w:marRight w:val="0"/>
              <w:marTop w:val="0"/>
              <w:marBottom w:val="0"/>
              <w:divBdr>
                <w:top w:val="none" w:sz="0" w:space="0" w:color="auto"/>
                <w:left w:val="none" w:sz="0" w:space="0" w:color="auto"/>
                <w:bottom w:val="none" w:sz="0" w:space="0" w:color="auto"/>
                <w:right w:val="none" w:sz="0" w:space="0" w:color="auto"/>
              </w:divBdr>
            </w:div>
            <w:div w:id="329528260">
              <w:marLeft w:val="0"/>
              <w:marRight w:val="0"/>
              <w:marTop w:val="0"/>
              <w:marBottom w:val="0"/>
              <w:divBdr>
                <w:top w:val="none" w:sz="0" w:space="0" w:color="auto"/>
                <w:left w:val="none" w:sz="0" w:space="0" w:color="auto"/>
                <w:bottom w:val="none" w:sz="0" w:space="0" w:color="auto"/>
                <w:right w:val="none" w:sz="0" w:space="0" w:color="auto"/>
              </w:divBdr>
            </w:div>
            <w:div w:id="2105177783">
              <w:marLeft w:val="0"/>
              <w:marRight w:val="0"/>
              <w:marTop w:val="0"/>
              <w:marBottom w:val="0"/>
              <w:divBdr>
                <w:top w:val="none" w:sz="0" w:space="0" w:color="auto"/>
                <w:left w:val="none" w:sz="0" w:space="0" w:color="auto"/>
                <w:bottom w:val="none" w:sz="0" w:space="0" w:color="auto"/>
                <w:right w:val="none" w:sz="0" w:space="0" w:color="auto"/>
              </w:divBdr>
            </w:div>
            <w:div w:id="18611641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3482868">
      <w:bodyDiv w:val="1"/>
      <w:marLeft w:val="0"/>
      <w:marRight w:val="0"/>
      <w:marTop w:val="0"/>
      <w:marBottom w:val="0"/>
      <w:divBdr>
        <w:top w:val="none" w:sz="0" w:space="0" w:color="auto"/>
        <w:left w:val="none" w:sz="0" w:space="0" w:color="auto"/>
        <w:bottom w:val="none" w:sz="0" w:space="0" w:color="auto"/>
        <w:right w:val="none" w:sz="0" w:space="0" w:color="auto"/>
      </w:divBdr>
    </w:div>
    <w:div w:id="56901073">
      <w:bodyDiv w:val="1"/>
      <w:marLeft w:val="0"/>
      <w:marRight w:val="0"/>
      <w:marTop w:val="0"/>
      <w:marBottom w:val="0"/>
      <w:divBdr>
        <w:top w:val="none" w:sz="0" w:space="0" w:color="auto"/>
        <w:left w:val="none" w:sz="0" w:space="0" w:color="auto"/>
        <w:bottom w:val="none" w:sz="0" w:space="0" w:color="auto"/>
        <w:right w:val="none" w:sz="0" w:space="0" w:color="auto"/>
      </w:divBdr>
    </w:div>
    <w:div w:id="91438378">
      <w:bodyDiv w:val="1"/>
      <w:marLeft w:val="0"/>
      <w:marRight w:val="0"/>
      <w:marTop w:val="0"/>
      <w:marBottom w:val="0"/>
      <w:divBdr>
        <w:top w:val="none" w:sz="0" w:space="0" w:color="auto"/>
        <w:left w:val="none" w:sz="0" w:space="0" w:color="auto"/>
        <w:bottom w:val="none" w:sz="0" w:space="0" w:color="auto"/>
        <w:right w:val="none" w:sz="0" w:space="0" w:color="auto"/>
      </w:divBdr>
      <w:divsChild>
        <w:div w:id="419251400">
          <w:marLeft w:val="0"/>
          <w:marRight w:val="0"/>
          <w:marTop w:val="0"/>
          <w:marBottom w:val="0"/>
          <w:divBdr>
            <w:top w:val="none" w:sz="0" w:space="0" w:color="auto"/>
            <w:left w:val="none" w:sz="0" w:space="0" w:color="auto"/>
            <w:bottom w:val="none" w:sz="0" w:space="0" w:color="auto"/>
            <w:right w:val="none" w:sz="0" w:space="0" w:color="auto"/>
          </w:divBdr>
        </w:div>
        <w:div w:id="1337808822">
          <w:marLeft w:val="0"/>
          <w:marRight w:val="0"/>
          <w:marTop w:val="0"/>
          <w:marBottom w:val="0"/>
          <w:divBdr>
            <w:top w:val="none" w:sz="0" w:space="0" w:color="auto"/>
            <w:left w:val="none" w:sz="0" w:space="0" w:color="auto"/>
            <w:bottom w:val="none" w:sz="0" w:space="0" w:color="auto"/>
            <w:right w:val="none" w:sz="0" w:space="0" w:color="auto"/>
          </w:divBdr>
        </w:div>
      </w:divsChild>
    </w:div>
    <w:div w:id="99224046">
      <w:bodyDiv w:val="1"/>
      <w:marLeft w:val="0"/>
      <w:marRight w:val="0"/>
      <w:marTop w:val="0"/>
      <w:marBottom w:val="0"/>
      <w:divBdr>
        <w:top w:val="none" w:sz="0" w:space="0" w:color="auto"/>
        <w:left w:val="none" w:sz="0" w:space="0" w:color="auto"/>
        <w:bottom w:val="none" w:sz="0" w:space="0" w:color="auto"/>
        <w:right w:val="none" w:sz="0" w:space="0" w:color="auto"/>
      </w:divBdr>
    </w:div>
    <w:div w:id="124201735">
      <w:bodyDiv w:val="1"/>
      <w:marLeft w:val="0"/>
      <w:marRight w:val="0"/>
      <w:marTop w:val="0"/>
      <w:marBottom w:val="0"/>
      <w:divBdr>
        <w:top w:val="none" w:sz="0" w:space="0" w:color="auto"/>
        <w:left w:val="none" w:sz="0" w:space="0" w:color="auto"/>
        <w:bottom w:val="none" w:sz="0" w:space="0" w:color="auto"/>
        <w:right w:val="none" w:sz="0" w:space="0" w:color="auto"/>
      </w:divBdr>
    </w:div>
    <w:div w:id="192890789">
      <w:bodyDiv w:val="1"/>
      <w:marLeft w:val="0"/>
      <w:marRight w:val="0"/>
      <w:marTop w:val="0"/>
      <w:marBottom w:val="0"/>
      <w:divBdr>
        <w:top w:val="none" w:sz="0" w:space="0" w:color="auto"/>
        <w:left w:val="none" w:sz="0" w:space="0" w:color="auto"/>
        <w:bottom w:val="none" w:sz="0" w:space="0" w:color="auto"/>
        <w:right w:val="none" w:sz="0" w:space="0" w:color="auto"/>
      </w:divBdr>
      <w:divsChild>
        <w:div w:id="412900852">
          <w:marLeft w:val="0"/>
          <w:marRight w:val="0"/>
          <w:marTop w:val="0"/>
          <w:marBottom w:val="0"/>
          <w:divBdr>
            <w:top w:val="none" w:sz="0" w:space="0" w:color="auto"/>
            <w:left w:val="none" w:sz="0" w:space="0" w:color="auto"/>
            <w:bottom w:val="none" w:sz="0" w:space="0" w:color="auto"/>
            <w:right w:val="none" w:sz="0" w:space="0" w:color="auto"/>
          </w:divBdr>
        </w:div>
      </w:divsChild>
    </w:div>
    <w:div w:id="196549540">
      <w:bodyDiv w:val="1"/>
      <w:marLeft w:val="0"/>
      <w:marRight w:val="0"/>
      <w:marTop w:val="0"/>
      <w:marBottom w:val="0"/>
      <w:divBdr>
        <w:top w:val="none" w:sz="0" w:space="0" w:color="auto"/>
        <w:left w:val="none" w:sz="0" w:space="0" w:color="auto"/>
        <w:bottom w:val="none" w:sz="0" w:space="0" w:color="auto"/>
        <w:right w:val="none" w:sz="0" w:space="0" w:color="auto"/>
      </w:divBdr>
      <w:divsChild>
        <w:div w:id="1963730049">
          <w:marLeft w:val="0"/>
          <w:marRight w:val="0"/>
          <w:marTop w:val="0"/>
          <w:marBottom w:val="0"/>
          <w:divBdr>
            <w:top w:val="none" w:sz="0" w:space="0" w:color="auto"/>
            <w:left w:val="none" w:sz="0" w:space="0" w:color="auto"/>
            <w:bottom w:val="none" w:sz="0" w:space="0" w:color="auto"/>
            <w:right w:val="none" w:sz="0" w:space="0" w:color="auto"/>
          </w:divBdr>
        </w:div>
      </w:divsChild>
    </w:div>
    <w:div w:id="208612295">
      <w:bodyDiv w:val="1"/>
      <w:marLeft w:val="0"/>
      <w:marRight w:val="0"/>
      <w:marTop w:val="0"/>
      <w:marBottom w:val="0"/>
      <w:divBdr>
        <w:top w:val="none" w:sz="0" w:space="0" w:color="auto"/>
        <w:left w:val="none" w:sz="0" w:space="0" w:color="auto"/>
        <w:bottom w:val="none" w:sz="0" w:space="0" w:color="auto"/>
        <w:right w:val="none" w:sz="0" w:space="0" w:color="auto"/>
      </w:divBdr>
    </w:div>
    <w:div w:id="221796628">
      <w:bodyDiv w:val="1"/>
      <w:marLeft w:val="0"/>
      <w:marRight w:val="0"/>
      <w:marTop w:val="0"/>
      <w:marBottom w:val="0"/>
      <w:divBdr>
        <w:top w:val="none" w:sz="0" w:space="0" w:color="auto"/>
        <w:left w:val="none" w:sz="0" w:space="0" w:color="auto"/>
        <w:bottom w:val="none" w:sz="0" w:space="0" w:color="auto"/>
        <w:right w:val="none" w:sz="0" w:space="0" w:color="auto"/>
      </w:divBdr>
      <w:divsChild>
        <w:div w:id="1384329173">
          <w:marLeft w:val="0"/>
          <w:marRight w:val="0"/>
          <w:marTop w:val="0"/>
          <w:marBottom w:val="0"/>
          <w:divBdr>
            <w:top w:val="none" w:sz="0" w:space="0" w:color="auto"/>
            <w:left w:val="none" w:sz="0" w:space="0" w:color="auto"/>
            <w:bottom w:val="none" w:sz="0" w:space="0" w:color="auto"/>
            <w:right w:val="none" w:sz="0" w:space="0" w:color="auto"/>
          </w:divBdr>
        </w:div>
        <w:div w:id="51320784">
          <w:marLeft w:val="0"/>
          <w:marRight w:val="0"/>
          <w:marTop w:val="0"/>
          <w:marBottom w:val="0"/>
          <w:divBdr>
            <w:top w:val="none" w:sz="0" w:space="0" w:color="auto"/>
            <w:left w:val="none" w:sz="0" w:space="0" w:color="auto"/>
            <w:bottom w:val="none" w:sz="0" w:space="0" w:color="auto"/>
            <w:right w:val="none" w:sz="0" w:space="0" w:color="auto"/>
          </w:divBdr>
        </w:div>
        <w:div w:id="106589479">
          <w:marLeft w:val="0"/>
          <w:marRight w:val="0"/>
          <w:marTop w:val="0"/>
          <w:marBottom w:val="0"/>
          <w:divBdr>
            <w:top w:val="none" w:sz="0" w:space="0" w:color="auto"/>
            <w:left w:val="none" w:sz="0" w:space="0" w:color="auto"/>
            <w:bottom w:val="none" w:sz="0" w:space="0" w:color="auto"/>
            <w:right w:val="none" w:sz="0" w:space="0" w:color="auto"/>
          </w:divBdr>
        </w:div>
      </w:divsChild>
    </w:div>
    <w:div w:id="274411131">
      <w:bodyDiv w:val="1"/>
      <w:marLeft w:val="0"/>
      <w:marRight w:val="0"/>
      <w:marTop w:val="0"/>
      <w:marBottom w:val="0"/>
      <w:divBdr>
        <w:top w:val="none" w:sz="0" w:space="0" w:color="auto"/>
        <w:left w:val="none" w:sz="0" w:space="0" w:color="auto"/>
        <w:bottom w:val="none" w:sz="0" w:space="0" w:color="auto"/>
        <w:right w:val="none" w:sz="0" w:space="0" w:color="auto"/>
      </w:divBdr>
      <w:divsChild>
        <w:div w:id="440537817">
          <w:marLeft w:val="0"/>
          <w:marRight w:val="0"/>
          <w:marTop w:val="0"/>
          <w:marBottom w:val="0"/>
          <w:divBdr>
            <w:top w:val="none" w:sz="0" w:space="0" w:color="auto"/>
            <w:left w:val="none" w:sz="0" w:space="0" w:color="auto"/>
            <w:bottom w:val="none" w:sz="0" w:space="0" w:color="auto"/>
            <w:right w:val="none" w:sz="0" w:space="0" w:color="auto"/>
          </w:divBdr>
          <w:divsChild>
            <w:div w:id="1269123795">
              <w:marLeft w:val="0"/>
              <w:marRight w:val="0"/>
              <w:marTop w:val="0"/>
              <w:marBottom w:val="0"/>
              <w:divBdr>
                <w:top w:val="none" w:sz="0" w:space="0" w:color="auto"/>
                <w:left w:val="none" w:sz="0" w:space="0" w:color="auto"/>
                <w:bottom w:val="none" w:sz="0" w:space="0" w:color="auto"/>
                <w:right w:val="none" w:sz="0" w:space="0" w:color="auto"/>
              </w:divBdr>
              <w:divsChild>
                <w:div w:id="8513804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99309679">
      <w:bodyDiv w:val="1"/>
      <w:marLeft w:val="0"/>
      <w:marRight w:val="0"/>
      <w:marTop w:val="0"/>
      <w:marBottom w:val="0"/>
      <w:divBdr>
        <w:top w:val="none" w:sz="0" w:space="0" w:color="auto"/>
        <w:left w:val="none" w:sz="0" w:space="0" w:color="auto"/>
        <w:bottom w:val="none" w:sz="0" w:space="0" w:color="auto"/>
        <w:right w:val="none" w:sz="0" w:space="0" w:color="auto"/>
      </w:divBdr>
    </w:div>
    <w:div w:id="354160611">
      <w:bodyDiv w:val="1"/>
      <w:marLeft w:val="0"/>
      <w:marRight w:val="0"/>
      <w:marTop w:val="0"/>
      <w:marBottom w:val="0"/>
      <w:divBdr>
        <w:top w:val="none" w:sz="0" w:space="0" w:color="auto"/>
        <w:left w:val="none" w:sz="0" w:space="0" w:color="auto"/>
        <w:bottom w:val="none" w:sz="0" w:space="0" w:color="auto"/>
        <w:right w:val="none" w:sz="0" w:space="0" w:color="auto"/>
      </w:divBdr>
      <w:divsChild>
        <w:div w:id="1853686127">
          <w:marLeft w:val="0"/>
          <w:marRight w:val="0"/>
          <w:marTop w:val="0"/>
          <w:marBottom w:val="0"/>
          <w:divBdr>
            <w:top w:val="none" w:sz="0" w:space="0" w:color="auto"/>
            <w:left w:val="none" w:sz="0" w:space="0" w:color="auto"/>
            <w:bottom w:val="none" w:sz="0" w:space="0" w:color="auto"/>
            <w:right w:val="none" w:sz="0" w:space="0" w:color="auto"/>
          </w:divBdr>
          <w:divsChild>
            <w:div w:id="1901625269">
              <w:marLeft w:val="0"/>
              <w:marRight w:val="0"/>
              <w:marTop w:val="0"/>
              <w:marBottom w:val="0"/>
              <w:divBdr>
                <w:top w:val="none" w:sz="0" w:space="0" w:color="auto"/>
                <w:left w:val="none" w:sz="0" w:space="0" w:color="auto"/>
                <w:bottom w:val="none" w:sz="0" w:space="0" w:color="auto"/>
                <w:right w:val="none" w:sz="0" w:space="0" w:color="auto"/>
              </w:divBdr>
            </w:div>
            <w:div w:id="1619141015">
              <w:marLeft w:val="0"/>
              <w:marRight w:val="0"/>
              <w:marTop w:val="0"/>
              <w:marBottom w:val="0"/>
              <w:divBdr>
                <w:top w:val="none" w:sz="0" w:space="0" w:color="auto"/>
                <w:left w:val="none" w:sz="0" w:space="0" w:color="auto"/>
                <w:bottom w:val="none" w:sz="0" w:space="0" w:color="auto"/>
                <w:right w:val="none" w:sz="0" w:space="0" w:color="auto"/>
              </w:divBdr>
            </w:div>
            <w:div w:id="6495525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56468425">
      <w:bodyDiv w:val="1"/>
      <w:marLeft w:val="0"/>
      <w:marRight w:val="0"/>
      <w:marTop w:val="0"/>
      <w:marBottom w:val="0"/>
      <w:divBdr>
        <w:top w:val="none" w:sz="0" w:space="0" w:color="auto"/>
        <w:left w:val="none" w:sz="0" w:space="0" w:color="auto"/>
        <w:bottom w:val="none" w:sz="0" w:space="0" w:color="auto"/>
        <w:right w:val="none" w:sz="0" w:space="0" w:color="auto"/>
      </w:divBdr>
      <w:divsChild>
        <w:div w:id="490946622">
          <w:marLeft w:val="0"/>
          <w:marRight w:val="0"/>
          <w:marTop w:val="0"/>
          <w:marBottom w:val="0"/>
          <w:divBdr>
            <w:top w:val="none" w:sz="0" w:space="0" w:color="auto"/>
            <w:left w:val="none" w:sz="0" w:space="0" w:color="auto"/>
            <w:bottom w:val="none" w:sz="0" w:space="0" w:color="auto"/>
            <w:right w:val="none" w:sz="0" w:space="0" w:color="auto"/>
          </w:divBdr>
        </w:div>
      </w:divsChild>
    </w:div>
    <w:div w:id="564029863">
      <w:bodyDiv w:val="1"/>
      <w:marLeft w:val="0"/>
      <w:marRight w:val="0"/>
      <w:marTop w:val="0"/>
      <w:marBottom w:val="0"/>
      <w:divBdr>
        <w:top w:val="none" w:sz="0" w:space="0" w:color="auto"/>
        <w:left w:val="none" w:sz="0" w:space="0" w:color="auto"/>
        <w:bottom w:val="none" w:sz="0" w:space="0" w:color="auto"/>
        <w:right w:val="none" w:sz="0" w:space="0" w:color="auto"/>
      </w:divBdr>
      <w:divsChild>
        <w:div w:id="1484464921">
          <w:marLeft w:val="0"/>
          <w:marRight w:val="0"/>
          <w:marTop w:val="0"/>
          <w:marBottom w:val="0"/>
          <w:divBdr>
            <w:top w:val="none" w:sz="0" w:space="0" w:color="auto"/>
            <w:left w:val="none" w:sz="0" w:space="0" w:color="auto"/>
            <w:bottom w:val="none" w:sz="0" w:space="0" w:color="auto"/>
            <w:right w:val="none" w:sz="0" w:space="0" w:color="auto"/>
          </w:divBdr>
        </w:div>
        <w:div w:id="158038908">
          <w:marLeft w:val="0"/>
          <w:marRight w:val="0"/>
          <w:marTop w:val="0"/>
          <w:marBottom w:val="0"/>
          <w:divBdr>
            <w:top w:val="none" w:sz="0" w:space="0" w:color="auto"/>
            <w:left w:val="none" w:sz="0" w:space="0" w:color="auto"/>
            <w:bottom w:val="none" w:sz="0" w:space="0" w:color="auto"/>
            <w:right w:val="none" w:sz="0" w:space="0" w:color="auto"/>
          </w:divBdr>
        </w:div>
        <w:div w:id="1912933154">
          <w:marLeft w:val="0"/>
          <w:marRight w:val="0"/>
          <w:marTop w:val="0"/>
          <w:marBottom w:val="0"/>
          <w:divBdr>
            <w:top w:val="none" w:sz="0" w:space="0" w:color="auto"/>
            <w:left w:val="none" w:sz="0" w:space="0" w:color="auto"/>
            <w:bottom w:val="none" w:sz="0" w:space="0" w:color="auto"/>
            <w:right w:val="none" w:sz="0" w:space="0" w:color="auto"/>
          </w:divBdr>
        </w:div>
        <w:div w:id="431054213">
          <w:marLeft w:val="0"/>
          <w:marRight w:val="0"/>
          <w:marTop w:val="0"/>
          <w:marBottom w:val="0"/>
          <w:divBdr>
            <w:top w:val="none" w:sz="0" w:space="0" w:color="auto"/>
            <w:left w:val="none" w:sz="0" w:space="0" w:color="auto"/>
            <w:bottom w:val="none" w:sz="0" w:space="0" w:color="auto"/>
            <w:right w:val="none" w:sz="0" w:space="0" w:color="auto"/>
          </w:divBdr>
        </w:div>
        <w:div w:id="1701734314">
          <w:marLeft w:val="0"/>
          <w:marRight w:val="0"/>
          <w:marTop w:val="0"/>
          <w:marBottom w:val="0"/>
          <w:divBdr>
            <w:top w:val="none" w:sz="0" w:space="0" w:color="auto"/>
            <w:left w:val="none" w:sz="0" w:space="0" w:color="auto"/>
            <w:bottom w:val="none" w:sz="0" w:space="0" w:color="auto"/>
            <w:right w:val="none" w:sz="0" w:space="0" w:color="auto"/>
          </w:divBdr>
        </w:div>
        <w:div w:id="49378995">
          <w:marLeft w:val="0"/>
          <w:marRight w:val="0"/>
          <w:marTop w:val="0"/>
          <w:marBottom w:val="0"/>
          <w:divBdr>
            <w:top w:val="none" w:sz="0" w:space="0" w:color="auto"/>
            <w:left w:val="none" w:sz="0" w:space="0" w:color="auto"/>
            <w:bottom w:val="none" w:sz="0" w:space="0" w:color="auto"/>
            <w:right w:val="none" w:sz="0" w:space="0" w:color="auto"/>
          </w:divBdr>
        </w:div>
        <w:div w:id="1714110678">
          <w:marLeft w:val="0"/>
          <w:marRight w:val="0"/>
          <w:marTop w:val="0"/>
          <w:marBottom w:val="0"/>
          <w:divBdr>
            <w:top w:val="none" w:sz="0" w:space="0" w:color="auto"/>
            <w:left w:val="none" w:sz="0" w:space="0" w:color="auto"/>
            <w:bottom w:val="none" w:sz="0" w:space="0" w:color="auto"/>
            <w:right w:val="none" w:sz="0" w:space="0" w:color="auto"/>
          </w:divBdr>
        </w:div>
        <w:div w:id="2026593311">
          <w:marLeft w:val="0"/>
          <w:marRight w:val="0"/>
          <w:marTop w:val="0"/>
          <w:marBottom w:val="0"/>
          <w:divBdr>
            <w:top w:val="none" w:sz="0" w:space="0" w:color="auto"/>
            <w:left w:val="none" w:sz="0" w:space="0" w:color="auto"/>
            <w:bottom w:val="none" w:sz="0" w:space="0" w:color="auto"/>
            <w:right w:val="none" w:sz="0" w:space="0" w:color="auto"/>
          </w:divBdr>
        </w:div>
      </w:divsChild>
    </w:div>
    <w:div w:id="570046701">
      <w:bodyDiv w:val="1"/>
      <w:marLeft w:val="0"/>
      <w:marRight w:val="0"/>
      <w:marTop w:val="0"/>
      <w:marBottom w:val="0"/>
      <w:divBdr>
        <w:top w:val="none" w:sz="0" w:space="0" w:color="auto"/>
        <w:left w:val="none" w:sz="0" w:space="0" w:color="auto"/>
        <w:bottom w:val="none" w:sz="0" w:space="0" w:color="auto"/>
        <w:right w:val="none" w:sz="0" w:space="0" w:color="auto"/>
      </w:divBdr>
    </w:div>
    <w:div w:id="670067838">
      <w:bodyDiv w:val="1"/>
      <w:marLeft w:val="0"/>
      <w:marRight w:val="0"/>
      <w:marTop w:val="0"/>
      <w:marBottom w:val="0"/>
      <w:divBdr>
        <w:top w:val="none" w:sz="0" w:space="0" w:color="auto"/>
        <w:left w:val="none" w:sz="0" w:space="0" w:color="auto"/>
        <w:bottom w:val="none" w:sz="0" w:space="0" w:color="auto"/>
        <w:right w:val="none" w:sz="0" w:space="0" w:color="auto"/>
      </w:divBdr>
      <w:divsChild>
        <w:div w:id="1962105883">
          <w:marLeft w:val="0"/>
          <w:marRight w:val="0"/>
          <w:marTop w:val="0"/>
          <w:marBottom w:val="0"/>
          <w:divBdr>
            <w:top w:val="none" w:sz="0" w:space="0" w:color="auto"/>
            <w:left w:val="none" w:sz="0" w:space="0" w:color="auto"/>
            <w:bottom w:val="none" w:sz="0" w:space="0" w:color="auto"/>
            <w:right w:val="none" w:sz="0" w:space="0" w:color="auto"/>
          </w:divBdr>
        </w:div>
      </w:divsChild>
    </w:div>
    <w:div w:id="702898504">
      <w:bodyDiv w:val="1"/>
      <w:marLeft w:val="0"/>
      <w:marRight w:val="0"/>
      <w:marTop w:val="0"/>
      <w:marBottom w:val="0"/>
      <w:divBdr>
        <w:top w:val="none" w:sz="0" w:space="0" w:color="auto"/>
        <w:left w:val="none" w:sz="0" w:space="0" w:color="auto"/>
        <w:bottom w:val="none" w:sz="0" w:space="0" w:color="auto"/>
        <w:right w:val="none" w:sz="0" w:space="0" w:color="auto"/>
      </w:divBdr>
    </w:div>
    <w:div w:id="750351460">
      <w:bodyDiv w:val="1"/>
      <w:marLeft w:val="0"/>
      <w:marRight w:val="0"/>
      <w:marTop w:val="0"/>
      <w:marBottom w:val="0"/>
      <w:divBdr>
        <w:top w:val="none" w:sz="0" w:space="0" w:color="auto"/>
        <w:left w:val="none" w:sz="0" w:space="0" w:color="auto"/>
        <w:bottom w:val="none" w:sz="0" w:space="0" w:color="auto"/>
        <w:right w:val="none" w:sz="0" w:space="0" w:color="auto"/>
      </w:divBdr>
    </w:div>
    <w:div w:id="776095828">
      <w:bodyDiv w:val="1"/>
      <w:marLeft w:val="0"/>
      <w:marRight w:val="0"/>
      <w:marTop w:val="0"/>
      <w:marBottom w:val="0"/>
      <w:divBdr>
        <w:top w:val="none" w:sz="0" w:space="0" w:color="auto"/>
        <w:left w:val="none" w:sz="0" w:space="0" w:color="auto"/>
        <w:bottom w:val="none" w:sz="0" w:space="0" w:color="auto"/>
        <w:right w:val="none" w:sz="0" w:space="0" w:color="auto"/>
      </w:divBdr>
    </w:div>
    <w:div w:id="846484811">
      <w:bodyDiv w:val="1"/>
      <w:marLeft w:val="0"/>
      <w:marRight w:val="0"/>
      <w:marTop w:val="0"/>
      <w:marBottom w:val="0"/>
      <w:divBdr>
        <w:top w:val="none" w:sz="0" w:space="0" w:color="auto"/>
        <w:left w:val="none" w:sz="0" w:space="0" w:color="auto"/>
        <w:bottom w:val="none" w:sz="0" w:space="0" w:color="auto"/>
        <w:right w:val="none" w:sz="0" w:space="0" w:color="auto"/>
      </w:divBdr>
      <w:divsChild>
        <w:div w:id="1834759151">
          <w:marLeft w:val="0"/>
          <w:marRight w:val="0"/>
          <w:marTop w:val="0"/>
          <w:marBottom w:val="0"/>
          <w:divBdr>
            <w:top w:val="none" w:sz="0" w:space="0" w:color="auto"/>
            <w:left w:val="none" w:sz="0" w:space="0" w:color="auto"/>
            <w:bottom w:val="none" w:sz="0" w:space="0" w:color="auto"/>
            <w:right w:val="none" w:sz="0" w:space="0" w:color="auto"/>
          </w:divBdr>
          <w:divsChild>
            <w:div w:id="886068389">
              <w:marLeft w:val="0"/>
              <w:marRight w:val="0"/>
              <w:marTop w:val="0"/>
              <w:marBottom w:val="0"/>
              <w:divBdr>
                <w:top w:val="none" w:sz="0" w:space="0" w:color="auto"/>
                <w:left w:val="none" w:sz="0" w:space="0" w:color="auto"/>
                <w:bottom w:val="none" w:sz="0" w:space="0" w:color="auto"/>
                <w:right w:val="none" w:sz="0" w:space="0" w:color="auto"/>
              </w:divBdr>
            </w:div>
            <w:div w:id="1429083028">
              <w:marLeft w:val="0"/>
              <w:marRight w:val="0"/>
              <w:marTop w:val="0"/>
              <w:marBottom w:val="0"/>
              <w:divBdr>
                <w:top w:val="none" w:sz="0" w:space="0" w:color="auto"/>
                <w:left w:val="none" w:sz="0" w:space="0" w:color="auto"/>
                <w:bottom w:val="none" w:sz="0" w:space="0" w:color="auto"/>
                <w:right w:val="none" w:sz="0" w:space="0" w:color="auto"/>
              </w:divBdr>
            </w:div>
            <w:div w:id="656149661">
              <w:marLeft w:val="0"/>
              <w:marRight w:val="0"/>
              <w:marTop w:val="0"/>
              <w:marBottom w:val="0"/>
              <w:divBdr>
                <w:top w:val="none" w:sz="0" w:space="0" w:color="auto"/>
                <w:left w:val="none" w:sz="0" w:space="0" w:color="auto"/>
                <w:bottom w:val="none" w:sz="0" w:space="0" w:color="auto"/>
                <w:right w:val="none" w:sz="0" w:space="0" w:color="auto"/>
              </w:divBdr>
            </w:div>
          </w:divsChild>
        </w:div>
        <w:div w:id="2087804235">
          <w:marLeft w:val="0"/>
          <w:marRight w:val="0"/>
          <w:marTop w:val="0"/>
          <w:marBottom w:val="0"/>
          <w:divBdr>
            <w:top w:val="none" w:sz="0" w:space="0" w:color="auto"/>
            <w:left w:val="none" w:sz="0" w:space="0" w:color="auto"/>
            <w:bottom w:val="none" w:sz="0" w:space="0" w:color="auto"/>
            <w:right w:val="none" w:sz="0" w:space="0" w:color="auto"/>
          </w:divBdr>
        </w:div>
      </w:divsChild>
    </w:div>
    <w:div w:id="931015755">
      <w:bodyDiv w:val="1"/>
      <w:marLeft w:val="0"/>
      <w:marRight w:val="0"/>
      <w:marTop w:val="0"/>
      <w:marBottom w:val="0"/>
      <w:divBdr>
        <w:top w:val="none" w:sz="0" w:space="0" w:color="auto"/>
        <w:left w:val="none" w:sz="0" w:space="0" w:color="auto"/>
        <w:bottom w:val="none" w:sz="0" w:space="0" w:color="auto"/>
        <w:right w:val="none" w:sz="0" w:space="0" w:color="auto"/>
      </w:divBdr>
      <w:divsChild>
        <w:div w:id="885751767">
          <w:marLeft w:val="0"/>
          <w:marRight w:val="0"/>
          <w:marTop w:val="0"/>
          <w:marBottom w:val="0"/>
          <w:divBdr>
            <w:top w:val="none" w:sz="0" w:space="0" w:color="auto"/>
            <w:left w:val="none" w:sz="0" w:space="0" w:color="auto"/>
            <w:bottom w:val="none" w:sz="0" w:space="0" w:color="auto"/>
            <w:right w:val="none" w:sz="0" w:space="0" w:color="auto"/>
          </w:divBdr>
        </w:div>
        <w:div w:id="258413106">
          <w:marLeft w:val="0"/>
          <w:marRight w:val="0"/>
          <w:marTop w:val="0"/>
          <w:marBottom w:val="0"/>
          <w:divBdr>
            <w:top w:val="none" w:sz="0" w:space="0" w:color="auto"/>
            <w:left w:val="none" w:sz="0" w:space="0" w:color="auto"/>
            <w:bottom w:val="none" w:sz="0" w:space="0" w:color="auto"/>
            <w:right w:val="none" w:sz="0" w:space="0" w:color="auto"/>
          </w:divBdr>
        </w:div>
        <w:div w:id="74861551">
          <w:marLeft w:val="0"/>
          <w:marRight w:val="0"/>
          <w:marTop w:val="0"/>
          <w:marBottom w:val="0"/>
          <w:divBdr>
            <w:top w:val="none" w:sz="0" w:space="0" w:color="auto"/>
            <w:left w:val="none" w:sz="0" w:space="0" w:color="auto"/>
            <w:bottom w:val="none" w:sz="0" w:space="0" w:color="auto"/>
            <w:right w:val="none" w:sz="0" w:space="0" w:color="auto"/>
          </w:divBdr>
        </w:div>
        <w:div w:id="634607989">
          <w:marLeft w:val="0"/>
          <w:marRight w:val="0"/>
          <w:marTop w:val="0"/>
          <w:marBottom w:val="0"/>
          <w:divBdr>
            <w:top w:val="none" w:sz="0" w:space="0" w:color="auto"/>
            <w:left w:val="none" w:sz="0" w:space="0" w:color="auto"/>
            <w:bottom w:val="none" w:sz="0" w:space="0" w:color="auto"/>
            <w:right w:val="none" w:sz="0" w:space="0" w:color="auto"/>
          </w:divBdr>
        </w:div>
        <w:div w:id="2084519586">
          <w:marLeft w:val="0"/>
          <w:marRight w:val="0"/>
          <w:marTop w:val="0"/>
          <w:marBottom w:val="0"/>
          <w:divBdr>
            <w:top w:val="none" w:sz="0" w:space="0" w:color="auto"/>
            <w:left w:val="none" w:sz="0" w:space="0" w:color="auto"/>
            <w:bottom w:val="none" w:sz="0" w:space="0" w:color="auto"/>
            <w:right w:val="none" w:sz="0" w:space="0" w:color="auto"/>
          </w:divBdr>
        </w:div>
        <w:div w:id="2020698967">
          <w:marLeft w:val="0"/>
          <w:marRight w:val="0"/>
          <w:marTop w:val="0"/>
          <w:marBottom w:val="0"/>
          <w:divBdr>
            <w:top w:val="none" w:sz="0" w:space="0" w:color="auto"/>
            <w:left w:val="none" w:sz="0" w:space="0" w:color="auto"/>
            <w:bottom w:val="none" w:sz="0" w:space="0" w:color="auto"/>
            <w:right w:val="none" w:sz="0" w:space="0" w:color="auto"/>
          </w:divBdr>
        </w:div>
        <w:div w:id="514150791">
          <w:marLeft w:val="0"/>
          <w:marRight w:val="0"/>
          <w:marTop w:val="0"/>
          <w:marBottom w:val="0"/>
          <w:divBdr>
            <w:top w:val="none" w:sz="0" w:space="0" w:color="auto"/>
            <w:left w:val="none" w:sz="0" w:space="0" w:color="auto"/>
            <w:bottom w:val="none" w:sz="0" w:space="0" w:color="auto"/>
            <w:right w:val="none" w:sz="0" w:space="0" w:color="auto"/>
          </w:divBdr>
        </w:div>
      </w:divsChild>
    </w:div>
    <w:div w:id="971787857">
      <w:bodyDiv w:val="1"/>
      <w:marLeft w:val="0"/>
      <w:marRight w:val="0"/>
      <w:marTop w:val="0"/>
      <w:marBottom w:val="0"/>
      <w:divBdr>
        <w:top w:val="none" w:sz="0" w:space="0" w:color="auto"/>
        <w:left w:val="none" w:sz="0" w:space="0" w:color="auto"/>
        <w:bottom w:val="none" w:sz="0" w:space="0" w:color="auto"/>
        <w:right w:val="none" w:sz="0" w:space="0" w:color="auto"/>
      </w:divBdr>
    </w:div>
    <w:div w:id="1035273927">
      <w:bodyDiv w:val="1"/>
      <w:marLeft w:val="0"/>
      <w:marRight w:val="0"/>
      <w:marTop w:val="0"/>
      <w:marBottom w:val="0"/>
      <w:divBdr>
        <w:top w:val="none" w:sz="0" w:space="0" w:color="auto"/>
        <w:left w:val="none" w:sz="0" w:space="0" w:color="auto"/>
        <w:bottom w:val="none" w:sz="0" w:space="0" w:color="auto"/>
        <w:right w:val="none" w:sz="0" w:space="0" w:color="auto"/>
      </w:divBdr>
    </w:div>
    <w:div w:id="1081103394">
      <w:bodyDiv w:val="1"/>
      <w:marLeft w:val="0"/>
      <w:marRight w:val="0"/>
      <w:marTop w:val="0"/>
      <w:marBottom w:val="0"/>
      <w:divBdr>
        <w:top w:val="none" w:sz="0" w:space="0" w:color="auto"/>
        <w:left w:val="none" w:sz="0" w:space="0" w:color="auto"/>
        <w:bottom w:val="none" w:sz="0" w:space="0" w:color="auto"/>
        <w:right w:val="none" w:sz="0" w:space="0" w:color="auto"/>
      </w:divBdr>
      <w:divsChild>
        <w:div w:id="1620455399">
          <w:marLeft w:val="0"/>
          <w:marRight w:val="0"/>
          <w:marTop w:val="0"/>
          <w:marBottom w:val="0"/>
          <w:divBdr>
            <w:top w:val="none" w:sz="0" w:space="0" w:color="auto"/>
            <w:left w:val="none" w:sz="0" w:space="0" w:color="auto"/>
            <w:bottom w:val="none" w:sz="0" w:space="0" w:color="auto"/>
            <w:right w:val="none" w:sz="0" w:space="0" w:color="auto"/>
          </w:divBdr>
        </w:div>
      </w:divsChild>
    </w:div>
    <w:div w:id="1094713606">
      <w:bodyDiv w:val="1"/>
      <w:marLeft w:val="0"/>
      <w:marRight w:val="0"/>
      <w:marTop w:val="0"/>
      <w:marBottom w:val="0"/>
      <w:divBdr>
        <w:top w:val="none" w:sz="0" w:space="0" w:color="auto"/>
        <w:left w:val="none" w:sz="0" w:space="0" w:color="auto"/>
        <w:bottom w:val="none" w:sz="0" w:space="0" w:color="auto"/>
        <w:right w:val="none" w:sz="0" w:space="0" w:color="auto"/>
      </w:divBdr>
    </w:div>
    <w:div w:id="1136146300">
      <w:bodyDiv w:val="1"/>
      <w:marLeft w:val="0"/>
      <w:marRight w:val="0"/>
      <w:marTop w:val="0"/>
      <w:marBottom w:val="0"/>
      <w:divBdr>
        <w:top w:val="none" w:sz="0" w:space="0" w:color="auto"/>
        <w:left w:val="none" w:sz="0" w:space="0" w:color="auto"/>
        <w:bottom w:val="none" w:sz="0" w:space="0" w:color="auto"/>
        <w:right w:val="none" w:sz="0" w:space="0" w:color="auto"/>
      </w:divBdr>
      <w:divsChild>
        <w:div w:id="2136219255">
          <w:marLeft w:val="0"/>
          <w:marRight w:val="0"/>
          <w:marTop w:val="0"/>
          <w:marBottom w:val="0"/>
          <w:divBdr>
            <w:top w:val="none" w:sz="0" w:space="0" w:color="auto"/>
            <w:left w:val="none" w:sz="0" w:space="0" w:color="auto"/>
            <w:bottom w:val="none" w:sz="0" w:space="0" w:color="auto"/>
            <w:right w:val="none" w:sz="0" w:space="0" w:color="auto"/>
          </w:divBdr>
        </w:div>
      </w:divsChild>
    </w:div>
    <w:div w:id="1179151375">
      <w:bodyDiv w:val="1"/>
      <w:marLeft w:val="0"/>
      <w:marRight w:val="0"/>
      <w:marTop w:val="0"/>
      <w:marBottom w:val="0"/>
      <w:divBdr>
        <w:top w:val="none" w:sz="0" w:space="0" w:color="auto"/>
        <w:left w:val="none" w:sz="0" w:space="0" w:color="auto"/>
        <w:bottom w:val="none" w:sz="0" w:space="0" w:color="auto"/>
        <w:right w:val="none" w:sz="0" w:space="0" w:color="auto"/>
      </w:divBdr>
    </w:div>
    <w:div w:id="1200364565">
      <w:bodyDiv w:val="1"/>
      <w:marLeft w:val="0"/>
      <w:marRight w:val="0"/>
      <w:marTop w:val="0"/>
      <w:marBottom w:val="0"/>
      <w:divBdr>
        <w:top w:val="none" w:sz="0" w:space="0" w:color="auto"/>
        <w:left w:val="none" w:sz="0" w:space="0" w:color="auto"/>
        <w:bottom w:val="none" w:sz="0" w:space="0" w:color="auto"/>
        <w:right w:val="none" w:sz="0" w:space="0" w:color="auto"/>
      </w:divBdr>
    </w:div>
    <w:div w:id="1208032378">
      <w:bodyDiv w:val="1"/>
      <w:marLeft w:val="0"/>
      <w:marRight w:val="0"/>
      <w:marTop w:val="0"/>
      <w:marBottom w:val="0"/>
      <w:divBdr>
        <w:top w:val="none" w:sz="0" w:space="0" w:color="auto"/>
        <w:left w:val="none" w:sz="0" w:space="0" w:color="auto"/>
        <w:bottom w:val="none" w:sz="0" w:space="0" w:color="auto"/>
        <w:right w:val="none" w:sz="0" w:space="0" w:color="auto"/>
      </w:divBdr>
    </w:div>
    <w:div w:id="1210149310">
      <w:bodyDiv w:val="1"/>
      <w:marLeft w:val="0"/>
      <w:marRight w:val="0"/>
      <w:marTop w:val="0"/>
      <w:marBottom w:val="0"/>
      <w:divBdr>
        <w:top w:val="none" w:sz="0" w:space="0" w:color="auto"/>
        <w:left w:val="none" w:sz="0" w:space="0" w:color="auto"/>
        <w:bottom w:val="none" w:sz="0" w:space="0" w:color="auto"/>
        <w:right w:val="none" w:sz="0" w:space="0" w:color="auto"/>
      </w:divBdr>
    </w:div>
    <w:div w:id="1257637756">
      <w:bodyDiv w:val="1"/>
      <w:marLeft w:val="0"/>
      <w:marRight w:val="0"/>
      <w:marTop w:val="0"/>
      <w:marBottom w:val="0"/>
      <w:divBdr>
        <w:top w:val="none" w:sz="0" w:space="0" w:color="auto"/>
        <w:left w:val="none" w:sz="0" w:space="0" w:color="auto"/>
        <w:bottom w:val="none" w:sz="0" w:space="0" w:color="auto"/>
        <w:right w:val="none" w:sz="0" w:space="0" w:color="auto"/>
      </w:divBdr>
      <w:divsChild>
        <w:div w:id="81295423">
          <w:marLeft w:val="0"/>
          <w:marRight w:val="0"/>
          <w:marTop w:val="0"/>
          <w:marBottom w:val="0"/>
          <w:divBdr>
            <w:top w:val="none" w:sz="0" w:space="0" w:color="auto"/>
            <w:left w:val="none" w:sz="0" w:space="0" w:color="auto"/>
            <w:bottom w:val="none" w:sz="0" w:space="0" w:color="auto"/>
            <w:right w:val="none" w:sz="0" w:space="0" w:color="auto"/>
          </w:divBdr>
          <w:divsChild>
            <w:div w:id="127473229">
              <w:marLeft w:val="0"/>
              <w:marRight w:val="0"/>
              <w:marTop w:val="0"/>
              <w:marBottom w:val="0"/>
              <w:divBdr>
                <w:top w:val="none" w:sz="0" w:space="0" w:color="auto"/>
                <w:left w:val="none" w:sz="0" w:space="0" w:color="auto"/>
                <w:bottom w:val="none" w:sz="0" w:space="0" w:color="auto"/>
                <w:right w:val="none" w:sz="0" w:space="0" w:color="auto"/>
              </w:divBdr>
            </w:div>
            <w:div w:id="232010845">
              <w:marLeft w:val="0"/>
              <w:marRight w:val="0"/>
              <w:marTop w:val="0"/>
              <w:marBottom w:val="0"/>
              <w:divBdr>
                <w:top w:val="none" w:sz="0" w:space="0" w:color="auto"/>
                <w:left w:val="none" w:sz="0" w:space="0" w:color="auto"/>
                <w:bottom w:val="none" w:sz="0" w:space="0" w:color="auto"/>
                <w:right w:val="none" w:sz="0" w:space="0" w:color="auto"/>
              </w:divBdr>
            </w:div>
            <w:div w:id="2026980504">
              <w:marLeft w:val="0"/>
              <w:marRight w:val="0"/>
              <w:marTop w:val="0"/>
              <w:marBottom w:val="0"/>
              <w:divBdr>
                <w:top w:val="none" w:sz="0" w:space="0" w:color="auto"/>
                <w:left w:val="none" w:sz="0" w:space="0" w:color="auto"/>
                <w:bottom w:val="none" w:sz="0" w:space="0" w:color="auto"/>
                <w:right w:val="none" w:sz="0" w:space="0" w:color="auto"/>
              </w:divBdr>
            </w:div>
            <w:div w:id="507184725">
              <w:marLeft w:val="0"/>
              <w:marRight w:val="0"/>
              <w:marTop w:val="0"/>
              <w:marBottom w:val="0"/>
              <w:divBdr>
                <w:top w:val="none" w:sz="0" w:space="0" w:color="auto"/>
                <w:left w:val="none" w:sz="0" w:space="0" w:color="auto"/>
                <w:bottom w:val="none" w:sz="0" w:space="0" w:color="auto"/>
                <w:right w:val="none" w:sz="0" w:space="0" w:color="auto"/>
              </w:divBdr>
            </w:div>
          </w:divsChild>
        </w:div>
        <w:div w:id="1057824313">
          <w:marLeft w:val="0"/>
          <w:marRight w:val="0"/>
          <w:marTop w:val="0"/>
          <w:marBottom w:val="0"/>
          <w:divBdr>
            <w:top w:val="none" w:sz="0" w:space="0" w:color="auto"/>
            <w:left w:val="none" w:sz="0" w:space="0" w:color="auto"/>
            <w:bottom w:val="none" w:sz="0" w:space="0" w:color="auto"/>
            <w:right w:val="none" w:sz="0" w:space="0" w:color="auto"/>
          </w:divBdr>
        </w:div>
        <w:div w:id="155345294">
          <w:marLeft w:val="0"/>
          <w:marRight w:val="0"/>
          <w:marTop w:val="0"/>
          <w:marBottom w:val="0"/>
          <w:divBdr>
            <w:top w:val="none" w:sz="0" w:space="0" w:color="auto"/>
            <w:left w:val="none" w:sz="0" w:space="0" w:color="auto"/>
            <w:bottom w:val="none" w:sz="0" w:space="0" w:color="auto"/>
            <w:right w:val="none" w:sz="0" w:space="0" w:color="auto"/>
          </w:divBdr>
        </w:div>
        <w:div w:id="882400795">
          <w:marLeft w:val="0"/>
          <w:marRight w:val="0"/>
          <w:marTop w:val="0"/>
          <w:marBottom w:val="0"/>
          <w:divBdr>
            <w:top w:val="none" w:sz="0" w:space="0" w:color="auto"/>
            <w:left w:val="none" w:sz="0" w:space="0" w:color="auto"/>
            <w:bottom w:val="none" w:sz="0" w:space="0" w:color="auto"/>
            <w:right w:val="none" w:sz="0" w:space="0" w:color="auto"/>
          </w:divBdr>
        </w:div>
      </w:divsChild>
    </w:div>
    <w:div w:id="1428429732">
      <w:bodyDiv w:val="1"/>
      <w:marLeft w:val="0"/>
      <w:marRight w:val="0"/>
      <w:marTop w:val="0"/>
      <w:marBottom w:val="0"/>
      <w:divBdr>
        <w:top w:val="none" w:sz="0" w:space="0" w:color="auto"/>
        <w:left w:val="none" w:sz="0" w:space="0" w:color="auto"/>
        <w:bottom w:val="none" w:sz="0" w:space="0" w:color="auto"/>
        <w:right w:val="none" w:sz="0" w:space="0" w:color="auto"/>
      </w:divBdr>
    </w:div>
    <w:div w:id="1549806295">
      <w:bodyDiv w:val="1"/>
      <w:marLeft w:val="0"/>
      <w:marRight w:val="0"/>
      <w:marTop w:val="0"/>
      <w:marBottom w:val="0"/>
      <w:divBdr>
        <w:top w:val="none" w:sz="0" w:space="0" w:color="auto"/>
        <w:left w:val="none" w:sz="0" w:space="0" w:color="auto"/>
        <w:bottom w:val="none" w:sz="0" w:space="0" w:color="auto"/>
        <w:right w:val="none" w:sz="0" w:space="0" w:color="auto"/>
      </w:divBdr>
      <w:divsChild>
        <w:div w:id="1547140768">
          <w:marLeft w:val="0"/>
          <w:marRight w:val="0"/>
          <w:marTop w:val="0"/>
          <w:marBottom w:val="0"/>
          <w:divBdr>
            <w:top w:val="none" w:sz="0" w:space="0" w:color="auto"/>
            <w:left w:val="none" w:sz="0" w:space="0" w:color="auto"/>
            <w:bottom w:val="none" w:sz="0" w:space="0" w:color="auto"/>
            <w:right w:val="none" w:sz="0" w:space="0" w:color="auto"/>
          </w:divBdr>
        </w:div>
        <w:div w:id="1595044270">
          <w:marLeft w:val="0"/>
          <w:marRight w:val="0"/>
          <w:marTop w:val="0"/>
          <w:marBottom w:val="0"/>
          <w:divBdr>
            <w:top w:val="none" w:sz="0" w:space="0" w:color="auto"/>
            <w:left w:val="none" w:sz="0" w:space="0" w:color="auto"/>
            <w:bottom w:val="none" w:sz="0" w:space="0" w:color="auto"/>
            <w:right w:val="none" w:sz="0" w:space="0" w:color="auto"/>
          </w:divBdr>
        </w:div>
        <w:div w:id="1272470877">
          <w:marLeft w:val="0"/>
          <w:marRight w:val="0"/>
          <w:marTop w:val="0"/>
          <w:marBottom w:val="0"/>
          <w:divBdr>
            <w:top w:val="none" w:sz="0" w:space="0" w:color="auto"/>
            <w:left w:val="none" w:sz="0" w:space="0" w:color="auto"/>
            <w:bottom w:val="none" w:sz="0" w:space="0" w:color="auto"/>
            <w:right w:val="none" w:sz="0" w:space="0" w:color="auto"/>
          </w:divBdr>
        </w:div>
        <w:div w:id="1233197795">
          <w:marLeft w:val="0"/>
          <w:marRight w:val="0"/>
          <w:marTop w:val="0"/>
          <w:marBottom w:val="0"/>
          <w:divBdr>
            <w:top w:val="none" w:sz="0" w:space="0" w:color="auto"/>
            <w:left w:val="none" w:sz="0" w:space="0" w:color="auto"/>
            <w:bottom w:val="none" w:sz="0" w:space="0" w:color="auto"/>
            <w:right w:val="none" w:sz="0" w:space="0" w:color="auto"/>
          </w:divBdr>
        </w:div>
        <w:div w:id="1982465343">
          <w:marLeft w:val="0"/>
          <w:marRight w:val="0"/>
          <w:marTop w:val="0"/>
          <w:marBottom w:val="0"/>
          <w:divBdr>
            <w:top w:val="none" w:sz="0" w:space="0" w:color="auto"/>
            <w:left w:val="none" w:sz="0" w:space="0" w:color="auto"/>
            <w:bottom w:val="none" w:sz="0" w:space="0" w:color="auto"/>
            <w:right w:val="none" w:sz="0" w:space="0" w:color="auto"/>
          </w:divBdr>
        </w:div>
      </w:divsChild>
    </w:div>
    <w:div w:id="1659454561">
      <w:bodyDiv w:val="1"/>
      <w:marLeft w:val="0"/>
      <w:marRight w:val="0"/>
      <w:marTop w:val="0"/>
      <w:marBottom w:val="0"/>
      <w:divBdr>
        <w:top w:val="none" w:sz="0" w:space="0" w:color="auto"/>
        <w:left w:val="none" w:sz="0" w:space="0" w:color="auto"/>
        <w:bottom w:val="none" w:sz="0" w:space="0" w:color="auto"/>
        <w:right w:val="none" w:sz="0" w:space="0" w:color="auto"/>
      </w:divBdr>
      <w:divsChild>
        <w:div w:id="2064209181">
          <w:marLeft w:val="0"/>
          <w:marRight w:val="0"/>
          <w:marTop w:val="0"/>
          <w:marBottom w:val="0"/>
          <w:divBdr>
            <w:top w:val="none" w:sz="0" w:space="0" w:color="auto"/>
            <w:left w:val="none" w:sz="0" w:space="0" w:color="auto"/>
            <w:bottom w:val="none" w:sz="0" w:space="0" w:color="auto"/>
            <w:right w:val="none" w:sz="0" w:space="0" w:color="auto"/>
          </w:divBdr>
        </w:div>
      </w:divsChild>
    </w:div>
    <w:div w:id="1661031980">
      <w:bodyDiv w:val="1"/>
      <w:marLeft w:val="0"/>
      <w:marRight w:val="0"/>
      <w:marTop w:val="0"/>
      <w:marBottom w:val="0"/>
      <w:divBdr>
        <w:top w:val="none" w:sz="0" w:space="0" w:color="auto"/>
        <w:left w:val="none" w:sz="0" w:space="0" w:color="auto"/>
        <w:bottom w:val="none" w:sz="0" w:space="0" w:color="auto"/>
        <w:right w:val="none" w:sz="0" w:space="0" w:color="auto"/>
      </w:divBdr>
    </w:div>
    <w:div w:id="1676571363">
      <w:bodyDiv w:val="1"/>
      <w:marLeft w:val="0"/>
      <w:marRight w:val="0"/>
      <w:marTop w:val="0"/>
      <w:marBottom w:val="0"/>
      <w:divBdr>
        <w:top w:val="none" w:sz="0" w:space="0" w:color="auto"/>
        <w:left w:val="none" w:sz="0" w:space="0" w:color="auto"/>
        <w:bottom w:val="none" w:sz="0" w:space="0" w:color="auto"/>
        <w:right w:val="none" w:sz="0" w:space="0" w:color="auto"/>
      </w:divBdr>
      <w:divsChild>
        <w:div w:id="1579360377">
          <w:marLeft w:val="0"/>
          <w:marRight w:val="0"/>
          <w:marTop w:val="0"/>
          <w:marBottom w:val="0"/>
          <w:divBdr>
            <w:top w:val="none" w:sz="0" w:space="0" w:color="auto"/>
            <w:left w:val="none" w:sz="0" w:space="0" w:color="auto"/>
            <w:bottom w:val="none" w:sz="0" w:space="0" w:color="auto"/>
            <w:right w:val="none" w:sz="0" w:space="0" w:color="auto"/>
          </w:divBdr>
        </w:div>
      </w:divsChild>
    </w:div>
    <w:div w:id="1755711031">
      <w:bodyDiv w:val="1"/>
      <w:marLeft w:val="0"/>
      <w:marRight w:val="0"/>
      <w:marTop w:val="0"/>
      <w:marBottom w:val="0"/>
      <w:divBdr>
        <w:top w:val="none" w:sz="0" w:space="0" w:color="auto"/>
        <w:left w:val="none" w:sz="0" w:space="0" w:color="auto"/>
        <w:bottom w:val="none" w:sz="0" w:space="0" w:color="auto"/>
        <w:right w:val="none" w:sz="0" w:space="0" w:color="auto"/>
      </w:divBdr>
    </w:div>
    <w:div w:id="1780949803">
      <w:bodyDiv w:val="1"/>
      <w:marLeft w:val="0"/>
      <w:marRight w:val="0"/>
      <w:marTop w:val="0"/>
      <w:marBottom w:val="0"/>
      <w:divBdr>
        <w:top w:val="none" w:sz="0" w:space="0" w:color="auto"/>
        <w:left w:val="none" w:sz="0" w:space="0" w:color="auto"/>
        <w:bottom w:val="none" w:sz="0" w:space="0" w:color="auto"/>
        <w:right w:val="none" w:sz="0" w:space="0" w:color="auto"/>
      </w:divBdr>
      <w:divsChild>
        <w:div w:id="327950930">
          <w:marLeft w:val="0"/>
          <w:marRight w:val="0"/>
          <w:marTop w:val="0"/>
          <w:marBottom w:val="0"/>
          <w:divBdr>
            <w:top w:val="none" w:sz="0" w:space="0" w:color="auto"/>
            <w:left w:val="none" w:sz="0" w:space="0" w:color="auto"/>
            <w:bottom w:val="none" w:sz="0" w:space="0" w:color="auto"/>
            <w:right w:val="none" w:sz="0" w:space="0" w:color="auto"/>
          </w:divBdr>
          <w:divsChild>
            <w:div w:id="1475221217">
              <w:marLeft w:val="0"/>
              <w:marRight w:val="0"/>
              <w:marTop w:val="0"/>
              <w:marBottom w:val="0"/>
              <w:divBdr>
                <w:top w:val="none" w:sz="0" w:space="0" w:color="auto"/>
                <w:left w:val="none" w:sz="0" w:space="0" w:color="auto"/>
                <w:bottom w:val="none" w:sz="0" w:space="0" w:color="auto"/>
                <w:right w:val="none" w:sz="0" w:space="0" w:color="auto"/>
              </w:divBdr>
            </w:div>
            <w:div w:id="894043160">
              <w:marLeft w:val="0"/>
              <w:marRight w:val="0"/>
              <w:marTop w:val="0"/>
              <w:marBottom w:val="0"/>
              <w:divBdr>
                <w:top w:val="none" w:sz="0" w:space="0" w:color="auto"/>
                <w:left w:val="none" w:sz="0" w:space="0" w:color="auto"/>
                <w:bottom w:val="none" w:sz="0" w:space="0" w:color="auto"/>
                <w:right w:val="none" w:sz="0" w:space="0" w:color="auto"/>
              </w:divBdr>
            </w:div>
          </w:divsChild>
        </w:div>
        <w:div w:id="914315621">
          <w:marLeft w:val="0"/>
          <w:marRight w:val="0"/>
          <w:marTop w:val="0"/>
          <w:marBottom w:val="0"/>
          <w:divBdr>
            <w:top w:val="none" w:sz="0" w:space="0" w:color="auto"/>
            <w:left w:val="none" w:sz="0" w:space="0" w:color="auto"/>
            <w:bottom w:val="none" w:sz="0" w:space="0" w:color="auto"/>
            <w:right w:val="none" w:sz="0" w:space="0" w:color="auto"/>
          </w:divBdr>
        </w:div>
        <w:div w:id="555556739">
          <w:marLeft w:val="0"/>
          <w:marRight w:val="0"/>
          <w:marTop w:val="0"/>
          <w:marBottom w:val="0"/>
          <w:divBdr>
            <w:top w:val="none" w:sz="0" w:space="0" w:color="auto"/>
            <w:left w:val="none" w:sz="0" w:space="0" w:color="auto"/>
            <w:bottom w:val="none" w:sz="0" w:space="0" w:color="auto"/>
            <w:right w:val="none" w:sz="0" w:space="0" w:color="auto"/>
          </w:divBdr>
        </w:div>
      </w:divsChild>
    </w:div>
    <w:div w:id="1847868155">
      <w:bodyDiv w:val="1"/>
      <w:marLeft w:val="0"/>
      <w:marRight w:val="0"/>
      <w:marTop w:val="0"/>
      <w:marBottom w:val="0"/>
      <w:divBdr>
        <w:top w:val="none" w:sz="0" w:space="0" w:color="auto"/>
        <w:left w:val="none" w:sz="0" w:space="0" w:color="auto"/>
        <w:bottom w:val="none" w:sz="0" w:space="0" w:color="auto"/>
        <w:right w:val="none" w:sz="0" w:space="0" w:color="auto"/>
      </w:divBdr>
      <w:divsChild>
        <w:div w:id="700323321">
          <w:marLeft w:val="0"/>
          <w:marRight w:val="0"/>
          <w:marTop w:val="0"/>
          <w:marBottom w:val="0"/>
          <w:divBdr>
            <w:top w:val="none" w:sz="0" w:space="0" w:color="auto"/>
            <w:left w:val="none" w:sz="0" w:space="0" w:color="auto"/>
            <w:bottom w:val="none" w:sz="0" w:space="0" w:color="auto"/>
            <w:right w:val="none" w:sz="0" w:space="0" w:color="auto"/>
          </w:divBdr>
        </w:div>
        <w:div w:id="1889758008">
          <w:marLeft w:val="0"/>
          <w:marRight w:val="0"/>
          <w:marTop w:val="0"/>
          <w:marBottom w:val="0"/>
          <w:divBdr>
            <w:top w:val="none" w:sz="0" w:space="0" w:color="auto"/>
            <w:left w:val="none" w:sz="0" w:space="0" w:color="auto"/>
            <w:bottom w:val="none" w:sz="0" w:space="0" w:color="auto"/>
            <w:right w:val="none" w:sz="0" w:space="0" w:color="auto"/>
          </w:divBdr>
        </w:div>
        <w:div w:id="2096512307">
          <w:marLeft w:val="0"/>
          <w:marRight w:val="0"/>
          <w:marTop w:val="0"/>
          <w:marBottom w:val="0"/>
          <w:divBdr>
            <w:top w:val="none" w:sz="0" w:space="0" w:color="auto"/>
            <w:left w:val="none" w:sz="0" w:space="0" w:color="auto"/>
            <w:bottom w:val="none" w:sz="0" w:space="0" w:color="auto"/>
            <w:right w:val="none" w:sz="0" w:space="0" w:color="auto"/>
          </w:divBdr>
        </w:div>
      </w:divsChild>
    </w:div>
    <w:div w:id="1885628730">
      <w:bodyDiv w:val="1"/>
      <w:marLeft w:val="0"/>
      <w:marRight w:val="0"/>
      <w:marTop w:val="0"/>
      <w:marBottom w:val="0"/>
      <w:divBdr>
        <w:top w:val="none" w:sz="0" w:space="0" w:color="auto"/>
        <w:left w:val="none" w:sz="0" w:space="0" w:color="auto"/>
        <w:bottom w:val="none" w:sz="0" w:space="0" w:color="auto"/>
        <w:right w:val="none" w:sz="0" w:space="0" w:color="auto"/>
      </w:divBdr>
    </w:div>
    <w:div w:id="1946189752">
      <w:bodyDiv w:val="1"/>
      <w:marLeft w:val="0"/>
      <w:marRight w:val="0"/>
      <w:marTop w:val="0"/>
      <w:marBottom w:val="0"/>
      <w:divBdr>
        <w:top w:val="none" w:sz="0" w:space="0" w:color="auto"/>
        <w:left w:val="none" w:sz="0" w:space="0" w:color="auto"/>
        <w:bottom w:val="none" w:sz="0" w:space="0" w:color="auto"/>
        <w:right w:val="none" w:sz="0" w:space="0" w:color="auto"/>
      </w:divBdr>
    </w:div>
    <w:div w:id="2044549182">
      <w:bodyDiv w:val="1"/>
      <w:marLeft w:val="0"/>
      <w:marRight w:val="0"/>
      <w:marTop w:val="0"/>
      <w:marBottom w:val="0"/>
      <w:divBdr>
        <w:top w:val="none" w:sz="0" w:space="0" w:color="auto"/>
        <w:left w:val="none" w:sz="0" w:space="0" w:color="auto"/>
        <w:bottom w:val="none" w:sz="0" w:space="0" w:color="auto"/>
        <w:right w:val="none" w:sz="0" w:space="0" w:color="auto"/>
      </w:divBdr>
      <w:divsChild>
        <w:div w:id="1101491991">
          <w:marLeft w:val="0"/>
          <w:marRight w:val="0"/>
          <w:marTop w:val="0"/>
          <w:marBottom w:val="0"/>
          <w:divBdr>
            <w:top w:val="none" w:sz="0" w:space="0" w:color="auto"/>
            <w:left w:val="none" w:sz="0" w:space="0" w:color="auto"/>
            <w:bottom w:val="none" w:sz="0" w:space="0" w:color="auto"/>
            <w:right w:val="none" w:sz="0" w:space="0" w:color="auto"/>
          </w:divBdr>
        </w:div>
      </w:divsChild>
    </w:div>
    <w:div w:id="2087072036">
      <w:bodyDiv w:val="1"/>
      <w:marLeft w:val="0"/>
      <w:marRight w:val="0"/>
      <w:marTop w:val="0"/>
      <w:marBottom w:val="0"/>
      <w:divBdr>
        <w:top w:val="none" w:sz="0" w:space="0" w:color="auto"/>
        <w:left w:val="none" w:sz="0" w:space="0" w:color="auto"/>
        <w:bottom w:val="none" w:sz="0" w:space="0" w:color="auto"/>
        <w:right w:val="none" w:sz="0" w:space="0" w:color="auto"/>
      </w:divBdr>
      <w:divsChild>
        <w:div w:id="1642298537">
          <w:marLeft w:val="0"/>
          <w:marRight w:val="0"/>
          <w:marTop w:val="0"/>
          <w:marBottom w:val="0"/>
          <w:divBdr>
            <w:top w:val="none" w:sz="0" w:space="0" w:color="auto"/>
            <w:left w:val="none" w:sz="0" w:space="0" w:color="auto"/>
            <w:bottom w:val="none" w:sz="0" w:space="0" w:color="auto"/>
            <w:right w:val="none" w:sz="0" w:space="0" w:color="auto"/>
          </w:divBdr>
        </w:div>
        <w:div w:id="102579778">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yperlink" TargetMode="External" Target="https://www.e-tar.lt/portal/legalAct.html?documentId=15051370627511e8acbae39398545bed"/>
  <Relationship Id="rId11" Type="http://schemas.openxmlformats.org/officeDocument/2006/relationships/hyperlink" TargetMode="External" Target="https://www.e-tar.lt/portal/legalAct.html?documentId=ed74c3c0282b11ecad73e69048767e8c"/>
  <Relationship Id="rId12" Type="http://schemas.openxmlformats.org/officeDocument/2006/relationships/header" Target="header1.xml"/>
  <Relationship Id="rId13" Type="http://schemas.openxmlformats.org/officeDocument/2006/relationships/header" Target="header2.xml"/>
  <Relationship Id="rId14" Type="http://schemas.openxmlformats.org/officeDocument/2006/relationships/footer" Target="footer1.xml"/>
  <Relationship Id="rId15" Type="http://schemas.openxmlformats.org/officeDocument/2006/relationships/footer" Target="footer2.xml"/>
  <Relationship Id="rId16" Type="http://schemas.openxmlformats.org/officeDocument/2006/relationships/header" Target="header3.xml"/>
  <Relationship Id="rId17" Type="http://schemas.openxmlformats.org/officeDocument/2006/relationships/footer" Target="footer3.xml"/>
  <Relationship Id="rId18" Type="http://schemas.openxmlformats.org/officeDocument/2006/relationships/fontTable" Target="fontTable.xml"/>
  <Relationship Id="rId19" Type="http://schemas.openxmlformats.org/officeDocument/2006/relationships/theme" Target="theme/theme1.xml"/>
  <Relationship Id="rId2" Type="http://schemas.openxmlformats.org/officeDocument/2006/relationships/customXml" Target="../customXml/item2.xml"/>
  <Relationship Id="rId20" Type="http://schemas.openxmlformats.org/officeDocument/2006/relationships/customXml" Target="../customXml/item5.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styles" Target="styles.xml"/>
  <Relationship Id="rId6" Type="http://schemas.openxmlformats.org/officeDocument/2006/relationships/settings" Target="settings.xml"/>
  <Relationship Id="rId7" Type="http://schemas.openxmlformats.org/officeDocument/2006/relationships/webSettings" Target="webSettings.xml"/>
  <Relationship Id="rId8" Type="http://schemas.openxmlformats.org/officeDocument/2006/relationships/footnotes" Target="footnotes.xml"/>
  <Relationship Id="rId9" Type="http://schemas.openxmlformats.org/officeDocument/2006/relationships/endnotes" Target="endnotes.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0B5815BE5C36B349BCFCEECA01EC68C3" ma:contentTypeVersion="14" ma:contentTypeDescription="Create a new document." ma:contentTypeScope="" ma:versionID="abeaf1dd81304b1acea6b15aa4d404b6">
  <xsd:schema xmlns:xsd="http://www.w3.org/2001/XMLSchema" xmlns:xs="http://www.w3.org/2001/XMLSchema" xmlns:p="http://schemas.microsoft.com/office/2006/metadata/properties" xmlns:ns3="313f1389-71dc-4bfd-ae26-2e9532e5bd0d" xmlns:ns4="a07952a3-2e58-4288-80cd-d517dedc3afd" targetNamespace="http://schemas.microsoft.com/office/2006/metadata/properties" ma:root="true" ma:fieldsID="1dd58aa6d8262e98016baa961717c425" ns3:_="" ns4:_="">
    <xsd:import namespace="313f1389-71dc-4bfd-ae26-2e9532e5bd0d"/>
    <xsd:import namespace="a07952a3-2e58-4288-80cd-d517dedc3afd"/>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AutoTags" minOccurs="0"/>
                <xsd:element ref="ns4:MediaServiceGenerationTime" minOccurs="0"/>
                <xsd:element ref="ns4:MediaServiceEventHashCode" minOccurs="0"/>
                <xsd:element ref="ns4:MediaServiceOCR" minOccurs="0"/>
                <xsd:element ref="ns4:MediaServiceAutoKeyPoints" minOccurs="0"/>
                <xsd:element ref="ns4:MediaServiceKeyPoints" minOccurs="0"/>
                <xsd:element ref="ns4:MediaServiceDateTaken" minOccurs="0"/>
                <xsd:element ref="ns4:MediaLengthInSeconds" minOccurs="0"/>
                <xsd:element ref="ns4: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13f1389-71dc-4bfd-ae26-2e9532e5bd0d"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SharingHintHash" ma:index="10" nillable="true" ma:displayName="Sharing Hint Hash"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07952a3-2e58-4288-80cd-d517dedc3afd"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AutoTags" ma:index="13" nillable="true" ma:displayName="Tags" ma:internalName="MediaServiceAutoTags" ma:readOnly="true">
      <xsd:simpleType>
        <xsd:restriction base="dms:Text"/>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ServiceDateTaken" ma:index="19" nillable="true" ma:displayName="MediaServiceDateTaken" ma:hidden="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Location" ma:index="21" nillable="true" ma:displayName="Location" ma:internalName="MediaServiceLocation" ma:readOnly="true">
      <xsd:simpleType>
        <xsd:restriction base="dms:Text"/>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5.xml><?xml version="1.0" encoding="utf-8"?>
<Parts xmlns="http://lrs.lt/TAIS/DocParts">
  <Part Type="lentele" DocPartId="66828bac1ba94cc5ab1154f9e6bf755a" PartId="f8824589ac424de3b2a7441f2cbd496d"/>
  <Part Type="pastraipa" DocPartId="d5c2c96a4fca4f8394537f40853e3f15" PartId="99cbb9482db741a984e3ee5796668fba"/>
</Parts>
</file>

<file path=customXml/itemProps1.xml><?xml version="1.0" encoding="utf-8"?>
<ds:datastoreItem xmlns:ds="http://schemas.openxmlformats.org/officeDocument/2006/customXml" ds:itemID="{680F8DCF-2C04-4703-AF5C-912528303A1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13f1389-71dc-4bfd-ae26-2e9532e5bd0d"/>
    <ds:schemaRef ds:uri="a07952a3-2e58-4288-80cd-d517dedc3af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CD2A77E2-B107-419B-91AD-1A2D33FA4889}">
  <ds:schemaRefs>
    <ds:schemaRef ds:uri="http://schemas.microsoft.com/sharepoint/v3/contenttype/forms"/>
  </ds:schemaRefs>
</ds:datastoreItem>
</file>

<file path=customXml/itemProps3.xml><?xml version="1.0" encoding="utf-8"?>
<ds:datastoreItem xmlns:ds="http://schemas.openxmlformats.org/officeDocument/2006/customXml" ds:itemID="{834D069A-012B-40A6-B03D-29DE32F49FD2}">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8421939D-9911-43EE-B1C8-30819E4FDCA8}">
  <ds:schemaRefs>
    <ds:schemaRef ds:uri="http://schemas.openxmlformats.org/officeDocument/2006/bibliography"/>
  </ds:schemaRefs>
</ds:datastoreItem>
</file>

<file path=customXml/itemProps5.xml><?xml version="1.0" encoding="utf-8"?>
<ds:datastoreItem xmlns:ds="http://schemas.openxmlformats.org/officeDocument/2006/customXml" ds:itemID="{2DB25FDF-0C60-4858-8FCD-CFCBED62B686}">
  <ds:schemaRefs>
    <ds:schemaRef ds:uri="http://lrs.lt/TAIS/DocParts"/>
  </ds:schemaRefs>
</ds:datastoreItem>
</file>

<file path=docMetadata/LabelInfo.xml><?xml version="1.0" encoding="utf-8"?>
<clbl:labelList xmlns:clbl="http://schemas.microsoft.com/office/2020/mipLabelMetadata">
  <clbl:label id="{3d7caaaa-5b58-4151-a93c-a7beabc3b2f0}" enabled="1" method="Privileged" siteId="{6062c8a2-d353-46c2-92d8-0dd75d1f4b63}" contentBits="2" removed="0"/>
</clbl:labelList>
</file>

<file path=docProps/app.xml><?xml version="1.0" encoding="utf-8"?>
<Properties xmlns="http://schemas.openxmlformats.org/officeDocument/2006/extended-properties" xmlns:vt="http://schemas.openxmlformats.org/officeDocument/2006/docPropsVTypes">
  <Template>Normal.dotm</Template>
  <TotalTime>0</TotalTime>
  <Pages>3</Pages>
  <Words>1142</Words>
  <Characters>8156</Characters>
  <Application>Microsoft Office Word</Application>
  <DocSecurity>4</DocSecurity>
  <Lines>189</Lines>
  <Paragraphs>78</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9220</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2026-03-05T11:33:00Z</dcterms:created>
  <dc:creator>Rūta Juršaitė</dc:creator>
  <lastModifiedBy>adlibuser</lastModifiedBy>
  <lastPrinted>2022-07-13T14:19:00Z</lastPrinted>
  <dcterms:modified xsi:type="dcterms:W3CDTF">2026-03-05T11:33:00Z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y fmtid="{D5CDD505-2E9C-101B-9397-08002B2CF9AE}" pid="3" name="ContentTypeId">
    <vt:lpwstr>0x0101000B5815BE5C36B349BCFCEECA01EC68C3</vt:lpwstr>
  </property>
  <property fmtid="{D5CDD505-2E9C-101B-9397-08002B2CF9AE}" pid="4" name="ClassificationContentMarkingFooterShapeIds">
    <vt:lpwstr>2a7ab1e0,617a4a0e,286f76ee</vt:lpwstr>
  </property>
  <property fmtid="{D5CDD505-2E9C-101B-9397-08002B2CF9AE}" pid="5" name="ClassificationContentMarkingFooterFontProps">
    <vt:lpwstr>#000000,10,Aptos</vt:lpwstr>
  </property>
  <property fmtid="{D5CDD505-2E9C-101B-9397-08002B2CF9AE}" pid="6" name="ClassificationContentMarkingFooterText">
    <vt:lpwstr>Socialinės apsaugos ir darbo ministerija bei pavaldžios įstaigos | Viešam naudojimui</vt:lpwstr>
  </property>
</Properties>
</file>