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bbc47f591ef42a4859a85dee703f58f"/>
        <w:lock w:val="sdtLocked"/>
        <w:richText/>
      </w:sdtPr>
      <w:sdtContent>
        <w:p>
          <w:pPr>
            <w:shd w:val="clear" w:color="auto" w:fill="FFFFFF"/>
            <w:jc w:val="center"/>
            <w:rPr>
              <w:b/>
              <w:caps/>
              <w:szCs w:val="24"/>
              <w:lang w:eastAsia="lt-LT"/>
            </w:rPr>
          </w:pPr>
          <w:r>
            <w:rPr>
              <w:b/>
              <w:bCs/>
              <w:szCs w:val="24"/>
              <w:lang w:eastAsia="lt-LT"/>
            </w:rPr>
            <w:t>DIREKTYVOS (ES) 2024/1499 IR</w:t>
          </w:r>
          <w:r>
            <w:rPr>
              <w:szCs w:val="24"/>
              <w:lang w:eastAsia="lt-LT"/>
            </w:rPr>
            <w:t xml:space="preserve"> </w:t>
          </w:r>
          <w:r>
            <w:rPr>
              <w:b/>
              <w:bCs/>
              <w:szCs w:val="24"/>
              <w:lang w:eastAsia="lt-LT"/>
            </w:rPr>
            <w:t xml:space="preserve">NACIONALINIŲ TEISĖS AKTŲ </w:t>
          </w:r>
          <w:r>
            <w:rPr>
              <w:b/>
              <w:caps/>
              <w:szCs w:val="24"/>
              <w:lang w:eastAsia="lt-LT"/>
            </w:rPr>
            <w:t>atitikties lentelė</w:t>
          </w:r>
        </w:p>
        <w:p>
          <w:pPr>
            <w:shd w:val="clear" w:color="auto" w:fill="FFFFFF"/>
            <w:jc w:val="center"/>
            <w:rPr>
              <w:b/>
              <w:caps/>
              <w:szCs w:val="24"/>
              <w:lang w:eastAsia="lt-LT"/>
            </w:rPr>
          </w:pPr>
        </w:p>
        <w:p>
          <w:pPr>
            <w:shd w:val="clear" w:color="auto" w:fill="FFFFFF"/>
            <w:jc w:val="center"/>
            <w:rPr>
              <w:b/>
              <w:caps/>
              <w:szCs w:val="24"/>
              <w:lang w:eastAsia="lt-LT"/>
            </w:rPr>
          </w:pPr>
        </w:p>
        <w:p>
          <w:pPr>
            <w:shd w:val="clear" w:color="auto" w:fill="FFFFFF"/>
            <w:jc w:val="center"/>
            <w:rPr>
              <w:b/>
              <w:caps/>
              <w:szCs w:val="24"/>
              <w:lang w:eastAsia="lt-LT"/>
            </w:rPr>
          </w:pPr>
        </w:p>
        <w:p>
          <w:pPr>
            <w:shd w:val="clear" w:color="auto" w:fill="FFFFFF"/>
            <w:jc w:val="center"/>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1"/>
            <w:gridCol w:w="5830"/>
            <w:gridCol w:w="1792"/>
          </w:tblGrid>
          <w:tr>
            <w:tc>
              <w:tcPr>
                <w:tcW w:w="6371" w:type="dxa"/>
              </w:tcPr>
              <w:p>
                <w:pPr>
                  <w:jc w:val="center"/>
                  <w:rPr>
                    <w:szCs w:val="24"/>
                  </w:rPr>
                </w:pPr>
                <w:r>
                  <w:rPr>
                    <w:b/>
                    <w:bCs/>
                    <w:szCs w:val="24"/>
                  </w:rPr>
                  <w:t xml:space="preserve">2024 m. gegužės 7 d. Tarybos direktyvos </w:t>
                </w:r>
                <w:fldSimple w:instr="HYPERLINK http://eur-lex.europa.eu/legal-content/LIT/TXT/?uri=CELEX:32024L1499&amp;locale=lt \t _blank">
                  <w:r>
                    <w:rPr>
                      <w:b/>
                      <w:bCs/>
                      <w:szCs w:val="24"/>
                      <w:u w:val="single"/>
                      <w:color w:val="0000FF" w:themeColor="hyperlink"/>
                    </w:rPr>
                    <w:t>(ES) 2024/1499</w:t>
                  </w:r>
                </w:fldSimple>
                <w:r>
                  <w:rPr>
                    <w:b/>
                    <w:bCs/>
                    <w:szCs w:val="24"/>
                  </w:rPr>
                  <w:t xml:space="preserve"> </w:t>
                </w:r>
                <w:r>
                  <w:rPr>
                    <w:b/>
                    <w:bCs/>
                    <w:color w:val="000000"/>
                    <w:szCs w:val="24"/>
                  </w:rPr>
                  <w:t xml:space="preserve">dėl lygybės įstaigoms taikomų standartų vienodo požiūrio į asmenis, nepriklausomai nuo jų rasinės ar etninės kilmės, srityje, vienodo požiūrio į asmenis, nepriklausomai nuo jų religijos ar tikėjimo, negalios, amžiaus ar seksualinės orientacijos, užimtumo ir profesinėje srityje, vienodo požiūrio į moteris ir vyrus socialinės apsaugos srityje ir dėl galimybės naudotis prekėmis bei paslaugomis ir prekių tiekimo bei paslaugų teikimo, kuria iš dalies keičiamos direktyvos </w:t>
                </w:r>
                <w:fldSimple w:instr="HYPERLINK http://eur-lex.europa.eu/legal-content/LIT/TXT/?uri=CELEX:32000L0043&amp;locale=lt \t _blank">
                  <w:r>
                    <w:rPr>
                      <w:b/>
                      <w:bCs/>
                      <w:color w:val="0000FF" w:themeColor="hyperlink"/>
                      <w:szCs w:val="24"/>
                      <w:u w:val="single"/>
                    </w:rPr>
                    <w:t>2000/43/EB</w:t>
                  </w:r>
                </w:fldSimple>
                <w:r>
                  <w:rPr>
                    <w:b/>
                    <w:bCs/>
                    <w:color w:val="000000"/>
                    <w:szCs w:val="24"/>
                  </w:rPr>
                  <w:t xml:space="preserve"> ir </w:t>
                </w:r>
                <w:fldSimple w:instr="HYPERLINK http://eur-lex.europa.eu/legal-content/LIT/TXT/?uri=CELEX:32004L0113&amp;locale=lt \t _blank">
                  <w:r>
                    <w:rPr>
                      <w:b/>
                      <w:bCs/>
                      <w:color w:val="0000FF" w:themeColor="hyperlink"/>
                      <w:szCs w:val="24"/>
                      <w:u w:val="single"/>
                    </w:rPr>
                    <w:t>2004/113/EB</w:t>
                  </w:r>
                </w:fldSimple>
                <w:r>
                  <w:rPr>
                    <w:szCs w:val="24"/>
                  </w:rPr>
                  <w:t xml:space="preserve">  </w:t>
                </w:r>
              </w:p>
            </w:tc>
            <w:tc>
              <w:tcPr>
                <w:tcW w:w="5830" w:type="dxa"/>
              </w:tcPr>
              <w:p>
                <w:pPr>
                  <w:jc w:val="both"/>
                  <w:rPr>
                    <w:b/>
                    <w:bCs/>
                  </w:rPr>
                </w:pPr>
                <w:r>
                  <w:rPr>
                    <w:b/>
                    <w:bCs/>
                  </w:rPr>
                  <w:t>1. Lietuvos Respublikos lygių galimybių įstatymo Nr. IX-1826 pakeitimo įstatymo projektas (toliau – Projektas)</w:t>
                </w:r>
              </w:p>
              <w:p>
                <w:pPr>
                  <w:jc w:val="both"/>
                  <w:rPr>
                    <w:b/>
                    <w:bCs/>
                  </w:rPr>
                </w:pPr>
              </w:p>
              <w:p>
                <w:pPr>
                  <w:jc w:val="both"/>
                </w:pPr>
                <w:r>
                  <w:t>2. Lietuvos Respublikos asmens su negalia teisių apsaugos pagrindų įstatymas Nr. I-2044 (suvestinė redakcija nuo 2024-01-01 iki 2025-12-31)</w:t>
                </w:r>
              </w:p>
              <w:p>
                <w:pPr>
                  <w:jc w:val="both"/>
                </w:pPr>
              </w:p>
              <w:p>
                <w:pPr>
                  <w:jc w:val="both"/>
                </w:pPr>
                <w:r>
                  <w:t>3. Lietuvos Respublikos biudžetinių įstaigų įstatymas Nr. I-1113 (suvestinė redakcija nuo 202</w:t>
                </w:r>
                <w:r>
                  <w:rPr>
                    <w:lang w:val="en-US"/>
                  </w:rPr>
                  <w:t>4</w:t>
                </w:r>
                <w:r>
                  <w:t>-01-01 iki 2024-07-05)</w:t>
                </w:r>
              </w:p>
              <w:p>
                <w:pPr>
                  <w:jc w:val="center"/>
                  <w:rPr>
                    <w:b/>
                    <w:bCs/>
                    <w:szCs w:val="24"/>
                  </w:rPr>
                </w:pPr>
              </w:p>
            </w:tc>
            <w:tc>
              <w:tcPr>
                <w:tcW w:w="1792" w:type="dxa"/>
              </w:tcPr>
              <w:p>
                <w:pPr>
                  <w:jc w:val="center"/>
                  <w:rPr>
                    <w:b/>
                    <w:bCs/>
                    <w:szCs w:val="24"/>
                  </w:rPr>
                </w:pPr>
                <w:r>
                  <w:rPr>
                    <w:b/>
                    <w:bCs/>
                    <w:szCs w:val="24"/>
                  </w:rPr>
                  <w:t>Europos Sąjungos teisės akto perkėlimo (įgyvendinimo) lygis</w:t>
                </w:r>
              </w:p>
            </w:tc>
          </w:tr>
          <w:tr>
            <w:tc>
              <w:tcPr>
                <w:tcW w:w="6371" w:type="dxa"/>
              </w:tcPr>
              <w:p>
                <w:pPr>
                  <w:shd w:val="clear" w:color="auto" w:fill="FFFFFF"/>
                  <w:jc w:val="both"/>
                  <w:rPr>
                    <w:b/>
                    <w:bCs/>
                    <w:color w:val="000000"/>
                    <w:lang w:eastAsia="lt-LT"/>
                  </w:rPr>
                </w:pPr>
                <w:r>
                  <w:rPr>
                    <w:b/>
                    <w:bCs/>
                    <w:color w:val="000000"/>
                    <w:lang w:eastAsia="lt-LT"/>
                  </w:rPr>
                  <w:t>1 straipsnis</w:t>
                </w:r>
              </w:p>
              <w:p>
                <w:pPr>
                  <w:shd w:val="clear" w:color="auto" w:fill="FFFFFF"/>
                  <w:jc w:val="both"/>
                  <w:rPr>
                    <w:b/>
                    <w:bCs/>
                    <w:color w:val="000000"/>
                    <w:lang w:eastAsia="lt-LT"/>
                  </w:rPr>
                </w:pPr>
                <w:r>
                  <w:rPr>
                    <w:b/>
                    <w:bCs/>
                    <w:color w:val="000000"/>
                    <w:lang w:eastAsia="lt-LT"/>
                  </w:rPr>
                  <w:t>Tikslas, dalykas ir taikymo sritis</w:t>
                </w:r>
              </w:p>
              <w:p>
                <w:pPr>
                  <w:shd w:val="clear" w:color="auto" w:fill="FFFFFF"/>
                  <w:jc w:val="both"/>
                  <w:rPr>
                    <w:color w:val="000000"/>
                    <w:lang w:eastAsia="lt-LT"/>
                  </w:rPr>
                </w:pPr>
                <w:r>
                  <w:rPr>
                    <w:color w:val="000000"/>
                    <w:lang w:eastAsia="lt-LT"/>
                  </w:rPr>
                  <w:t xml:space="preserve">1.   Šioje direktyvoje nustatomi minimalieji lygybės įstaigų veikimo reikalavimai siekiant padidinti jų veiksmingumą ir užtikrinti nepriklausomumą, kad būtų griežčiau taikomas vienodo požiūrio principas, nustatytas direktyvose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w:t>
                </w:r>
              </w:p>
              <w:p>
                <w:pPr>
                  <w:shd w:val="clear" w:color="auto" w:fill="FFFFFF"/>
                  <w:jc w:val="both"/>
                  <w:rPr>
                    <w:szCs w:val="24"/>
                    <w:lang w:eastAsia="lt-LT"/>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r>
                  <w:t>&lt;...&gt;</w:t>
                </w:r>
              </w:p>
              <w:p>
                <w:pPr>
                  <w:jc w:val="both"/>
                  <w:rPr>
                    <w:b/>
                    <w:bCs/>
                  </w:rPr>
                </w:pPr>
                <w:r>
                  <w:rPr>
                    <w:b/>
                    <w:bCs/>
                  </w:rPr>
                  <w:t xml:space="preserve">3. Lygių galimybių kontrolierius savo veikloje yra objektyvus ir, spręsdamas jo kompetencijai priskirtus klausimus, vienodai (lygiai teisingai) priima sprendimus, užtikrindamas lygias galimybes. </w:t>
                </w:r>
              </w:p>
              <w:p>
                <w:pPr>
                  <w:jc w:val="both"/>
                  <w:rPr>
                    <w:b/>
                    <w:bCs/>
                  </w:rPr>
                </w:pPr>
                <w:r>
                  <w:rPr>
                    <w:b/>
                    <w:bCs/>
                  </w:rPr>
                  <w:t>&lt;...&gt;</w:t>
                </w:r>
              </w:p>
              <w:p>
                <w:pPr>
                  <w:jc w:val="both"/>
                  <w:rPr>
                    <w:b/>
                    <w:bCs/>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 xml:space="preserve">2.   Pagal šią direktyvą valstybėms narėms nustatomos pareigos ir lygybės įstaigoms pavedamos užduotys apima teises ir pareigas pagal direktyvas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w:t>
                </w:r>
              </w:p>
              <w:p>
                <w:pPr>
                  <w:shd w:val="clear" w:color="auto" w:fill="FFFFFF"/>
                  <w:jc w:val="both"/>
                  <w:rPr>
                    <w:b/>
                    <w:bCs/>
                    <w:color w:val="000000"/>
                    <w:lang w:eastAsia="lt-LT"/>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rPr>
                    <w:b/>
                    <w:bCs/>
                  </w:rPr>
                </w:pPr>
              </w:p>
            </w:tc>
            <w:tc>
              <w:tcPr>
                <w:tcW w:w="1792" w:type="dxa"/>
              </w:tcPr>
              <w:p>
                <w:pPr>
                  <w:rPr>
                    <w:b/>
                    <w:bCs/>
                  </w:rPr>
                </w:pPr>
                <w:r>
                  <w:rPr>
                    <w:b/>
                    <w:bCs/>
                  </w:rPr>
                  <w:t>Visiškas</w:t>
                </w:r>
              </w:p>
            </w:tc>
          </w:tr>
          <w:tr>
            <w:tc>
              <w:tcPr>
                <w:tcW w:w="6371" w:type="dxa"/>
              </w:tcPr>
              <w:p>
                <w:pPr>
                  <w:shd w:val="clear" w:color="auto" w:fill="FFFFFF"/>
                  <w:jc w:val="both"/>
                  <w:rPr>
                    <w:b/>
                    <w:bCs/>
                    <w:color w:val="000000"/>
                    <w:lang w:eastAsia="lt-LT"/>
                  </w:rPr>
                </w:pPr>
                <w:r>
                  <w:rPr>
                    <w:b/>
                    <w:bCs/>
                    <w:color w:val="000000"/>
                    <w:lang w:eastAsia="lt-LT"/>
                  </w:rPr>
                  <w:t>2 straipsnis</w:t>
                </w:r>
              </w:p>
              <w:p>
                <w:pPr>
                  <w:shd w:val="clear" w:color="auto" w:fill="FFFFFF"/>
                  <w:jc w:val="both"/>
                  <w:rPr>
                    <w:b/>
                    <w:bCs/>
                    <w:color w:val="000000"/>
                    <w:lang w:eastAsia="lt-LT"/>
                  </w:rPr>
                </w:pPr>
                <w:r>
                  <w:rPr>
                    <w:b/>
                    <w:bCs/>
                    <w:color w:val="000000"/>
                    <w:lang w:eastAsia="lt-LT"/>
                  </w:rPr>
                  <w:t>Lygybės įstaigų skyrimas</w:t>
                </w:r>
              </w:p>
              <w:p>
                <w:pPr>
                  <w:shd w:val="clear" w:color="auto" w:fill="FFFFFF"/>
                  <w:jc w:val="both"/>
                  <w:rPr>
                    <w:color w:val="000000"/>
                    <w:lang w:eastAsia="lt-LT"/>
                  </w:rPr>
                </w:pPr>
                <w:r>
                  <w:rPr>
                    <w:color w:val="000000"/>
                    <w:lang w:eastAsia="lt-LT"/>
                  </w:rPr>
                  <w:t>1.   Valstybės narės paskiria vieną ar kelias įstaigą (-as) (toliau – lygybės įstaigos) veikti šioje direktyvoje nustatytose kompetencijos srityse.</w:t>
                </w:r>
              </w:p>
              <w:p>
                <w:pPr>
                  <w:shd w:val="clear" w:color="auto" w:fill="FFFFFF"/>
                  <w:jc w:val="both"/>
                  <w:rPr>
                    <w:szCs w:val="24"/>
                    <w:lang w:eastAsia="lt-LT"/>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3) vykdo šio įstatymo įgyvendinimo priežiūrą ir Jungtinių Tautų asmenų su negalia teisių konvencijos įgyvendinimo kontrolę;</w:t>
                </w:r>
              </w:p>
              <w:p>
                <w:pPr>
                  <w:jc w:val="both"/>
                  <w:rPr>
                    <w:b/>
                    <w:bCs/>
                  </w:rPr>
                </w:pPr>
                <w:r>
                  <w:rPr>
                    <w:b/>
                    <w:bCs/>
                  </w:rPr>
                  <w:t>&lt;...&gt;</w:t>
                </w: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Ši direktyva nedaro poveikio darbo inspekcijų ir kitų vykdymo užtikrinimo įstaigų kompetencijoms ir socialinių partnerių teisėms ir prerogatyvoms pagal nacionalinę teisę ir praktiką, be kita ko, kiek tai susiję su kolektyvinėmis sutartimis ir atstovavimu bei gynyba teisme.</w:t>
                </w:r>
              </w:p>
              <w:p>
                <w:pPr>
                  <w:shd w:val="clear" w:color="auto" w:fill="FFFFFF"/>
                  <w:jc w:val="both"/>
                  <w:rPr>
                    <w:b/>
                    <w:bCs/>
                    <w:color w:val="000000"/>
                    <w:lang w:eastAsia="lt-LT"/>
                  </w:rPr>
                </w:pPr>
              </w:p>
            </w:tc>
            <w:tc>
              <w:tcPr>
                <w:tcW w:w="5830" w:type="dxa"/>
              </w:tcPr>
              <w:p>
                <w:pPr>
                  <w:jc w:val="both"/>
                  <w:rPr>
                    <w:b/>
                    <w:bCs/>
                  </w:rPr>
                </w:pPr>
                <w:r>
                  <w:rPr>
                    <w:b/>
                    <w:bCs/>
                  </w:rPr>
                  <w:t>Projektas</w:t>
                </w: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rPr>
                </w:pPr>
              </w:p>
            </w:tc>
            <w:tc>
              <w:tcPr>
                <w:tcW w:w="1792" w:type="dxa"/>
              </w:tcPr>
              <w:p>
                <w:pPr>
                  <w:rPr>
                    <w:b/>
                    <w:bCs/>
                  </w:rPr>
                </w:pPr>
                <w:r>
                  <w:rPr>
                    <w:b/>
                    <w:bCs/>
                  </w:rPr>
                  <w:t>Visiškas</w:t>
                </w:r>
              </w:p>
            </w:tc>
          </w:tr>
          <w:tr>
            <w:trPr>
              <w:trHeight w:val="6520"/>
            </w:trPr>
            <w:tc>
              <w:tcPr>
                <w:tcW w:w="6371" w:type="dxa"/>
              </w:tcPr>
              <w:p>
                <w:pPr>
                  <w:shd w:val="clear" w:color="auto" w:fill="FFFFFF"/>
                  <w:jc w:val="both"/>
                  <w:rPr>
                    <w:b/>
                    <w:bCs/>
                    <w:color w:val="000000"/>
                    <w:lang w:eastAsia="lt-LT"/>
                  </w:rPr>
                </w:pPr>
                <w:r>
                  <w:rPr>
                    <w:b/>
                    <w:bCs/>
                    <w:color w:val="000000"/>
                    <w:lang w:eastAsia="lt-LT"/>
                  </w:rPr>
                  <w:t>3 straipsnis</w:t>
                </w:r>
              </w:p>
              <w:p>
                <w:pPr>
                  <w:shd w:val="clear" w:color="auto" w:fill="FFFFFF"/>
                  <w:jc w:val="both"/>
                  <w:rPr>
                    <w:b/>
                    <w:bCs/>
                    <w:color w:val="000000"/>
                    <w:lang w:eastAsia="lt-LT"/>
                  </w:rPr>
                </w:pPr>
                <w:r>
                  <w:rPr>
                    <w:b/>
                    <w:bCs/>
                    <w:color w:val="000000"/>
                    <w:lang w:eastAsia="lt-LT"/>
                  </w:rPr>
                  <w:t>Nepriklausomumas</w:t>
                </w:r>
              </w:p>
              <w:p>
                <w:pPr>
                  <w:shd w:val="clear" w:color="auto" w:fill="FFFFFF"/>
                  <w:jc w:val="both"/>
                  <w:rPr>
                    <w:color w:val="000000"/>
                    <w:lang w:eastAsia="lt-LT"/>
                  </w:rPr>
                </w:pPr>
                <w:r>
                  <w:rPr>
                    <w:color w:val="000000"/>
                    <w:lang w:eastAsia="lt-LT"/>
                  </w:rPr>
                  <w:t>1.   Valstybės narės imasi priemonių siekdamos užtikrinti, kad lygybės įstaigos vykdydamos savo užduotis ir veikdamos savo kompetencijos srityse būtų nepriklausomos ir nepatirtų išorinės įtakos bei neprašytų ir nevykdytų vyriausybės ir jokio kito viešojo ar privačiojo subjekto nurodymų. Laikantis šios direktyvos tikslų ir taikomos teisinės sistemos, lygybės įstaigos turi galėti pačios valdyti savo finansinius ir kitus išteklius, taip pat pačios priimti savo sprendimus, susijusius su jų vidine struktūra, atskaitomybe, personalu, organizaciniais klausimais ir finansinių išteklių valdymu.</w:t>
                </w:r>
              </w:p>
              <w:p>
                <w:pPr>
                  <w:shd w:val="clear" w:color="auto" w:fill="FFFFFF"/>
                  <w:jc w:val="both"/>
                  <w:rPr>
                    <w:lang w:eastAsia="lt-LT"/>
                  </w:rPr>
                </w:pPr>
              </w:p>
              <w:p>
                <w:pPr>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rPr>
                    <w:b/>
                    <w:bCs/>
                  </w:rPr>
                </w:pPr>
                <w:r>
                  <w:rPr>
                    <w:b/>
                    <w:bCs/>
                  </w:rPr>
                  <w:t>&lt;...&gt;</w:t>
                </w:r>
              </w:p>
              <w:p>
                <w:pPr>
                  <w:jc w:val="both"/>
                  <w:rPr>
                    <w:b/>
                    <w:bCs/>
                  </w:rPr>
                </w:pPr>
                <w:r>
                  <w:rPr>
                    <w:b/>
                    <w:bCs/>
                  </w:rPr>
                  <w:t xml:space="preserve">3. Lygių galimybių kontrolierius savo veikloje yra objektyvus ir, spręsdamas jo kompetencijai priskirtus klausimus, vienodai (lygiai teisingai) priima sprendimus, užtikrindamas lygias galimybes.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rPr>
                </w:pP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ind w:right="92"/>
                  <w:jc w:val="both"/>
                  <w:rPr>
                    <w:b/>
                    <w:bCs/>
                    <w:szCs w:val="24"/>
                  </w:rPr>
                </w:pPr>
              </w:p>
            </w:tc>
            <w:tc>
              <w:tcPr>
                <w:tcW w:w="1792" w:type="dxa"/>
              </w:tcPr>
              <w:p>
                <w:pPr>
                  <w:jc w:val="both"/>
                  <w:rPr>
                    <w:b/>
                    <w:bCs/>
                    <w:szCs w:val="24"/>
                  </w:rPr>
                </w:pPr>
                <w:r>
                  <w:rPr>
                    <w:b/>
                    <w:bCs/>
                    <w:szCs w:val="24"/>
                  </w:rPr>
                  <w:t>Visiškas</w:t>
                </w:r>
              </w:p>
            </w:tc>
          </w:tr>
          <w:tr>
            <w:trPr>
              <w:trHeight w:val="2778"/>
            </w:trPr>
            <w:tc>
              <w:tcPr>
                <w:tcW w:w="6371" w:type="dxa"/>
              </w:tcPr>
              <w:p>
                <w:pPr>
                  <w:shd w:val="clear" w:color="auto" w:fill="FFFFFF"/>
                  <w:jc w:val="both"/>
                  <w:rPr>
                    <w:color w:val="000000"/>
                    <w:lang w:eastAsia="lt-LT"/>
                  </w:rPr>
                </w:pPr>
                <w:r>
                  <w:rPr>
                    <w:color w:val="000000"/>
                    <w:lang w:eastAsia="lt-LT"/>
                  </w:rPr>
                  <w:t>2.   Valstybės narės numato skaidrias procedūras, susijusias su sprendimų priėmimo ar vadovaujamas pareigas einančių lygybės įstaigų darbuotojų ir, kai taikytina, valdybos narių atranka, skyrimu, atleidimu ir galimu interesų konfliktu, kad būtų užtikrinta jų kompetencija ir nepriklausomumas.</w:t>
                </w:r>
              </w:p>
              <w:p>
                <w:pPr>
                  <w:shd w:val="clear" w:color="auto" w:fill="FFFFFF"/>
                  <w:jc w:val="both"/>
                  <w:rPr>
                    <w:color w:val="000000"/>
                    <w:lang w:eastAsia="lt-LT"/>
                  </w:rPr>
                </w:pPr>
              </w:p>
              <w:p>
                <w:pPr>
                  <w:jc w:val="both"/>
                  <w:rPr>
                    <w:b/>
                    <w:bCs/>
                    <w:szCs w:val="24"/>
                  </w:rPr>
                </w:pPr>
              </w:p>
              <w:p>
                <w:pPr>
                  <w:jc w:val="center"/>
                  <w:rPr>
                    <w:szCs w:val="24"/>
                  </w:rPr>
                </w:pPr>
              </w:p>
            </w:tc>
            <w:tc>
              <w:tcPr>
                <w:tcW w:w="5830" w:type="dxa"/>
              </w:tcPr>
              <w:p>
                <w:pPr>
                  <w:ind w:right="92"/>
                  <w:jc w:val="both"/>
                  <w:rPr>
                    <w:b/>
                    <w:bCs/>
                  </w:rPr>
                </w:pPr>
                <w:r>
                  <w:rPr>
                    <w:b/>
                    <w:bCs/>
                  </w:rPr>
                  <w:t>Projektas</w:t>
                </w:r>
              </w:p>
              <w:p>
                <w:pPr>
                  <w:ind w:right="92"/>
                  <w:jc w:val="both"/>
                  <w:rPr>
                    <w:b/>
                    <w:bCs/>
                  </w:rPr>
                </w:pPr>
                <w:r>
                  <w:rPr>
                    <w:b/>
                    <w:bCs/>
                  </w:rPr>
                  <w:t xml:space="preserve">13 straipsnis. Lygių galimybių kontrolierius </w:t>
                </w:r>
              </w:p>
              <w:p>
                <w:pPr>
                  <w:ind w:right="92"/>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ind w:right="92"/>
                  <w:jc w:val="both"/>
                  <w:rPr>
                    <w:b/>
                    <w:bCs/>
                  </w:rPr>
                </w:pPr>
                <w:r>
                  <w:rPr>
                    <w:b/>
                    <w:bCs/>
                  </w:rPr>
                  <w:t>&lt;...&gt;</w:t>
                </w:r>
              </w:p>
              <w:p>
                <w:pPr>
                  <w:ind w:right="92"/>
                  <w:jc w:val="both"/>
                  <w:rPr>
                    <w:b/>
                    <w:bCs/>
                  </w:rPr>
                </w:pPr>
                <w:r>
                  <w:rPr>
                    <w:b/>
                    <w:bCs/>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pPr>
                  <w:ind w:right="92"/>
                  <w:jc w:val="both"/>
                  <w:rPr>
                    <w:b/>
                    <w:bCs/>
                  </w:rPr>
                </w:pPr>
              </w:p>
              <w:p>
                <w:pPr>
                  <w:ind w:right="92"/>
                  <w:jc w:val="both"/>
                  <w:rPr>
                    <w:b/>
                    <w:bCs/>
                  </w:rPr>
                </w:pPr>
                <w:r>
                  <w:rPr>
                    <w:b/>
                    <w:bCs/>
                  </w:rPr>
                  <w:t xml:space="preserve">14 straipsnis. Reikalavimai lygių galimybių kontrolieriui, jo skyrimo ir atleidimo tvarka </w:t>
                </w:r>
              </w:p>
              <w:p>
                <w:pPr>
                  <w:ind w:right="92"/>
                  <w:jc w:val="both"/>
                  <w:rPr>
                    <w:b/>
                    <w:bCs/>
                  </w:rPr>
                </w:pPr>
                <w:r>
                  <w:rPr>
                    <w:b/>
                    <w:bCs/>
                  </w:rPr>
                  <w:t xml:space="preserve">1. Lygių galimybių kontrolieriumi gali būti skiriamas nepriekaištingos reputacijos Lietuvos Respublikos pilietis, turintis aukštąjį universitetinį teisinį išsilavinimą – teisės bakalauro ir teisės magistro kvalifikacinius laipsnius arba teisininko profesinį kvalifikacinį laipsnį (vienpakopį teisinį universitetinį išsilavinimą) ir ne mažesnį kaip 10 metų teisinio ar teisinio pedagoginio darbo stažą, taip pat ne mažesnę negu 5 metų darbo ar veiklos žmogaus teisių ir laisvių apsaugos srityje patirtį. </w:t>
                </w:r>
              </w:p>
              <w:p>
                <w:pPr>
                  <w:ind w:right="92"/>
                  <w:jc w:val="both"/>
                  <w:rPr>
                    <w:b/>
                    <w:bCs/>
                  </w:rPr>
                </w:pPr>
                <w:r>
                  <w:rPr>
                    <w:b/>
                    <w:bCs/>
                  </w:rPr>
                  <w:t xml:space="preserve">2. Lygių galimybių kontrolierių 5 metų kadencijai skiria Seimas Seimo Pirmininko teikimu. Tas pats asmuo lygių galimybių kontrolieriumi gali būti skiriamas ne daugiau kaip 2 kadencijas iš eilės. Seimo Pirmininkas lygių galimybių kontrolieriaus kandidatūrą Seimui pateikia likus ne mažiau kaip 3 mėnesiams iki lygių galimybių kontrolieriaus kadencijos pabaigos, išskyrus šio straipsnio 9 dalyje numatytus atvejus. </w:t>
                </w:r>
              </w:p>
              <w:p>
                <w:pPr>
                  <w:ind w:right="92"/>
                  <w:jc w:val="both"/>
                  <w:rPr>
                    <w:b/>
                    <w:bCs/>
                  </w:rPr>
                </w:pPr>
                <w:r>
                  <w:rPr>
                    <w:b/>
                    <w:bCs/>
                  </w:rPr>
                  <w:t>3. Kandidatus į lygių galimybių kontrolieriaus pareigas Seimo Pirmininkui gali teikti valstybės institucijos, nevyriausybinės organizacijos ir mokslo bei studijų institucijos.</w:t>
                </w:r>
              </w:p>
              <w:p>
                <w:pPr>
                  <w:ind w:right="92"/>
                  <w:jc w:val="both"/>
                  <w:rPr>
                    <w:b/>
                    <w:bCs/>
                  </w:rPr>
                </w:pPr>
                <w:r>
                  <w:rPr>
                    <w:b/>
                    <w:bCs/>
                  </w:rPr>
                  <w:t xml:space="preserve">4. Lygių galimybių kontrolierius, prieš pradėdamas eiti pareigas, prisiekia Lietuvos valstybei, perskaitydamas šio įstatymo 15 straipsnio 2 dalyje pateiktą lygių galimybių kontrolieriaus priesaikos tekstą. </w:t>
                </w:r>
              </w:p>
              <w:p>
                <w:pPr>
                  <w:ind w:right="92"/>
                  <w:jc w:val="both"/>
                  <w:rPr>
                    <w:b/>
                    <w:bCs/>
                  </w:rPr>
                </w:pPr>
                <w:r>
                  <w:rPr>
                    <w:b/>
                    <w:bCs/>
                  </w:rPr>
                  <w:t>5. Lygių galimybių kontrolieriaus įgaliojimai nutrūksta, kai:</w:t>
                </w:r>
              </w:p>
              <w:p>
                <w:pPr>
                  <w:ind w:right="92"/>
                  <w:jc w:val="both"/>
                  <w:rPr>
                    <w:b/>
                    <w:bCs/>
                  </w:rPr>
                </w:pPr>
                <w:r>
                  <w:rPr>
                    <w:b/>
                    <w:bCs/>
                  </w:rPr>
                  <w:t>1) pasibaigia jo įgaliojimų laikas ir jis neskiriamas kitai kadencijai;</w:t>
                </w:r>
              </w:p>
              <w:p>
                <w:pPr>
                  <w:ind w:right="92"/>
                  <w:jc w:val="both"/>
                  <w:rPr>
                    <w:b/>
                    <w:bCs/>
                  </w:rPr>
                </w:pPr>
                <w:r>
                  <w:rPr>
                    <w:b/>
                    <w:bCs/>
                  </w:rPr>
                  <w:t xml:space="preserve">2) jis Seimo paskiriamas ar Seimo pritarimu paskiriamas į kitas pareigas; </w:t>
                </w:r>
              </w:p>
              <w:p>
                <w:pPr>
                  <w:ind w:right="92"/>
                  <w:jc w:val="both"/>
                  <w:rPr>
                    <w:b/>
                    <w:bCs/>
                  </w:rPr>
                </w:pPr>
                <w:r>
                  <w:rPr>
                    <w:b/>
                    <w:bCs/>
                  </w:rPr>
                  <w:t>3) jis miršta.</w:t>
                </w:r>
              </w:p>
              <w:p>
                <w:pPr>
                  <w:ind w:right="92"/>
                  <w:jc w:val="both"/>
                  <w:rPr>
                    <w:b/>
                    <w:bCs/>
                  </w:rPr>
                </w:pPr>
                <w:r>
                  <w:rPr>
                    <w:b/>
                    <w:bCs/>
                  </w:rPr>
                  <w:t>6. Lygių galimybių kontrolierius atleidžiamas iš pareigų, jei:</w:t>
                </w:r>
              </w:p>
              <w:p>
                <w:pPr>
                  <w:ind w:right="92"/>
                  <w:jc w:val="both"/>
                  <w:rPr>
                    <w:b/>
                    <w:bCs/>
                  </w:rPr>
                </w:pPr>
                <w:r>
                  <w:rPr>
                    <w:b/>
                    <w:bCs/>
                  </w:rPr>
                  <w:t>1) jis atsistatydina;</w:t>
                </w:r>
              </w:p>
              <w:p>
                <w:pPr>
                  <w:ind w:right="92"/>
                  <w:jc w:val="both"/>
                  <w:rPr>
                    <w:b/>
                    <w:bCs/>
                  </w:rPr>
                </w:pPr>
                <w:r>
                  <w:rPr>
                    <w:b/>
                    <w:bCs/>
                  </w:rPr>
                  <w:t>2) jis dėl sveikatos būklės nebegali eiti pareigų;</w:t>
                </w:r>
              </w:p>
              <w:p>
                <w:pPr>
                  <w:ind w:right="92"/>
                  <w:jc w:val="both"/>
                  <w:rPr>
                    <w:b/>
                    <w:bCs/>
                  </w:rPr>
                </w:pPr>
                <w:r>
                  <w:rPr>
                    <w:b/>
                    <w:bCs/>
                  </w:rPr>
                  <w:t>3) jam įsiteisėja apkaltinamasis teismo nuosprendis;</w:t>
                </w:r>
              </w:p>
              <w:p>
                <w:pPr>
                  <w:ind w:right="92"/>
                  <w:jc w:val="both"/>
                  <w:rPr>
                    <w:b/>
                    <w:bCs/>
                  </w:rPr>
                </w:pPr>
                <w:r>
                  <w:rPr>
                    <w:b/>
                    <w:bCs/>
                  </w:rPr>
                  <w:t>4) jis sulaužo priesaiką;</w:t>
                </w:r>
              </w:p>
              <w:p>
                <w:pPr>
                  <w:ind w:right="92"/>
                  <w:jc w:val="both"/>
                  <w:rPr>
                    <w:b/>
                    <w:bCs/>
                  </w:rPr>
                </w:pPr>
                <w:r>
                  <w:rPr>
                    <w:b/>
                    <w:bCs/>
                  </w:rPr>
                  <w:t>5) jis netenka Lietuvos Respublikos pilietybės;</w:t>
                </w:r>
              </w:p>
              <w:p>
                <w:pPr>
                  <w:ind w:right="92"/>
                  <w:jc w:val="both"/>
                  <w:rPr>
                    <w:b/>
                    <w:bCs/>
                  </w:rPr>
                </w:pPr>
                <w:r>
                  <w:rPr>
                    <w:b/>
                    <w:bCs/>
                  </w:rPr>
                  <w:t>6) jis neatitinka nepriekaištingos reputacijos reikalavimų, nustatytų Valstybės tarnybos įstatyme.</w:t>
                </w:r>
              </w:p>
              <w:p>
                <w:pPr>
                  <w:ind w:right="92"/>
                  <w:jc w:val="both"/>
                  <w:rPr>
                    <w:b/>
                    <w:bCs/>
                  </w:rPr>
                </w:pPr>
                <w:r>
                  <w:rPr>
                    <w:b/>
                    <w:bCs/>
                  </w:rPr>
                  <w:t>7. Šio straipsnio 5 dalies 1 ir 2 punktuose bei 6 dalyje nurodytais atvejais sprendimą dėl lygių galimybių kontrolieriaus atleidimo priima Seimas Seimo Pirmininko teikimu.</w:t>
                </w:r>
              </w:p>
              <w:p>
                <w:pPr>
                  <w:ind w:right="92"/>
                  <w:jc w:val="both"/>
                  <w:rPr>
                    <w:b/>
                    <w:bCs/>
                  </w:rPr>
                </w:pPr>
                <w:r>
                  <w:rPr>
                    <w:b/>
                    <w:bCs/>
                  </w:rPr>
                  <w:t xml:space="preserve">8. Šio straipsnio 5 dalies 1 punkte nurodytu atveju lygių galimybių kontrolierius eina pareigas tol, kol paskiriamas naujas lygių galimybių kontrolierius. Kitais šio straipsnio 5 ir 6 dalyse nurodytais atvejais, kol bus paskirtas naujas lygių galimybių kontrolierius, lygių galimybių kontrolieriaus pareigas Seimo valdyba paveda eiti vaiko teisių apsaugos kontrolieriui, o jei jis negali, – Seimo kontrolieriui. </w:t>
                </w:r>
              </w:p>
              <w:p>
                <w:pPr>
                  <w:ind w:right="92"/>
                  <w:jc w:val="both"/>
                  <w:rPr>
                    <w:b/>
                    <w:bCs/>
                  </w:rPr>
                </w:pPr>
                <w:r>
                  <w:rPr>
                    <w:b/>
                    <w:bCs/>
                  </w:rPr>
                  <w:t>9. Lygių galimybių kontrolieriaus įgaliojimams nutrūkus šio straipsnio 5 dalies 2 ir 3 punktuose nurodytais atvejais ar lygių galimybių kontrolierių atleidus iš pareigų 6 dalyje nurodytais atvejais, Seimo Pirmininkas lygių galimybių kontrolieriaus kandidatūrą pateikia Seimui ne vėliau kaip per vieną mėnesį nuo lygių galimybių kontrolieriaus įgaliojimų pabaigos dienos. Dėl lygių galimybių kontrolieriaus atleidimo iš pareigų šio straipsnio 6 dalies 2 punkte nurodytu atveju Seimas priima sprendimą tik tada, kai sveikatos apsaugos ministro sudaryta gydytojų komisija pateikia išvadą, kad lygių galimybių kontrolierius nebegali eiti šių pareigų.</w:t>
                </w:r>
              </w:p>
              <w:p>
                <w:pPr>
                  <w:ind w:right="92"/>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b/>
                    <w:bCs/>
                  </w:rPr>
                </w:pPr>
              </w:p>
              <w:p>
                <w:pPr>
                  <w:jc w:val="both"/>
                  <w:rPr>
                    <w:b/>
                    <w:bCs/>
                    <w:szCs w:val="24"/>
                  </w:rPr>
                </w:pPr>
              </w:p>
            </w:tc>
            <w:tc>
              <w:tcPr>
                <w:tcW w:w="1792" w:type="dxa"/>
              </w:tcPr>
              <w:p>
                <w:pPr>
                  <w:rPr>
                    <w:b/>
                    <w:bCs/>
                    <w:szCs w:val="24"/>
                  </w:rPr>
                </w:pPr>
                <w:r>
                  <w:rPr>
                    <w:b/>
                    <w:bCs/>
                    <w:szCs w:val="24"/>
                  </w:rPr>
                  <w:t>Visiškas</w:t>
                </w:r>
              </w:p>
            </w:tc>
          </w:tr>
          <w:tr>
            <w:trPr>
              <w:trHeight w:val="2778"/>
            </w:trPr>
            <w:tc>
              <w:tcPr>
                <w:tcW w:w="6371" w:type="dxa"/>
              </w:tcPr>
              <w:p>
                <w:pPr>
                  <w:jc w:val="both"/>
                  <w:rPr>
                    <w:b/>
                    <w:bCs/>
                    <w:szCs w:val="24"/>
                  </w:rPr>
                </w:pPr>
                <w:r>
                  <w:rPr>
                    <w:color w:val="000000"/>
                  </w:rPr>
                  <w:t>3.   Valstybės narės užtikrina, kad lygybės įstaigos sukurtų vidinę struktūrą, kuria būtų užtikrintas nepriklausomas ir, kai tinkama, nešališkas veikimas jų kompetencijos srityse</w:t>
                </w:r>
              </w:p>
            </w:tc>
            <w:tc>
              <w:tcPr>
                <w:tcW w:w="5830" w:type="dxa"/>
              </w:tcPr>
              <w:p>
                <w:pPr>
                  <w:jc w:val="both"/>
                  <w:textAlignment w:val="baseline"/>
                  <w:rPr>
                    <w:b/>
                    <w:bCs/>
                  </w:rPr>
                </w:pPr>
                <w:r>
                  <w:rPr>
                    <w:b/>
                    <w:bCs/>
                  </w:rPr>
                  <w:t>Projektas</w:t>
                </w:r>
              </w:p>
              <w:p>
                <w:pPr>
                  <w:jc w:val="both"/>
                  <w:textAlignment w:val="baseline"/>
                  <w:rPr>
                    <w:b/>
                    <w:bCs/>
                  </w:rPr>
                </w:pPr>
                <w:r>
                  <w:rPr>
                    <w:b/>
                    <w:bCs/>
                  </w:rPr>
                  <w:t xml:space="preserve">13 straipsnis. Lygių galimybių kontrolierius </w:t>
                </w:r>
              </w:p>
              <w:p>
                <w:pPr>
                  <w:jc w:val="both"/>
                  <w:textAlignment w:val="baseline"/>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textAlignment w:val="baseline"/>
                  <w:rPr>
                    <w:b/>
                    <w:bCs/>
                  </w:rPr>
                </w:pPr>
                <w:r>
                  <w:rPr>
                    <w:b/>
                    <w:bCs/>
                  </w:rPr>
                  <w:t>&lt;...&gt;</w:t>
                </w: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b/>
                    <w:bCs/>
                  </w:rPr>
                </w:pPr>
              </w:p>
              <w:p>
                <w:pPr>
                  <w:jc w:val="both"/>
                  <w:textAlignment w:val="baseline"/>
                  <w:rPr>
                    <w:b/>
                    <w:bCs/>
                    <w:szCs w:val="24"/>
                  </w:rPr>
                </w:pP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color w:val="000000"/>
                    <w:lang w:eastAsia="lt-LT"/>
                  </w:rPr>
                </w:pPr>
                <w:r>
                  <w:rPr>
                    <w:color w:val="000000"/>
                    <w:lang w:eastAsia="lt-LT"/>
                  </w:rPr>
                  <w:t>4.   Valstybės narės užtikrina, kad įvairių įgaliojimų turinčių įstaigų vidine struktūra būtų užtikrinta, kad lygybės užtikrinimo įgaliojimai būtų vykdomi veiksmingai.</w:t>
                </w:r>
              </w:p>
              <w:p>
                <w:pPr>
                  <w:rPr>
                    <w:b/>
                    <w:bCs/>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szCs w:val="24"/>
                  </w:rPr>
                </w:pPr>
                <w:r>
                  <w:rPr>
                    <w:b/>
                    <w:bCs/>
                    <w:szCs w:val="24"/>
                  </w:rPr>
                  <w:t>16) teikia išvadas ir (ar) rekomendacijas dėl šio įstatymo įgyvendinimo,</w:t>
                </w:r>
                <w:r>
                  <w:rPr>
                    <w:rFonts w:ascii="Aptos" w:eastAsia="Aptos" w:hAnsi="Aptos" w:cs="Aptos"/>
                    <w:b/>
                    <w:bCs/>
                    <w:szCs w:val="24"/>
                  </w:rPr>
                  <w:t xml:space="preserve"> </w:t>
                </w:r>
                <w:r>
                  <w:rPr>
                    <w:b/>
                    <w:bCs/>
                    <w:szCs w:val="24"/>
                  </w:rPr>
                  <w:t>gali viešai jas skelbti ir prašyti nevyriausybinių organizacijų, kitų suinteresuotų subjektų pateikti nuomonę ir pasiūlymus dėl jų;</w:t>
                </w:r>
              </w:p>
              <w:p>
                <w:pPr>
                  <w:jc w:val="both"/>
                  <w:rPr>
                    <w:szCs w:val="24"/>
                  </w:rPr>
                </w:pPr>
                <w:r>
                  <w:rPr>
                    <w:b/>
                    <w:bCs/>
                    <w:szCs w:val="24"/>
                  </w:rPr>
                  <w:t>17) teikia pasiūlymus valstybės ir savivaldybių institucijoms bei įstaigoms dėl valstybės lygių galimybių politikos prioritetų ir (ar) teisės aktų lygių galimybių srityje tobulinimo</w:t>
                </w:r>
                <w:r>
                  <w:rPr>
                    <w:szCs w:val="24"/>
                  </w:rPr>
                  <w:t>;</w:t>
                </w:r>
              </w:p>
              <w:p>
                <w:pPr>
                  <w:jc w:val="both"/>
                  <w:rPr>
                    <w:b/>
                    <w:bCs/>
                  </w:rPr>
                </w:pPr>
                <w:r>
                  <w:rPr>
                    <w:b/>
                    <w:bCs/>
                  </w:rPr>
                  <w:t>&lt;...&gt;</w:t>
                </w:r>
              </w:p>
              <w:p>
                <w:pPr>
                  <w:jc w:val="both"/>
                  <w:rPr>
                    <w:b/>
                    <w:bCs/>
                  </w:rPr>
                </w:pP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b/>
                    <w:bCs/>
                  </w:rPr>
                </w:pPr>
              </w:p>
              <w:p>
                <w:pPr>
                  <w:jc w:val="both"/>
                  <w:rPr>
                    <w:b/>
                    <w:bCs/>
                  </w:rPr>
                </w:pPr>
              </w:p>
              <w:p>
                <w:pPr>
                  <w:jc w:val="both"/>
                </w:pPr>
              </w:p>
              <w:p>
                <w:pPr>
                  <w:jc w:val="both"/>
                  <w:rPr>
                    <w:b/>
                    <w:bCs/>
                    <w:szCs w:val="24"/>
                  </w:rPr>
                </w:pP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b/>
                    <w:bCs/>
                    <w:color w:val="000000"/>
                    <w:lang w:eastAsia="lt-LT"/>
                  </w:rPr>
                </w:pPr>
                <w:r>
                  <w:rPr>
                    <w:b/>
                    <w:bCs/>
                    <w:color w:val="000000"/>
                    <w:lang w:eastAsia="lt-LT"/>
                  </w:rPr>
                  <w:t>4 straipsnis</w:t>
                </w:r>
              </w:p>
              <w:p>
                <w:pPr>
                  <w:shd w:val="clear" w:color="auto" w:fill="FFFFFF"/>
                  <w:jc w:val="both"/>
                  <w:rPr>
                    <w:b/>
                    <w:bCs/>
                    <w:color w:val="000000"/>
                    <w:lang w:eastAsia="lt-LT"/>
                  </w:rPr>
                </w:pPr>
                <w:r>
                  <w:rPr>
                    <w:b/>
                    <w:bCs/>
                    <w:color w:val="000000"/>
                    <w:lang w:eastAsia="lt-LT"/>
                  </w:rPr>
                  <w:t>Ištekliai</w:t>
                </w:r>
              </w:p>
              <w:p>
                <w:pPr>
                  <w:shd w:val="clear" w:color="auto" w:fill="FFFFFF"/>
                  <w:jc w:val="both"/>
                  <w:rPr>
                    <w:color w:val="000000"/>
                    <w:lang w:eastAsia="lt-LT"/>
                  </w:rPr>
                </w:pPr>
                <w:r>
                  <w:rPr>
                    <w:color w:val="000000"/>
                    <w:lang w:eastAsia="lt-LT"/>
                  </w:rPr>
                  <w:t xml:space="preserve">Valstybės narės pagal savo nacionalinius biudžeto sudarymo procesus užtikrina, kad kiekviena lygybės įstaiga būtų aprūpinta žmogiškaisiais, techniniais ir finansiniais ištekliais, reikalingais visoms jų užduotims veiksmingai vykdyti ir visose jų kompetencijos srityse veiksmingai veikti, tais pagrindais, kurie išdėstyti, ir tose srityse, kuriems taikomos direktyvos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be kita ko, tais atvejais, kai lygybės įstaigos yra įvairių įgaliojimų turinčių įstaigų dalis.</w:t>
                </w:r>
              </w:p>
              <w:p>
                <w:pPr>
                  <w:jc w:val="both"/>
                  <w:rPr>
                    <w:b/>
                    <w:bCs/>
                    <w:szCs w:val="24"/>
                  </w:rPr>
                </w:pPr>
              </w:p>
              <w:p>
                <w:pPr>
                  <w:rPr>
                    <w:b/>
                    <w:bCs/>
                    <w:szCs w:val="24"/>
                  </w:rPr>
                </w:pPr>
              </w:p>
              <w:p>
                <w:pPr>
                  <w:tabs>
                    <w:tab w:val="left" w:pos="3552"/>
                  </w:tabs>
                  <w:ind w:firstLine="3552"/>
                  <w:rPr>
                    <w:szCs w:val="24"/>
                  </w:rPr>
                </w:pPr>
              </w:p>
            </w:tc>
            <w:tc>
              <w:tcPr>
                <w:tcW w:w="5830" w:type="dxa"/>
              </w:tcPr>
              <w:p>
                <w:pPr>
                  <w:jc w:val="both"/>
                  <w:rPr>
                    <w:b/>
                    <w:bCs/>
                  </w:rPr>
                </w:pPr>
                <w:r>
                  <w:rPr>
                    <w:b/>
                    <w:bCs/>
                  </w:rPr>
                  <w:t>Projektas</w:t>
                </w: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r>
                  <w:rPr>
                    <w:b/>
                    <w:bCs/>
                  </w:rPr>
                  <w:t>3. Lygių galimybių kontrolieriaus tarnybai vadovauja lygių galimybių kontrolierius.</w:t>
                </w:r>
              </w:p>
              <w:p>
                <w:pPr>
                  <w:jc w:val="both"/>
                  <w:rPr>
                    <w:b/>
                    <w:bCs/>
                  </w:rPr>
                </w:pPr>
                <w:r>
                  <w:rPr>
                    <w:b/>
                    <w:bCs/>
                  </w:rPr>
                  <w:t>4. Lygių galimybių kontrolieriaus tarnybos darbo reglamentą tvirtina lygių galimybių kontrolierius.</w:t>
                </w:r>
              </w:p>
              <w:p>
                <w:pPr>
                  <w:jc w:val="both"/>
                  <w:rPr>
                    <w:b/>
                    <w:bCs/>
                  </w:rPr>
                </w:pPr>
              </w:p>
              <w:p>
                <w:pPr>
                  <w:jc w:val="both"/>
                  <w:rPr>
                    <w:b/>
                    <w:bCs/>
                  </w:rPr>
                </w:pP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pP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b/>
                    <w:bCs/>
                    <w:color w:val="000000"/>
                    <w:lang w:eastAsia="lt-LT"/>
                  </w:rPr>
                </w:pPr>
                <w:r>
                  <w:rPr>
                    <w:b/>
                    <w:bCs/>
                    <w:color w:val="000000"/>
                    <w:lang w:eastAsia="lt-LT"/>
                  </w:rPr>
                  <w:t>5 straipsnis</w:t>
                </w:r>
              </w:p>
              <w:p>
                <w:pPr>
                  <w:shd w:val="clear" w:color="auto" w:fill="FFFFFF"/>
                  <w:jc w:val="both"/>
                  <w:rPr>
                    <w:b/>
                    <w:bCs/>
                    <w:color w:val="000000"/>
                    <w:lang w:eastAsia="lt-LT"/>
                  </w:rPr>
                </w:pPr>
                <w:r>
                  <w:rPr>
                    <w:b/>
                    <w:bCs/>
                    <w:color w:val="000000"/>
                    <w:lang w:eastAsia="lt-LT"/>
                  </w:rPr>
                  <w:t>Prevencija, skatinimas ir informuotumo didinimas</w:t>
                </w:r>
              </w:p>
              <w:p>
                <w:pPr>
                  <w:shd w:val="clear" w:color="auto" w:fill="FFFFFF"/>
                  <w:jc w:val="both"/>
                  <w:rPr>
                    <w:color w:val="000000"/>
                    <w:lang w:eastAsia="lt-LT"/>
                  </w:rPr>
                </w:pPr>
                <w:r>
                  <w:rPr>
                    <w:color w:val="000000"/>
                    <w:lang w:eastAsia="lt-LT"/>
                  </w:rPr>
                  <w:t xml:space="preserve">1.   Valstybės narės priima tinkamas priemones, pavyzdžiui, strategijas, kaip visoje jų teritorijoje didinti plačiosios visuomenės informuotumą apie teises pagal direktyvas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xml:space="preserve"> ir apie lygybės įstaigų egzistavimą bei jų teikiamas paslaugas, ypač daug dėmesio skirdamos asmenims ir grupėms, kuriems gresia diskriminacija.</w:t>
                </w:r>
              </w:p>
              <w:p>
                <w:pPr>
                  <w:jc w:val="both"/>
                  <w:rPr>
                    <w:b/>
                    <w:bCs/>
                    <w:szCs w:val="24"/>
                  </w:rPr>
                </w:pPr>
              </w:p>
            </w:tc>
            <w:tc>
              <w:tcPr>
                <w:tcW w:w="5830" w:type="dxa"/>
              </w:tcPr>
              <w:p>
                <w:pPr>
                  <w:jc w:val="both"/>
                  <w:rPr>
                    <w:b/>
                    <w:bCs/>
                    <w:szCs w:val="24"/>
                  </w:rPr>
                </w:pPr>
                <w:r>
                  <w:rPr>
                    <w:b/>
                    <w:bCs/>
                    <w:szCs w:val="24"/>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r>
                  <w:rPr>
                    <w:b/>
                    <w:bCs/>
                  </w:rPr>
                  <w:t>5 straipsnis. Valstybės lygių galimybių politiką formuojančios ir įgyvendinančios</w:t>
                </w:r>
              </w:p>
              <w:p>
                <w:pPr>
                  <w:jc w:val="both"/>
                  <w:rPr>
                    <w:b/>
                    <w:bCs/>
                  </w:rPr>
                </w:pPr>
                <w:r>
                  <w:rPr>
                    <w:b/>
                    <w:bCs/>
                  </w:rPr>
                  <w:t xml:space="preserve">institucijos, įstaigos </w:t>
                </w:r>
              </w:p>
              <w:p>
                <w:pPr>
                  <w:jc w:val="both"/>
                  <w:rPr>
                    <w:b/>
                    <w:bCs/>
                  </w:rPr>
                </w:pPr>
                <w:r>
                  <w:rPr>
                    <w:b/>
                    <w:bCs/>
                  </w:rPr>
                  <w:t>1.</w:t>
                </w:r>
                <w:r>
                  <w:t xml:space="preserve"> </w:t>
                </w:r>
                <w:r>
                  <w:rPr>
                    <w:b/>
                    <w:bCs/>
                  </w:rPr>
                  <w:t xml:space="preserve">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jc w:val="both"/>
                  <w:rPr>
                    <w:b/>
                    <w:bCs/>
                  </w:rPr>
                </w:pPr>
                <w:r>
                  <w:rPr>
                    <w:b/>
                    <w:bCs/>
                  </w:rPr>
                  <w:t>2. Lietuvos Respublikos Seimas dalyvauja formuojant valstybės lygių galimybių politiką, priima lygias galimybes reglamentuojančius įstatymus ir kitus teisės aktus, vykdo jų įgyvendinimo parlamentinę kontrolę, skiria lygių galimybių kontrolierių.</w:t>
                </w:r>
              </w:p>
              <w:p>
                <w:pPr>
                  <w:jc w:val="both"/>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jc w:val="both"/>
                  <w:rPr>
                    <w:b/>
                    <w:bCs/>
                  </w:rPr>
                </w:pPr>
                <w:r>
                  <w:rPr>
                    <w:b/>
                    <w:bCs/>
                  </w:rPr>
                  <w:t>4. Lietuvos Respublikos socialinės apsaugos ir darbo ministerija:</w:t>
                </w:r>
              </w:p>
              <w:p>
                <w:pPr>
                  <w:jc w:val="both"/>
                  <w:rPr>
                    <w:b/>
                    <w:bCs/>
                  </w:rPr>
                </w:pPr>
                <w:r>
                  <w:rPr>
                    <w:b/>
                    <w:bCs/>
                  </w:rPr>
                  <w:t>1) formuoja valstybės politiką lygių galimybių srityje, organizuoja, koordinuoja ir kontroliuoja jos įgyvendinimą;</w:t>
                </w:r>
              </w:p>
              <w:p>
                <w:pPr>
                  <w:jc w:val="both"/>
                  <w:rPr>
                    <w:b/>
                    <w:bCs/>
                  </w:rPr>
                </w:pPr>
                <w:r>
                  <w:rPr>
                    <w:b/>
                    <w:bCs/>
                  </w:rPr>
                  <w:t>2) analizuoja ir vertina situaciją bei statistinę informaciją lygių galimybių srityje;</w:t>
                </w:r>
              </w:p>
              <w:p>
                <w:pPr>
                  <w:jc w:val="both"/>
                  <w:rPr>
                    <w:b/>
                    <w:bCs/>
                  </w:rPr>
                </w:pPr>
                <w:r>
                  <w:rPr>
                    <w:b/>
                    <w:bCs/>
                  </w:rPr>
                  <w:t xml:space="preserve">3) didina visuomenės informuotumą apie teisinę ir institucinę sistemą lygių galimybių srityje, asmenų lygybę ir vienodą požiūrį į juos be diskriminacijos, skirdama dėmesį asmenų grupėms, kurioms gresia diskriminacija. </w:t>
                </w:r>
              </w:p>
              <w:p>
                <w:pPr>
                  <w:jc w:val="both"/>
                  <w:rPr>
                    <w:b/>
                    <w:bCs/>
                  </w:rPr>
                </w:pPr>
                <w:r>
                  <w:rPr>
                    <w:b/>
                    <w:bCs/>
                  </w:rPr>
                  <w:t>5. Ministerijos, kitos valstybės ir savivaldybių institucijos bei įstaigos pagal teisės aktais joms nustatytą kompetenciją pavestose valdymo srityse:</w:t>
                </w:r>
              </w:p>
              <w:p>
                <w:pPr>
                  <w:jc w:val="both"/>
                  <w:rPr>
                    <w:b/>
                    <w:bCs/>
                  </w:rPr>
                </w:pPr>
                <w:r>
                  <w:rPr>
                    <w:b/>
                    <w:bCs/>
                  </w:rPr>
                  <w:t>1) teikia pasiūlymus Socialinės apsaugos ir darbo ministerijai formuojant valstybės lygių galimybių politiką, organizuojant, koordinuojant ir kontroliuojant jos įgyvendinimą;</w:t>
                </w:r>
              </w:p>
              <w:p>
                <w:pPr>
                  <w:jc w:val="both"/>
                  <w:rPr>
                    <w:b/>
                    <w:bCs/>
                  </w:rPr>
                </w:pPr>
                <w:r>
                  <w:rPr>
                    <w:b/>
                    <w:bCs/>
                  </w:rPr>
                  <w:t xml:space="preserve">2) įgyvendina valstybės lygių galimybių politiką; </w:t>
                </w:r>
              </w:p>
              <w:p>
                <w:pPr>
                  <w:jc w:val="both"/>
                  <w:rPr>
                    <w:b/>
                    <w:bCs/>
                  </w:rPr>
                </w:pPr>
                <w:r>
                  <w:rPr>
                    <w:b/>
                    <w:bCs/>
                  </w:rPr>
                  <w:t xml:space="preserve">3) kaupia, sistemina, analizuoja ir skelbia informaciją apie valstybės lygių galimybių politikos įgyvendinimą. </w:t>
                </w:r>
              </w:p>
              <w:p>
                <w:pPr>
                  <w:jc w:val="both"/>
                  <w:rPr>
                    <w:b/>
                    <w:bCs/>
                  </w:rPr>
                </w:pPr>
                <w:r>
                  <w:rPr>
                    <w:b/>
                    <w:bCs/>
                  </w:rPr>
                  <w:t xml:space="preserve">6. Vyriausybės įgaliotos įstaigos įgyvendina lygių galimybių priemones pagal Vyriausybės nutarime nustatytą kompetenciją. </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8. Valstybės ir savivaldybių institucijos bei įstaigos pagal savo kompetenciją teikia nuasmenintą apibendrintą informaciją apie lygias galimybes suinteresuotoms institucijoms ir (ar) asmenims, vykdo jos sklaidą</w:t>
                </w:r>
              </w:p>
              <w:p>
                <w:pPr>
                  <w:jc w:val="both"/>
                  <w:rPr>
                    <w:b/>
                    <w:bCs/>
                  </w:rPr>
                </w:pPr>
              </w:p>
              <w:p>
                <w:pPr>
                  <w:jc w:val="both"/>
                  <w:rPr>
                    <w:b/>
                    <w:bCs/>
                  </w:rPr>
                </w:pPr>
                <w:r>
                  <w:rPr>
                    <w:b/>
                    <w:bCs/>
                  </w:rPr>
                  <w:t xml:space="preserve">6 straipsnis. Valstybės ir savivaldybių institucijų bei įstaigų pareiga įgyvendinti lygias galimybes </w:t>
                </w:r>
              </w:p>
              <w:p>
                <w:pPr>
                  <w:jc w:val="both"/>
                  <w:rPr>
                    <w:b/>
                    <w:bCs/>
                  </w:rPr>
                </w:pPr>
                <w:r>
                  <w:rPr>
                    <w:b/>
                    <w:bCs/>
                  </w:rPr>
                  <w:t>1. Valstybės ir savivaldybių institucijos bei įstaigos pagal kompetenciją privalo:</w:t>
                </w:r>
              </w:p>
              <w:p>
                <w:pPr>
                  <w:jc w:val="both"/>
                  <w:rPr>
                    <w:b/>
                    <w:bCs/>
                  </w:rPr>
                </w:pPr>
                <w:r>
                  <w:rPr>
                    <w:b/>
                    <w:bCs/>
                  </w:rPr>
                  <w:t>&lt;...&gt;</w:t>
                </w:r>
              </w:p>
              <w:p>
                <w:pPr>
                  <w:jc w:val="both"/>
                  <w:rPr>
                    <w:b/>
                    <w:bCs/>
                  </w:rPr>
                </w:pPr>
                <w:r>
                  <w:rPr>
                    <w:b/>
                    <w:bCs/>
                  </w:rPr>
                  <w:t>2) rengti, tvirtinti ir įgyvendinti programas, priemones, projektus ir kitas iniciatyvas, skirtas lygioms galimybėms užtikrinti;</w:t>
                </w:r>
              </w:p>
              <w:p>
                <w:pPr>
                  <w:jc w:val="both"/>
                  <w:rPr>
                    <w:b/>
                    <w:bCs/>
                  </w:rPr>
                </w:pPr>
                <w:r>
                  <w:rPr>
                    <w:b/>
                    <w:bCs/>
                  </w:rPr>
                  <w:t>&lt;...&gt;</w:t>
                </w:r>
              </w:p>
              <w:p>
                <w:pPr>
                  <w:jc w:val="both"/>
                  <w:rPr>
                    <w:b/>
                    <w:bCs/>
                  </w:rPr>
                </w:pPr>
              </w:p>
              <w:p>
                <w:pPr>
                  <w:jc w:val="both"/>
                  <w:rPr>
                    <w:b/>
                    <w:bCs/>
                  </w:rPr>
                </w:pPr>
                <w:r>
                  <w:rPr>
                    <w:b/>
                    <w:bCs/>
                  </w:rPr>
                  <w:t>13 straipsnis. Lygių galimybių kontrolierius</w:t>
                </w:r>
              </w:p>
              <w:p>
                <w:pPr>
                  <w:jc w:val="both"/>
                  <w:rPr>
                    <w:b/>
                    <w:bCs/>
                  </w:rPr>
                </w:pPr>
                <w:r>
                  <w:rPr>
                    <w:b/>
                    <w:bCs/>
                  </w:rPr>
                  <w:t xml:space="preserve">&lt;...&gt; </w:t>
                </w:r>
              </w:p>
              <w:p>
                <w:pPr>
                  <w:jc w:val="both"/>
                  <w:rPr>
                    <w:b/>
                    <w:bCs/>
                  </w:rPr>
                </w:pPr>
                <w:r>
                  <w:rPr>
                    <w:b/>
                    <w:bCs/>
                  </w:rPr>
                  <w:t>4. Lygių galimybių kontrolierius:</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16) teikia išvadas ir (ar) rekomendacijas dėl šio įstatymo įgyvendinimo, gali viešai jas skelbti ir prašyti nevyriausybinių organizacijų, kitų suinteresuotų subjektų pateikti nuomonę ir pasiūlymus dėl jų;</w:t>
                </w:r>
              </w:p>
              <w:p>
                <w:pPr>
                  <w:jc w:val="both"/>
                  <w:rPr>
                    <w:b/>
                    <w:bCs/>
                  </w:rPr>
                </w:pPr>
                <w:r>
                  <w:rPr>
                    <w:b/>
                    <w:bCs/>
                  </w:rPr>
                  <w:t>17) teikia pasiūlymus valstybės ir savivaldybių institucijoms bei įstaigoms dėl valstybės lygių galimybių politikos prioritetų ir (ar) teisės aktų lygių galimybių srityje tobulinimo;</w:t>
                </w:r>
              </w:p>
              <w:p>
                <w:pPr>
                  <w:jc w:val="both"/>
                  <w:rPr>
                    <w:b/>
                    <w:bCs/>
                  </w:rPr>
                </w:pPr>
                <w:r>
                  <w:rPr>
                    <w:b/>
                    <w:bCs/>
                  </w:rPr>
                  <w:t>&lt;...&gt;</w:t>
                </w:r>
              </w:p>
              <w:p>
                <w:pPr>
                  <w:jc w:val="both"/>
                  <w:rPr>
                    <w:b/>
                    <w:bCs/>
                  </w:rPr>
                </w:pPr>
              </w:p>
              <w:p>
                <w:pPr>
                  <w:jc w:val="both"/>
                  <w:rPr>
                    <w:b/>
                    <w:bCs/>
                  </w:rPr>
                </w:pPr>
                <w:r>
                  <w:rPr>
                    <w:b/>
                    <w:bCs/>
                  </w:rPr>
                  <w:t>18 straipsnis. Lygių galimybių kontrolieriaus veiklos viešumas</w:t>
                </w:r>
              </w:p>
              <w:p>
                <w:pPr>
                  <w:jc w:val="both"/>
                  <w:rPr>
                    <w:b/>
                    <w:bCs/>
                  </w:rPr>
                </w:pPr>
                <w:r>
                  <w:rPr>
                    <w:b/>
                    <w:bCs/>
                  </w:rPr>
                  <w:t>&lt;...&gt;</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bCs/>
                    <w:szCs w:val="24"/>
                  </w:rPr>
                </w:pPr>
              </w:p>
            </w:tc>
            <w:tc>
              <w:tcPr>
                <w:tcW w:w="1792" w:type="dxa"/>
              </w:tcPr>
              <w:p>
                <w:pPr>
                  <w:rPr>
                    <w:b/>
                    <w:bCs/>
                    <w:szCs w:val="24"/>
                  </w:rPr>
                </w:pPr>
                <w:r>
                  <w:rPr>
                    <w:b/>
                    <w:bCs/>
                    <w:szCs w:val="24"/>
                  </w:rPr>
                  <w:t>Visiškas</w:t>
                </w:r>
              </w:p>
            </w:tc>
          </w:tr>
          <w:tr>
            <w:trPr>
              <w:trHeight w:val="2778"/>
            </w:trPr>
            <w:tc>
              <w:tcPr>
                <w:tcW w:w="6371" w:type="dxa"/>
              </w:tcPr>
              <w:p>
                <w:pPr>
                  <w:jc w:val="both"/>
                  <w:rPr>
                    <w:b/>
                    <w:bCs/>
                    <w:szCs w:val="24"/>
                  </w:rPr>
                </w:pPr>
                <w:r>
                  <w:rPr>
                    <w:color w:val="000000"/>
                  </w:rPr>
                  <w:t xml:space="preserve">2.   Valstybės narės užtikrina, kad lygybės įstaigos būtų įgaliotos vykdyti veiklą, kuria siekiama užkirsti kelią diskriminacijai ir skatinti vienodą požiūrį pagal direktyvas </w:t>
                </w:r>
                <w:fldSimple w:instr="HYPERLINK http://eur-lex.europa.eu/legal-content/LIT/TXT/?uri=CELEX:31979L0007&amp;locale=lt \t _blank">
                  <w:r>
                    <w:rPr>
                      <w:color w:val="0000FF" w:themeColor="hyperlink"/>
                      <w:u w:val="single"/>
                    </w:rPr>
                    <w:t>79/7/EEB</w:t>
                  </w:r>
                </w:fldSimple>
                <w:r>
                  <w:rPr>
                    <w:color w:val="000000"/>
                  </w:rPr>
                  <w:t xml:space="preserve">, </w:t>
                </w:r>
                <w:fldSimple w:instr="HYPERLINK http://eur-lex.europa.eu/legal-content/LIT/TXT/?uri=CELEX:32000L0043&amp;locale=lt \t _blank">
                  <w:r>
                    <w:rPr>
                      <w:color w:val="0000FF" w:themeColor="hyperlink"/>
                      <w:u w:val="single"/>
                    </w:rPr>
                    <w:t>2000/43/EB</w:t>
                  </w:r>
                </w:fldSimple>
                <w:r>
                  <w:rPr>
                    <w:color w:val="000000"/>
                  </w:rPr>
                  <w:t xml:space="preserve">, </w:t>
                </w:r>
                <w:fldSimple w:instr="HYPERLINK http://eur-lex.europa.eu/legal-content/LIT/TXT/?uri=CELEX:32000L0078&amp;locale=lt \t _blank">
                  <w:r>
                    <w:rPr>
                      <w:color w:val="0000FF" w:themeColor="hyperlink"/>
                      <w:u w:val="single"/>
                    </w:rPr>
                    <w:t>2000/78/EB</w:t>
                  </w:r>
                </w:fldSimple>
                <w:r>
                  <w:rPr>
                    <w:color w:val="000000"/>
                  </w:rPr>
                  <w:t xml:space="preserve"> ir </w:t>
                </w:r>
                <w:fldSimple w:instr="HYPERLINK http://eur-lex.europa.eu/legal-content/LIT/TXT/?uri=CELEX:32004L0113&amp;locale=lt \t _blank">
                  <w:r>
                    <w:rPr>
                      <w:color w:val="0000FF" w:themeColor="hyperlink"/>
                      <w:u w:val="single"/>
                    </w:rPr>
                    <w:t>2004/113/EB</w:t>
                  </w:r>
                </w:fldSimple>
                <w:r>
                  <w:rPr>
                    <w:color w:val="000000"/>
                  </w:rPr>
                  <w:t xml:space="preserve">. Tokia veikla, inter alia, gali apimti pozityvių veiksmų skatinimą ir lygybės aspekto integravimą viešųjų ir privačių subjektų veikloje, atitinkamų mokymų, konsultacijų ir paramos teikimą jiems, taip pat įsitraukimą į viešus debatus, bendravimą su atitinkamais suinteresuotaisiais subjektais, įskaitant socialinius partnerius, ir keitimosi gerąja patirtimi skatinimą. Vykdydamos tokią veiklą lygybės įstaigos gali atsižvelgti į konkrečią nepalankią padėtį, susidariusią dėl sąveikinės diskriminacijos, kuri suprantama kaip diskriminacijos dėl pagrindų, dėl kurių taikoma apsauga pagal direktyvas </w:t>
                </w:r>
                <w:fldSimple w:instr="HYPERLINK http://eur-lex.europa.eu/legal-content/LIT/TXT/?uri=CELEX:31979L0007&amp;locale=lt \t _blank">
                  <w:r>
                    <w:rPr>
                      <w:color w:val="0000FF" w:themeColor="hyperlink"/>
                      <w:u w:val="single"/>
                    </w:rPr>
                    <w:t>79/7/EEB</w:t>
                  </w:r>
                </w:fldSimple>
                <w:r>
                  <w:rPr>
                    <w:color w:val="000000"/>
                  </w:rPr>
                  <w:t xml:space="preserve">, </w:t>
                </w:r>
                <w:fldSimple w:instr="HYPERLINK http://eur-lex.europa.eu/legal-content/LIT/TXT/?uri=CELEX:32000L0043&amp;locale=lt \t _blank">
                  <w:r>
                    <w:rPr>
                      <w:color w:val="0000FF" w:themeColor="hyperlink"/>
                      <w:u w:val="single"/>
                    </w:rPr>
                    <w:t>2000/43/EB</w:t>
                  </w:r>
                </w:fldSimple>
                <w:r>
                  <w:rPr>
                    <w:color w:val="000000"/>
                  </w:rPr>
                  <w:t xml:space="preserve">, </w:t>
                </w:r>
                <w:fldSimple w:instr="HYPERLINK http://eur-lex.europa.eu/legal-content/LIT/TXT/?uri=CELEX:32000L0078&amp;locale=lt \t _blank">
                  <w:r>
                    <w:rPr>
                      <w:color w:val="0000FF" w:themeColor="hyperlink"/>
                      <w:u w:val="single"/>
                    </w:rPr>
                    <w:t>2000/78/EB</w:t>
                  </w:r>
                </w:fldSimple>
                <w:r>
                  <w:rPr>
                    <w:color w:val="000000"/>
                  </w:rPr>
                  <w:t xml:space="preserve"> arba 2004/113/EB, derinys</w:t>
                </w:r>
              </w:p>
            </w:tc>
            <w:tc>
              <w:tcPr>
                <w:tcW w:w="5830" w:type="dxa"/>
              </w:tcPr>
              <w:p>
                <w:pPr>
                  <w:jc w:val="both"/>
                  <w:rPr>
                    <w:b/>
                    <w:bCs/>
                  </w:rPr>
                </w:pPr>
                <w:r>
                  <w:rPr>
                    <w:b/>
                    <w:bCs/>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 xml:space="preserve">11. Sąveikinė diskriminacija – asmens diskriminacija keliais diskriminacijos pagrindais, kai dėl jų neatsiejamos tarpusavio sąveikos asmuo atsiduria blogesnėje padėtyje nei palyginamoje situacijoje esantis asmuo.  </w:t>
                </w:r>
              </w:p>
              <w:p>
                <w:pPr>
                  <w:jc w:val="both"/>
                  <w:rPr>
                    <w:b/>
                    <w:bCs/>
                  </w:rPr>
                </w:pPr>
                <w:r>
                  <w:rPr>
                    <w:b/>
                    <w:bCs/>
                  </w:rPr>
                  <w:t>&lt;...&gt;</w:t>
                </w:r>
              </w:p>
              <w:p>
                <w:pPr>
                  <w:jc w:val="both"/>
                  <w:rPr>
                    <w:b/>
                    <w:bCs/>
                  </w:rPr>
                </w:pPr>
                <w:r>
                  <w:rPr>
                    <w:b/>
                    <w:bCs/>
                  </w:rPr>
                  <w:t>15. Specialiosios laikinosios priemonės – nustatytą laiką taikomos tiesiogiai taikomame Europos Sąjungos teisės akte, tarptautinėje sutartyje ar įstatyme įtvirtintos priemonės, kuriomis siekiama paspartinti faktinės asmenų lygybės įtvirtinimą, įgyvendinant struktūrinius, socialinius ir kultūrinius pokyčius, būtinus diskriminacijos pasekmėms pašalinti.</w:t>
                </w:r>
              </w:p>
              <w:p>
                <w:pPr>
                  <w:jc w:val="both"/>
                  <w:rPr>
                    <w:b/>
                    <w:bCs/>
                  </w:rPr>
                </w:pPr>
                <w:r>
                  <w:rPr>
                    <w:b/>
                    <w:bCs/>
                  </w:rPr>
                  <w:t>&lt;...&gt;</w:t>
                </w:r>
              </w:p>
              <w:p>
                <w:pPr>
                  <w:jc w:val="both"/>
                  <w:rPr>
                    <w:b/>
                    <w:bCs/>
                  </w:rPr>
                </w:pPr>
                <w:r>
                  <w:rPr>
                    <w:b/>
                    <w:bCs/>
                  </w:rPr>
                  <w:t xml:space="preserve">5 straipsnis. Valstybės lygių galimybių politiką formuojančios ir įgyvendinančios institucijos, įstaigos </w:t>
                </w:r>
              </w:p>
              <w:p>
                <w:pPr>
                  <w:jc w:val="both"/>
                  <w:rPr>
                    <w:b/>
                    <w:bCs/>
                  </w:rPr>
                </w:pPr>
                <w:r>
                  <w:rPr>
                    <w:b/>
                    <w:bCs/>
                  </w:rPr>
                  <w:t>1.</w:t>
                  <w:tab/>
                  <w:t xml:space="preserve">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jc w:val="both"/>
                  <w:rPr>
                    <w:b/>
                    <w:bCs/>
                  </w:rPr>
                </w:pPr>
                <w:r>
                  <w:rPr>
                    <w:b/>
                    <w:bCs/>
                  </w:rPr>
                  <w:t>2. Lietuvos Respublikos Seimas dalyvauja formuojant valstybės lygių galimybių politiką, priima lygias galimybes reglamentuojančius įstatymus ir kitus teisės aktus, vykdo jų įgyvendinimo parlamentinę kontrolę, skiria lygių galimybių kontrolierių.</w:t>
                </w:r>
              </w:p>
              <w:p>
                <w:pPr>
                  <w:jc w:val="both"/>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jc w:val="both"/>
                  <w:rPr>
                    <w:b/>
                    <w:bCs/>
                  </w:rPr>
                </w:pPr>
                <w:r>
                  <w:rPr>
                    <w:b/>
                    <w:bCs/>
                  </w:rPr>
                  <w:t>4. Lietuvos Respublikos socialinės apsaugos ir darbo ministerija:</w:t>
                </w:r>
              </w:p>
              <w:p>
                <w:pPr>
                  <w:jc w:val="both"/>
                  <w:rPr>
                    <w:b/>
                    <w:bCs/>
                  </w:rPr>
                </w:pPr>
                <w:r>
                  <w:rPr>
                    <w:b/>
                    <w:bCs/>
                  </w:rPr>
                  <w:t>1) formuoja valstybės politiką lygių galimybių srityje, organizuoja, koordinuoja ir kontroliuoja jos įgyvendinimą;</w:t>
                </w:r>
              </w:p>
              <w:p>
                <w:pPr>
                  <w:jc w:val="both"/>
                  <w:rPr>
                    <w:b/>
                    <w:bCs/>
                  </w:rPr>
                </w:pPr>
                <w:r>
                  <w:rPr>
                    <w:b/>
                    <w:bCs/>
                  </w:rPr>
                  <w:t>2) analizuoja ir vertina situaciją bei statistinę informaciją lygių galimybių srityje;</w:t>
                </w:r>
              </w:p>
              <w:p>
                <w:pPr>
                  <w:jc w:val="both"/>
                  <w:rPr>
                    <w:b/>
                    <w:bCs/>
                  </w:rPr>
                </w:pPr>
                <w:r>
                  <w:rPr>
                    <w:b/>
                    <w:bCs/>
                  </w:rPr>
                  <w:t xml:space="preserve">3) didina visuomenės informuotumą apie teisinę ir institucinę sistemą lygių galimybių srityje, asmenų lygybę ir vienodą požiūrį į juos be diskriminacijos, skirdama dėmesį asmenų grupėms, kurioms gresia diskriminacija. </w:t>
                </w:r>
              </w:p>
              <w:p>
                <w:pPr>
                  <w:jc w:val="both"/>
                  <w:rPr>
                    <w:b/>
                    <w:bCs/>
                  </w:rPr>
                </w:pPr>
                <w:r>
                  <w:rPr>
                    <w:b/>
                    <w:bCs/>
                  </w:rPr>
                  <w:t>5. Ministerijos, kitos valstybės ir savivaldybių institucijos bei įstaigos pagal teisės aktais joms nustatytą kompetenciją pavestose valdymo srityse:</w:t>
                </w:r>
              </w:p>
              <w:p>
                <w:pPr>
                  <w:jc w:val="both"/>
                  <w:rPr>
                    <w:b/>
                    <w:bCs/>
                  </w:rPr>
                </w:pPr>
                <w:r>
                  <w:rPr>
                    <w:b/>
                    <w:bCs/>
                  </w:rPr>
                  <w:t>1) teikia pasiūlymus Socialinės apsaugos ir darbo ministerijai formuojant valstybės lygių galimybių politiką, organizuojant, koordinuojant ir kontroliuojant jos įgyvendinimą;</w:t>
                </w:r>
              </w:p>
              <w:p>
                <w:pPr>
                  <w:jc w:val="both"/>
                  <w:rPr>
                    <w:b/>
                    <w:bCs/>
                  </w:rPr>
                </w:pPr>
                <w:r>
                  <w:rPr>
                    <w:b/>
                    <w:bCs/>
                  </w:rPr>
                  <w:t xml:space="preserve">2) įgyvendina valstybės lygių galimybių politiką; </w:t>
                </w:r>
              </w:p>
              <w:p>
                <w:pPr>
                  <w:jc w:val="both"/>
                  <w:rPr>
                    <w:b/>
                    <w:bCs/>
                  </w:rPr>
                </w:pPr>
                <w:r>
                  <w:rPr>
                    <w:b/>
                    <w:bCs/>
                  </w:rPr>
                  <w:t xml:space="preserve">3) kaupia, sistemina, analizuoja ir skelbia informaciją apie valstybės lygių galimybių politikos įgyvendinimą. </w:t>
                </w:r>
              </w:p>
              <w:p>
                <w:pPr>
                  <w:jc w:val="both"/>
                  <w:rPr>
                    <w:b/>
                    <w:bCs/>
                  </w:rPr>
                </w:pPr>
                <w:r>
                  <w:rPr>
                    <w:b/>
                    <w:bCs/>
                  </w:rPr>
                  <w:t xml:space="preserve">6. Vyriausybės įgaliotos įstaigos įgyvendina lygių galimybių priemones pagal Vyriausybės nutarime nustatytą kompetenciją. </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8. Valstybės ir savivaldybių institucijos bei įstaigos pagal savo kompetenciją teikia nuasmenintą apibendrintą informaciją apie lygias galimybes suinteresuotoms institucijoms ir (ar) asmenims, vykdo jos sklaidą.</w:t>
                </w:r>
              </w:p>
              <w:p>
                <w:pPr>
                  <w:jc w:val="both"/>
                  <w:rPr>
                    <w:b/>
                    <w:bCs/>
                    <w:szCs w:val="24"/>
                  </w:rPr>
                </w:pPr>
              </w:p>
              <w:p>
                <w:pPr>
                  <w:jc w:val="both"/>
                  <w:rPr>
                    <w:b/>
                    <w:bCs/>
                  </w:rPr>
                </w:pPr>
                <w:r>
                  <w:rPr>
                    <w:b/>
                    <w:bCs/>
                  </w:rPr>
                  <w:t xml:space="preserve">13 straipsnis. Lygių galimybių kontrolierius </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2) atstovauja Lygių galimybių kontrolieriaus tarnybai Lietuvos Respublikos ir užsienio valstybių institucijose bei įstaigose, tarptautinėse ir Europos Sąjungos institucijose bei jų darbo (valdymo) organuose; </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rPr>
                    <w:b/>
                    <w:bCs/>
                  </w:rPr>
                </w:pPr>
                <w:r>
                  <w:rPr>
                    <w:b/>
                    <w:bCs/>
                  </w:rPr>
                  <w:t xml:space="preserve">19) laikydamasis įstatymuose ir kituose teisės aktuose, reglamentuojančiuose informacijos teikimą ir (ar) gavimą bei asmens duomenų apsaugą, nustatytų reikalavimų, teikia informaciją kitoms Lietuvos Respublikos ir užsienio valstybių institucijoms bei įstaigoms, tarptautinėms ir Europos Sąjungos institucijoms bei jų darbo (valdymo) organams, nevyriausybinėms organizacijoms; </w:t>
                </w:r>
              </w:p>
              <w:p>
                <w:pPr>
                  <w:jc w:val="both"/>
                  <w:rPr>
                    <w:b/>
                    <w:bCs/>
                    <w:szCs w:val="24"/>
                  </w:rPr>
                </w:pPr>
                <w:r>
                  <w:rPr>
                    <w:b/>
                    <w:bCs/>
                    <w:szCs w:val="24"/>
                  </w:rPr>
                  <w:t>&lt;...&gt;</w:t>
                </w: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color w:val="000000"/>
                    <w:lang w:eastAsia="lt-LT"/>
                  </w:rPr>
                </w:pPr>
                <w:r>
                  <w:rPr>
                    <w:color w:val="000000"/>
                    <w:lang w:eastAsia="lt-LT"/>
                  </w:rPr>
                  <w:t>3.   Valstybės narės ir lygybės įstaigos atsižvelgia į kiekvienai tikslinei grupei tinkamas bendravimo priemones ir formatus. Jos ypač daug dėmesio skiria grupėms, kurioms gauti tokią informaciją gali trukdyti, pvz., jų sunki ekonominė padėtis, amžius, negalia, raštingumo lygis, pilietybė, gyventojo statusas arba negalėjimas naudotis internetinėmis priemonėmis.</w:t>
                </w:r>
              </w:p>
              <w:p>
                <w:pPr>
                  <w:jc w:val="both"/>
                  <w:rPr>
                    <w:szCs w:val="24"/>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p>
              <w:p>
                <w:pPr>
                  <w:jc w:val="both"/>
                  <w:rPr>
                    <w:b/>
                    <w:bCs/>
                  </w:rPr>
                </w:pPr>
                <w:r>
                  <w:rPr>
                    <w:b/>
                    <w:bCs/>
                  </w:rPr>
                  <w:t xml:space="preserve">5 straipsnis. Valstybės lygių galimybių politiką formuojančios ir įgyvendinančios institucijos, įstaigos </w:t>
                </w:r>
              </w:p>
              <w:p>
                <w:pPr>
                  <w:jc w:val="both"/>
                  <w:rPr>
                    <w:b/>
                    <w:bCs/>
                  </w:rPr>
                </w:pPr>
                <w:r>
                  <w:rPr>
                    <w:b/>
                    <w:bCs/>
                  </w:rPr>
                  <w:t>&lt;...&gt;</w:t>
                </w:r>
              </w:p>
              <w:p>
                <w:pPr>
                  <w:jc w:val="both"/>
                  <w:rPr>
                    <w:b/>
                    <w:bCs/>
                  </w:rPr>
                </w:pPr>
                <w:r>
                  <w:rPr>
                    <w:b/>
                    <w:bCs/>
                  </w:rPr>
                  <w:t>4. Lietuvos Respublikos socialinės apsaugos ir darbo ministerija:</w:t>
                </w:r>
              </w:p>
              <w:p>
                <w:pPr>
                  <w:jc w:val="both"/>
                  <w:rPr>
                    <w:b/>
                    <w:bCs/>
                  </w:rPr>
                </w:pPr>
                <w:r>
                  <w:rPr>
                    <w:b/>
                    <w:bCs/>
                  </w:rPr>
                  <w:t>&lt;...&gt;</w:t>
                </w:r>
              </w:p>
              <w:p>
                <w:pPr>
                  <w:jc w:val="both"/>
                  <w:rPr>
                    <w:b/>
                    <w:bCs/>
                  </w:rPr>
                </w:pPr>
                <w:r>
                  <w:rPr>
                    <w:b/>
                    <w:bCs/>
                  </w:rPr>
                  <w:t xml:space="preserve">3) didina visuomenės informuotumą apie teisinę ir institucinę sistemą lygių galimybių srityje, žmonių teisę į lygybę ir vienodą požiūrį į juos be diskriminacijos, skirdama dėmesį asmenų grupėms, kurioms gresia diskriminacija. </w:t>
                </w:r>
              </w:p>
              <w:p>
                <w:pPr>
                  <w:jc w:val="both"/>
                  <w:rPr>
                    <w:b/>
                    <w:bCs/>
                  </w:rPr>
                </w:pPr>
                <w:r>
                  <w:rPr>
                    <w:b/>
                    <w:bCs/>
                  </w:rPr>
                  <w:t>&lt;...&gt;</w:t>
                </w:r>
              </w:p>
              <w:p>
                <w:pPr>
                  <w:jc w:val="both"/>
                  <w:rPr>
                    <w:b/>
                    <w:bCs/>
                    <w:szCs w:val="24"/>
                  </w:rPr>
                </w:pPr>
              </w:p>
            </w:tc>
            <w:tc>
              <w:tcPr>
                <w:tcW w:w="1792" w:type="dxa"/>
              </w:tcPr>
              <w:p>
                <w:pPr>
                  <w:rPr>
                    <w:b/>
                    <w:bCs/>
                    <w:color w:val="000000"/>
                    <w:szCs w:val="24"/>
                    <w:lang w:eastAsia="lt-LT"/>
                  </w:rPr>
                </w:pPr>
                <w:r>
                  <w:rPr>
                    <w:b/>
                    <w:bCs/>
                    <w:szCs w:val="24"/>
                  </w:rPr>
                  <w:t>Visiškas</w:t>
                </w:r>
              </w:p>
            </w:tc>
          </w:tr>
          <w:tr>
            <w:tc>
              <w:tcPr>
                <w:tcW w:w="6371" w:type="dxa"/>
              </w:tcPr>
              <w:p>
                <w:pPr>
                  <w:shd w:val="clear" w:color="auto" w:fill="FFFFFF"/>
                  <w:jc w:val="both"/>
                  <w:rPr>
                    <w:b/>
                    <w:bCs/>
                    <w:color w:val="000000"/>
                    <w:szCs w:val="24"/>
                    <w:lang w:eastAsia="lt-LT"/>
                  </w:rPr>
                </w:pPr>
                <w:r>
                  <w:rPr>
                    <w:b/>
                    <w:bCs/>
                    <w:color w:val="000000"/>
                    <w:szCs w:val="24"/>
                    <w:lang w:eastAsia="lt-LT"/>
                  </w:rPr>
                  <w:t>6 straipsnis</w:t>
                </w:r>
              </w:p>
              <w:p>
                <w:pPr>
                  <w:shd w:val="clear" w:color="auto" w:fill="FFFFFF"/>
                  <w:jc w:val="both"/>
                  <w:rPr>
                    <w:b/>
                    <w:bCs/>
                    <w:color w:val="000000"/>
                    <w:szCs w:val="24"/>
                    <w:lang w:eastAsia="lt-LT"/>
                  </w:rPr>
                </w:pPr>
                <w:r>
                  <w:rPr>
                    <w:b/>
                    <w:bCs/>
                    <w:color w:val="000000"/>
                    <w:szCs w:val="24"/>
                    <w:lang w:eastAsia="lt-LT"/>
                  </w:rPr>
                  <w:t>Pagalba aukoms</w:t>
                </w:r>
              </w:p>
              <w:p>
                <w:pPr>
                  <w:shd w:val="clear" w:color="auto" w:fill="FFFFFF"/>
                  <w:jc w:val="both"/>
                  <w:rPr>
                    <w:color w:val="000000"/>
                    <w:szCs w:val="24"/>
                    <w:lang w:eastAsia="lt-LT"/>
                  </w:rPr>
                </w:pPr>
                <w:r>
                  <w:rPr>
                    <w:color w:val="000000"/>
                    <w:szCs w:val="24"/>
                    <w:lang w:eastAsia="lt-LT"/>
                  </w:rPr>
                  <w:t>1.   Valstybės narės užtikrina, kad lygybės įstaigos galėtų teikti pagalbą preziumuojamoms aukoms, kaip nustatyta 2-4 dalyse.</w:t>
                </w:r>
              </w:p>
              <w:p>
                <w:pPr>
                  <w:shd w:val="clear" w:color="auto" w:fill="FFFFFF"/>
                  <w:jc w:val="both"/>
                  <w:rPr>
                    <w:color w:val="000000"/>
                    <w:szCs w:val="24"/>
                    <w:lang w:eastAsia="lt-LT"/>
                  </w:rPr>
                </w:pPr>
                <w:r>
                  <w:rPr>
                    <w:color w:val="000000"/>
                    <w:szCs w:val="24"/>
                    <w:lang w:eastAsia="lt-LT"/>
                  </w:rPr>
                  <w:t xml:space="preserve">Šios direktyvos tikslais aukos – tai visi asmenys, manantys, kad patyrė diskriminaciją, kaip tai suprantama Direktyvos </w:t>
                </w:r>
                <w:fldSimple w:instr="HYPERLINK http://eur-lex.europa.eu/legal-content/LIT/TXT/?uri=CELEX:31979L0007&amp;locale=lt \t _blank">
                  <w:r>
                    <w:rPr>
                      <w:color w:val="0000FF" w:themeColor="hyperlink"/>
                      <w:szCs w:val="24"/>
                      <w:lang w:eastAsia="lt-LT"/>
                      <w:u w:val="single"/>
                    </w:rPr>
                    <w:t>79/7/EEB</w:t>
                  </w:r>
                </w:fldSimple>
                <w:r>
                  <w:rPr>
                    <w:color w:val="000000"/>
                    <w:szCs w:val="24"/>
                    <w:lang w:eastAsia="lt-LT"/>
                  </w:rPr>
                  <w:t xml:space="preserve"> 4 straipsnyje, Direktyvos </w:t>
                </w:r>
                <w:fldSimple w:instr="HYPERLINK http://eur-lex.europa.eu/legal-content/LIT/TXT/?uri=CELEX:32000L0043&amp;locale=lt \t _blank">
                  <w:r>
                    <w:rPr>
                      <w:color w:val="0000FF" w:themeColor="hyperlink"/>
                      <w:szCs w:val="24"/>
                      <w:lang w:eastAsia="lt-LT"/>
                      <w:u w:val="single"/>
                    </w:rPr>
                    <w:t>2000/43/EB</w:t>
                  </w:r>
                </w:fldSimple>
                <w:r>
                  <w:rPr>
                    <w:color w:val="000000"/>
                    <w:szCs w:val="24"/>
                    <w:lang w:eastAsia="lt-LT"/>
                  </w:rPr>
                  <w:t xml:space="preserve"> 2 straipsnyje, Direktyvos </w:t>
                </w:r>
                <w:fldSimple w:instr="HYPERLINK http://eur-lex.europa.eu/legal-content/LIT/TXT/?uri=CELEX:32000L0078&amp;locale=lt \t _blank">
                  <w:r>
                    <w:rPr>
                      <w:color w:val="0000FF" w:themeColor="hyperlink"/>
                      <w:szCs w:val="24"/>
                      <w:lang w:eastAsia="lt-LT"/>
                      <w:u w:val="single"/>
                    </w:rPr>
                    <w:t>2000/78/EB</w:t>
                  </w:r>
                </w:fldSimple>
                <w:r>
                  <w:rPr>
                    <w:color w:val="000000"/>
                    <w:szCs w:val="24"/>
                    <w:lang w:eastAsia="lt-LT"/>
                  </w:rPr>
                  <w:t xml:space="preserve"> 2 straipsnyje ar Direktyvos </w:t>
                </w:r>
                <w:fldSimple w:instr="HYPERLINK http://eur-lex.europa.eu/legal-content/LIT/TXT/?uri=CELEX:32004L0113&amp;locale=lt \t _blank">
                  <w:r>
                    <w:rPr>
                      <w:color w:val="0000FF" w:themeColor="hyperlink"/>
                      <w:szCs w:val="24"/>
                      <w:lang w:eastAsia="lt-LT"/>
                      <w:u w:val="single"/>
                    </w:rPr>
                    <w:t>2004/113/EB</w:t>
                  </w:r>
                </w:fldSimple>
                <w:r>
                  <w:rPr>
                    <w:color w:val="000000"/>
                    <w:szCs w:val="24"/>
                    <w:lang w:eastAsia="lt-LT"/>
                  </w:rPr>
                  <w:t xml:space="preserve"> 4 straipsnyje.</w:t>
                </w:r>
              </w:p>
              <w:p>
                <w:pPr>
                  <w:jc w:val="both"/>
                  <w:rPr>
                    <w:szCs w:val="24"/>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&lt;...&gt;</w:t>
                </w: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szCs w:val="24"/>
                  </w:rPr>
                </w:pPr>
                <w:r>
                  <w:rPr>
                    <w:b/>
                    <w:bCs/>
                    <w:szCs w:val="24"/>
                  </w:rPr>
                  <w:t>&lt;...&gt;</w:t>
                </w:r>
              </w:p>
            </w:tc>
            <w:tc>
              <w:tcPr>
                <w:tcW w:w="1792" w:type="dxa"/>
              </w:tcPr>
              <w:p>
                <w:pPr>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2.   Lygybės įstaigos gali priimti skundus dėl diskriminacijos.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9) nagrinėja asmenų skundus; </w:t>
                </w:r>
              </w:p>
              <w:p>
                <w:pPr>
                  <w:jc w:val="both"/>
                  <w:rPr>
                    <w:b/>
                    <w:bCs/>
                  </w:rPr>
                </w:pPr>
                <w:r>
                  <w:rPr>
                    <w:b/>
                    <w:bCs/>
                  </w:rPr>
                  <w:t>&lt;...&gt;</w:t>
                </w:r>
              </w:p>
              <w:p>
                <w:pPr>
                  <w:jc w:val="both"/>
                  <w:rPr>
                    <w:b/>
                    <w:bCs/>
                  </w:rPr>
                </w:pP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rPr>
                </w:pPr>
                <w:r>
                  <w:rPr>
                    <w:b/>
                    <w:bCs/>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jc w:val="both"/>
                  <w:rPr>
                    <w:b/>
                    <w:bCs/>
                  </w:rPr>
                </w:pPr>
                <w:r>
                  <w:rPr>
                    <w:b/>
                    <w:bCs/>
                  </w:rPr>
                  <w:t>4. Anoniminiai skundai nenagrinėjami, jeigu lygių galimybių kontrolierius nenusprendžia kitaip.</w:t>
                </w:r>
              </w:p>
              <w:p>
                <w:pPr>
                  <w:jc w:val="both"/>
                  <w:rPr>
                    <w:b/>
                    <w:bCs/>
                  </w:rPr>
                </w:pPr>
              </w:p>
              <w:p>
                <w:pPr>
                  <w:jc w:val="both"/>
                  <w:rPr>
                    <w:b/>
                    <w:bCs/>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3.   Lygybės įstaigos teikia pagalbą aukoms, iš pradžių informuodamos juos apie:</w:t>
                </w:r>
              </w:p>
              <w:tbl>
                <w:tblPr>
                  <w:tblW w:w="5000" w:type="pct"/>
                  <w:tblCellMar>
                    <w:left w:w="0" w:type="dxa"/>
                    <w:right w:w="0" w:type="dxa"/>
                  </w:tblCellMar>
                  <w:tblLook w:val="04A0" w:firstRow="1" w:lastRow="0" w:firstColumn="1" w:lastColumn="0" w:noHBand="0" w:noVBand="1"/>
                </w:tblPr>
                <w:tblGrid>
                  <w:gridCol w:w="247"/>
                  <w:gridCol w:w="5908"/>
                </w:tblGrid>
                <w:tr>
                  <w:tc>
                    <w:tcPr>
                      <w:tcW w:w="295" w:type="dxa"/>
                      <w:hideMark/>
                    </w:tcPr>
                    <w:p>
                      <w:pPr>
                        <w:jc w:val="both"/>
                        <w:rPr>
                          <w:kern w:val="2"/>
                          <w:szCs w:val="24"/>
                          <w:lang w:eastAsia="lt-LT"/>
                        </w:rPr>
                      </w:pPr>
                      <w:r>
                        <w:rPr>
                          <w:kern w:val="2"/>
                          <w:szCs w:val="24"/>
                          <w:lang w:eastAsia="lt-LT"/>
                        </w:rPr>
                        <w:t>a)</w:t>
                      </w:r>
                    </w:p>
                  </w:tc>
                  <w:tc>
                    <w:tcPr>
                      <w:tcW w:w="9677" w:type="dxa"/>
                      <w:hideMark/>
                    </w:tcPr>
                    <w:p>
                      <w:pPr>
                        <w:jc w:val="both"/>
                        <w:rPr>
                          <w:kern w:val="2"/>
                          <w:szCs w:val="24"/>
                          <w:lang w:eastAsia="lt-LT"/>
                        </w:rPr>
                      </w:pPr>
                      <w:r>
                        <w:rPr>
                          <w:kern w:val="2"/>
                          <w:szCs w:val="24"/>
                          <w:lang w:eastAsia="lt-LT"/>
                        </w:rPr>
                        <w:t>teisinę sistemą, be kita ko, patardamos dėl jų konkrečios situacijos;</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48"/>
                  <w:gridCol w:w="5907"/>
                </w:tblGrid>
                <w:tr>
                  <w:tc>
                    <w:tcPr>
                      <w:tcW w:w="288" w:type="dxa"/>
                      <w:hideMark/>
                    </w:tcPr>
                    <w:p>
                      <w:pPr>
                        <w:jc w:val="both"/>
                        <w:rPr>
                          <w:kern w:val="2"/>
                          <w:szCs w:val="24"/>
                          <w:lang w:eastAsia="lt-LT"/>
                        </w:rPr>
                      </w:pPr>
                      <w:r>
                        <w:rPr>
                          <w:kern w:val="2"/>
                          <w:szCs w:val="24"/>
                          <w:lang w:eastAsia="lt-LT"/>
                        </w:rPr>
                        <w:t>b)</w:t>
                      </w:r>
                    </w:p>
                  </w:tc>
                  <w:tc>
                    <w:tcPr>
                      <w:tcW w:w="9684" w:type="dxa"/>
                      <w:hideMark/>
                    </w:tcPr>
                    <w:p>
                      <w:pPr>
                        <w:jc w:val="both"/>
                        <w:rPr>
                          <w:kern w:val="2"/>
                          <w:szCs w:val="24"/>
                          <w:lang w:eastAsia="lt-LT"/>
                        </w:rPr>
                      </w:pPr>
                      <w:r>
                        <w:rPr>
                          <w:kern w:val="2"/>
                          <w:szCs w:val="24"/>
                          <w:lang w:eastAsia="lt-LT"/>
                        </w:rPr>
                        <w:t>lygybės įstaigos teikiamas paslaugas ir susijusius procedūrinius aspektus;</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29"/>
                  <w:gridCol w:w="5926"/>
                </w:tblGrid>
                <w:tr>
                  <w:tc>
                    <w:tcPr>
                      <w:tcW w:w="262" w:type="dxa"/>
                      <w:hideMark/>
                    </w:tcPr>
                    <w:p>
                      <w:pPr>
                        <w:jc w:val="both"/>
                        <w:rPr>
                          <w:kern w:val="2"/>
                          <w:szCs w:val="24"/>
                          <w:lang w:eastAsia="lt-LT"/>
                        </w:rPr>
                      </w:pPr>
                      <w:r>
                        <w:rPr>
                          <w:kern w:val="2"/>
                          <w:szCs w:val="24"/>
                          <w:lang w:eastAsia="lt-LT"/>
                        </w:rPr>
                        <w:t>c)</w:t>
                      </w:r>
                    </w:p>
                  </w:tc>
                  <w:tc>
                    <w:tcPr>
                      <w:tcW w:w="9710" w:type="dxa"/>
                      <w:hideMark/>
                    </w:tcPr>
                    <w:p>
                      <w:pPr>
                        <w:jc w:val="both"/>
                        <w:rPr>
                          <w:kern w:val="2"/>
                          <w:szCs w:val="24"/>
                          <w:lang w:eastAsia="lt-LT"/>
                        </w:rPr>
                      </w:pPr>
                      <w:r>
                        <w:rPr>
                          <w:kern w:val="2"/>
                          <w:szCs w:val="24"/>
                          <w:lang w:eastAsia="lt-LT"/>
                        </w:rPr>
                        <w:t>galimas teisių gynimo priemones, įskaitant galimybę iškelti bylą teisme;</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66"/>
                  <w:gridCol w:w="5889"/>
                </w:tblGrid>
                <w:tr>
                  <w:tc>
                    <w:tcPr>
                      <w:tcW w:w="325" w:type="dxa"/>
                      <w:hideMark/>
                    </w:tcPr>
                    <w:p>
                      <w:pPr>
                        <w:jc w:val="both"/>
                        <w:rPr>
                          <w:kern w:val="2"/>
                          <w:szCs w:val="24"/>
                          <w:lang w:eastAsia="lt-LT"/>
                        </w:rPr>
                      </w:pPr>
                      <w:r>
                        <w:rPr>
                          <w:kern w:val="2"/>
                          <w:szCs w:val="24"/>
                          <w:lang w:eastAsia="lt-LT"/>
                        </w:rPr>
                        <w:t>d)</w:t>
                      </w:r>
                    </w:p>
                  </w:tc>
                  <w:tc>
                    <w:tcPr>
                      <w:tcW w:w="9647" w:type="dxa"/>
                      <w:hideMark/>
                    </w:tcPr>
                    <w:p>
                      <w:pPr>
                        <w:jc w:val="both"/>
                        <w:rPr>
                          <w:kern w:val="2"/>
                          <w:szCs w:val="24"/>
                          <w:lang w:eastAsia="lt-LT"/>
                        </w:rPr>
                      </w:pPr>
                      <w:r>
                        <w:rPr>
                          <w:kern w:val="2"/>
                          <w:szCs w:val="24"/>
                          <w:lang w:eastAsia="lt-LT"/>
                        </w:rPr>
                        <w:t>taikomas konfidencialumo taisykles, asmens duomenų apsaugą ir</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04"/>
                  <w:gridCol w:w="5951"/>
                </w:tblGrid>
                <w:tr>
                  <w:tc>
                    <w:tcPr>
                      <w:tcW w:w="218" w:type="dxa"/>
                      <w:hideMark/>
                    </w:tcPr>
                    <w:p>
                      <w:pPr>
                        <w:jc w:val="both"/>
                        <w:rPr>
                          <w:kern w:val="2"/>
                          <w:szCs w:val="24"/>
                          <w:lang w:eastAsia="lt-LT"/>
                        </w:rPr>
                      </w:pPr>
                      <w:r>
                        <w:rPr>
                          <w:kern w:val="2"/>
                          <w:szCs w:val="24"/>
                          <w:lang w:eastAsia="lt-LT"/>
                        </w:rPr>
                        <w:t>e)</w:t>
                      </w:r>
                    </w:p>
                  </w:tc>
                  <w:tc>
                    <w:tcPr>
                      <w:tcW w:w="9754" w:type="dxa"/>
                      <w:hideMark/>
                    </w:tcPr>
                    <w:p>
                      <w:pPr>
                        <w:jc w:val="both"/>
                        <w:rPr>
                          <w:kern w:val="2"/>
                          <w:szCs w:val="24"/>
                          <w:lang w:eastAsia="lt-LT"/>
                        </w:rPr>
                      </w:pPr>
                      <w:r>
                        <w:rPr>
                          <w:kern w:val="2"/>
                          <w:szCs w:val="24"/>
                          <w:lang w:eastAsia="lt-LT"/>
                        </w:rPr>
                        <w:t>galimybę gauti kitų įstaigų ar organizacijų teikiamą psichologinę ir kitokią aktualią pagalbą.</w:t>
                      </w:r>
                    </w:p>
                  </w:tc>
                </w:tr>
              </w:tbl>
              <w:p>
                <w:pPr>
                  <w:shd w:val="clear" w:color="auto" w:fill="FFFFFF"/>
                  <w:jc w:val="both"/>
                  <w:rPr>
                    <w:szCs w:val="24"/>
                  </w:rPr>
                </w:pPr>
              </w:p>
            </w:tc>
            <w:tc>
              <w:tcPr>
                <w:tcW w:w="5830" w:type="dxa"/>
              </w:tcPr>
              <w:p>
                <w:pPr>
                  <w:jc w:val="both"/>
                  <w:rPr>
                    <w:b/>
                    <w:bCs/>
                  </w:rPr>
                </w:pPr>
                <w:r>
                  <w:rPr>
                    <w:b/>
                    <w:bCs/>
                  </w:rPr>
                  <w:t>Projektas</w:t>
                </w: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jc w:val="both"/>
                  <w:rPr>
                    <w:b/>
                    <w:bCs/>
                  </w:rPr>
                </w:pPr>
                <w:r>
                  <w:rPr>
                    <w:b/>
                    <w:bCs/>
                  </w:rPr>
                  <w:t>3. Lygių galimybių kontrolieriaus tarnyba informaciją apie skundo pateikimo ir nagrinėjimo tvarką skelbia savo interneto svetainėje.</w:t>
                </w:r>
              </w:p>
              <w:p>
                <w:pPr>
                  <w:jc w:val="both"/>
                  <w:rPr>
                    <w:b/>
                    <w:bCs/>
                  </w:rPr>
                </w:pPr>
                <w:r>
                  <w:rPr>
                    <w:b/>
                    <w:bCs/>
                  </w:rPr>
                  <w:t>&lt;...&gt;</w:t>
                </w:r>
              </w:p>
              <w:p>
                <w:pPr>
                  <w:jc w:val="both"/>
                  <w:rPr>
                    <w:b/>
                    <w:bCs/>
                    <w:szCs w:val="24"/>
                  </w:rPr>
                </w:pPr>
              </w:p>
            </w:tc>
            <w:tc>
              <w:tcPr>
                <w:tcW w:w="1792" w:type="dxa"/>
              </w:tcPr>
              <w:p>
                <w:pPr>
                  <w:rPr>
                    <w:b/>
                    <w:bCs/>
                    <w:color w:val="000000"/>
                    <w:szCs w:val="24"/>
                    <w:lang w:eastAsia="lt-LT"/>
                  </w:rPr>
                </w:pPr>
                <w:r>
                  <w:rPr>
                    <w:b/>
                    <w:bCs/>
                    <w:color w:val="000000"/>
                    <w:szCs w:val="24"/>
                    <w:lang w:eastAsia="lt-LT"/>
                  </w:rPr>
                  <w:t>Visiškas</w:t>
                </w:r>
              </w:p>
            </w:tc>
          </w:tr>
          <w:tr>
            <w:tc>
              <w:tcPr>
                <w:tcW w:w="6371" w:type="dxa"/>
              </w:tcPr>
              <w:p>
                <w:pPr>
                  <w:shd w:val="clear" w:color="auto" w:fill="FFFFFF"/>
                  <w:jc w:val="both"/>
                  <w:rPr>
                    <w:color w:val="000000"/>
                    <w:szCs w:val="24"/>
                    <w:lang w:eastAsia="lt-LT"/>
                  </w:rPr>
                </w:pPr>
                <w:r>
                  <w:rPr>
                    <w:color w:val="000000"/>
                    <w:szCs w:val="24"/>
                    <w:lang w:eastAsia="lt-LT"/>
                  </w:rPr>
                  <w:t>4.   Lygybės įstaigos per pagrįstą laikotarpį praneša skundą pateikusiems asmenis, ar skundo nagrinėjimas bus nutrauktas, ar yra pagrindo jį toliau nagrinėti.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bCs/>
                  </w:rPr>
                </w:pPr>
                <w:r>
                  <w:rPr>
                    <w:b/>
                    <w:bCs/>
                  </w:rPr>
                  <w:t xml:space="preserve">27 straipsnis. Atsisakymas nagrinėti skundą </w:t>
                </w:r>
              </w:p>
              <w:p>
                <w:pPr>
                  <w:jc w:val="both"/>
                  <w:rPr>
                    <w:b/>
                    <w:bCs/>
                  </w:rPr>
                </w:pPr>
                <w:r>
                  <w:rPr>
                    <w:b/>
                    <w:bCs/>
                  </w:rPr>
                  <w:t>Lygių galimybių kontrolierius per 10 darbo dienų nuo skundo gavimo Lygių galimybių kontrolieriaus tarnyboje dienos gali priimti sprendimą atsisakyti nagrinėti skundą, apie tai raštu informuodamas pareiškėją (nurodomas atsisakymo nagrinėti skundą pagrindas ( ai)):</w:t>
                </w:r>
              </w:p>
              <w:p>
                <w:pPr>
                  <w:jc w:val="both"/>
                  <w:rPr>
                    <w:b/>
                    <w:bCs/>
                  </w:rPr>
                </w:pPr>
                <w:r>
                  <w:rPr>
                    <w:b/>
                    <w:bCs/>
                  </w:rPr>
                  <w:t>1) jei skundas pateiktas praėjus šio įstatymo 24 straipsnio 3 dalyje nustatytam terminui;</w:t>
                </w:r>
              </w:p>
              <w:p>
                <w:pPr>
                  <w:jc w:val="both"/>
                  <w:rPr>
                    <w:b/>
                    <w:bCs/>
                  </w:rPr>
                </w:pPr>
                <w:r>
                  <w:rPr>
                    <w:b/>
                    <w:bCs/>
                  </w:rPr>
                  <w:t>2) jei skundas neatitinka šio įstatymo 25 straipsnio 1 ir 2 dalyse nustatytų reikalavimų;</w:t>
                </w:r>
              </w:p>
              <w:p>
                <w:pPr>
                  <w:jc w:val="both"/>
                  <w:rPr>
                    <w:b/>
                    <w:bCs/>
                  </w:rPr>
                </w:pPr>
                <w:r>
                  <w:rPr>
                    <w:b/>
                    <w:bCs/>
                  </w:rPr>
                  <w:t>3) jei dėl skunde išdėstyto klausimo priimtas procesinis sprendimas pradėti ikiteisminį tyrimą;</w:t>
                </w:r>
              </w:p>
              <w:p>
                <w:pPr>
                  <w:jc w:val="both"/>
                  <w:rPr>
                    <w:b/>
                    <w:bCs/>
                  </w:rPr>
                </w:pPr>
                <w:r>
                  <w:rPr>
                    <w:b/>
                    <w:bCs/>
                  </w:rPr>
                  <w:t>4) jei skundas turi būti nagrinėjamas išankstinio ginčų nagrinėjimo ne teismo tvarka institucijoje ar teisme;</w:t>
                </w:r>
              </w:p>
              <w:p>
                <w:pPr>
                  <w:jc w:val="both"/>
                  <w:rPr>
                    <w:b/>
                    <w:bCs/>
                  </w:rPr>
                </w:pPr>
                <w:r>
                  <w:rPr>
                    <w:b/>
                    <w:bCs/>
                  </w:rPr>
                  <w:t>5) jei pareiškėjas piktnaudžiauja teise kreiptis į lygių galimybių kontrolierių;</w:t>
                </w:r>
              </w:p>
              <w:p>
                <w:pPr>
                  <w:jc w:val="both"/>
                  <w:rPr>
                    <w:b/>
                    <w:bCs/>
                  </w:rPr>
                </w:pPr>
                <w:r>
                  <w:rPr>
                    <w:b/>
                    <w:bCs/>
                  </w:rPr>
                  <w:t>6) Viešojo administravimo įstatymo 11 straipsnio 3 ir 4 dalyse nurodytais atvejais.</w:t>
                </w:r>
              </w:p>
              <w:p>
                <w:pPr>
                  <w:jc w:val="both"/>
                  <w:rPr>
                    <w:b/>
                    <w:bCs/>
                  </w:rPr>
                </w:pPr>
              </w:p>
              <w:p>
                <w:pPr>
                  <w:jc w:val="both"/>
                  <w:rPr>
                    <w:b/>
                    <w:bCs/>
                  </w:rPr>
                </w:pPr>
                <w:r>
                  <w:rPr>
                    <w:b/>
                    <w:bCs/>
                  </w:rPr>
                  <w:t>28 straipsnis. Skundo nagrinėjimo terminai</w:t>
                </w:r>
              </w:p>
              <w:p>
                <w:pPr>
                  <w:jc w:val="both"/>
                  <w:rPr>
                    <w:b/>
                    <w:bCs/>
                  </w:rPr>
                </w:pPr>
                <w:r>
                  <w:rPr>
                    <w:b/>
                    <w:bCs/>
                  </w:rPr>
                  <w:t xml:space="preserve">1. Skundas turi būti išnagrinėtas ir pareiškėjui atsakyta per 3 mėnesius nuo jo skundo gavimo Lygių galimybių kontrolieriaus tarnyboje dienos, išskyrus šio straipsnio 2 dalyje nurodytus atvejus. </w:t>
                </w:r>
              </w:p>
              <w:p>
                <w:pPr>
                  <w:jc w:val="both"/>
                  <w:rPr>
                    <w:b/>
                    <w:bCs/>
                  </w:rPr>
                </w:pPr>
                <w:r>
                  <w:rPr>
                    <w:b/>
                    <w:bCs/>
                  </w:rPr>
                  <w:t xml:space="preserve">2. Jeigu dėl objektyvių priežasčių (dėl galimos sisteminės diskriminacijos, skunde nurodytų aplinkybių sudėtingumo, didelės informacijos apimties, skundžiamų veiksmų tęstinio pobūdžio, būtinumo atlikti papildomą tyrimą (gauti dokumentus, paaiškinimus, apklausti suinteresuotus asmenis) per šio straipsnio 1 dalyje nurodytą terminą skundas negali būti išnagrinėtas, lygių galimybių kontrolieriaus sprendimu skundo nagrinėjimo terminas gali būti pratęsiamas vienam mėnesiui. Pareiškėjas apie termino pratęsimą informuojamas raštu per 5 darbo dienas nuo sprendimo pratęsti skundo nagrinėjimo terminą priėmimo dienos. </w:t>
                </w: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rPr>
                </w:pPr>
                <w:r>
                  <w:rPr>
                    <w:b/>
                    <w:bCs/>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jc w:val="both"/>
                  <w:rPr>
                    <w:b/>
                    <w:bCs/>
                  </w:rPr>
                </w:pPr>
                <w:r>
                  <w:rPr>
                    <w:b/>
                    <w:bCs/>
                  </w:rPr>
                  <w:t>4. Anoniminiai skundai nenagrinėjami, jeigu lygių galimybių kontrolierius nenusprendžia kitaip.</w:t>
                </w:r>
              </w:p>
              <w:p>
                <w:pPr>
                  <w:jc w:val="both"/>
                  <w:rPr>
                    <w:b/>
                    <w:bCs/>
                  </w:rPr>
                </w:pPr>
              </w:p>
              <w:p>
                <w:pPr>
                  <w:jc w:val="both"/>
                  <w:rPr>
                    <w:b/>
                    <w:bCs/>
                  </w:rPr>
                </w:pPr>
              </w:p>
            </w:tc>
            <w:tc>
              <w:tcPr>
                <w:tcW w:w="1792" w:type="dxa"/>
              </w:tcPr>
              <w:p>
                <w:pPr>
                  <w:rPr>
                    <w:b/>
                    <w:bCs/>
                    <w:color w:val="000000"/>
                    <w:lang w:eastAsia="lt-LT"/>
                  </w:rPr>
                </w:pPr>
                <w:r>
                  <w:rPr>
                    <w:b/>
                    <w:bCs/>
                    <w:color w:val="000000"/>
                    <w:lang w:eastAsia="lt-LT"/>
                  </w:rPr>
                  <w:t>Visiškas</w:t>
                </w:r>
              </w:p>
            </w:tc>
          </w:tr>
          <w:tr>
            <w:tc>
              <w:tcPr>
                <w:tcW w:w="6371" w:type="dxa"/>
              </w:tcPr>
              <w:p>
                <w:pPr>
                  <w:shd w:val="clear" w:color="auto" w:fill="FFFFFF"/>
                  <w:jc w:val="both"/>
                  <w:rPr>
                    <w:b/>
                    <w:bCs/>
                    <w:color w:val="000000"/>
                    <w:lang w:eastAsia="lt-LT"/>
                  </w:rPr>
                </w:pPr>
                <w:r>
                  <w:rPr>
                    <w:b/>
                    <w:bCs/>
                    <w:color w:val="000000"/>
                    <w:lang w:eastAsia="lt-LT"/>
                  </w:rPr>
                  <w:t>7 straipsnis</w:t>
                </w:r>
              </w:p>
              <w:p>
                <w:pPr>
                  <w:shd w:val="clear" w:color="auto" w:fill="FFFFFF"/>
                  <w:jc w:val="both"/>
                  <w:rPr>
                    <w:b/>
                    <w:bCs/>
                    <w:color w:val="000000"/>
                    <w:lang w:eastAsia="lt-LT"/>
                  </w:rPr>
                </w:pPr>
                <w:r>
                  <w:rPr>
                    <w:b/>
                    <w:bCs/>
                    <w:color w:val="000000"/>
                    <w:lang w:eastAsia="lt-LT"/>
                  </w:rPr>
                  <w:t>Alternatyvus ginčų sprendimas</w:t>
                </w:r>
              </w:p>
              <w:p>
                <w:pPr>
                  <w:shd w:val="clear" w:color="auto" w:fill="FFFFFF"/>
                  <w:jc w:val="both"/>
                  <w:rPr>
                    <w:color w:val="000000"/>
                    <w:lang w:eastAsia="lt-LT"/>
                  </w:rPr>
                </w:pPr>
                <w:r>
                  <w:rPr>
                    <w:color w:val="000000"/>
                    <w:lang w:eastAsia="lt-LT"/>
                  </w:rPr>
                  <w:t>Lygybės įstaigos gali ginčo šalims pasiūlyti galimybę mėginti ginčą išspręsti alternatyviu būdu. Šiam procesui gali vadovauti pati lygybės įstaiga arba kitas kompetentingas subjektas pagal nacionalinę teisę ir praktiką; tokiu atveju lygybės įstaiga gali teikti pastabas tam subjektui. Toks alternatyvus ginčų sprendimas gali būti įvairių formų, pavyzdžiui, mediacija ar taikinimas, laikantis nacionalinės teisės ir praktikos Tai, kad sprendimo nerasta, neužkerta kelio šalims pasinaudoti teise veikti teisme. Valstybės narės užtikrina pakankamą senaties terminą, kad ginčo šalys galėtų kreiptis į teismą, pavyzdžiui, sustabdydamos senaties terminą, kol šalys dalyvauja alternatyvaus ginčų sprendimo procese.</w:t>
                </w:r>
              </w:p>
              <w:p>
                <w:pPr>
                  <w:jc w:val="both"/>
                  <w:rPr>
                    <w:szCs w:val="24"/>
                  </w:rPr>
                </w:pPr>
              </w:p>
            </w:tc>
            <w:tc>
              <w:tcPr>
                <w:tcW w:w="5830" w:type="dxa"/>
              </w:tcPr>
              <w:p>
                <w:pPr>
                  <w:tabs>
                    <w:tab w:val="left" w:pos="709"/>
                  </w:tabs>
                  <w:jc w:val="both"/>
                  <w:rPr>
                    <w:b/>
                    <w:bCs/>
                  </w:rPr>
                </w:pPr>
                <w:r>
                  <w:rPr>
                    <w:b/>
                    <w:bCs/>
                  </w:rPr>
                  <w:t>Projektas</w:t>
                </w:r>
              </w:p>
              <w:p>
                <w:pPr>
                  <w:tabs>
                    <w:tab w:val="left" w:pos="709"/>
                  </w:tabs>
                  <w:jc w:val="both"/>
                  <w:rPr>
                    <w:b/>
                    <w:bCs/>
                  </w:rPr>
                </w:pPr>
                <w:r>
                  <w:rPr>
                    <w:b/>
                    <w:bCs/>
                  </w:rPr>
                  <w:t>1 straipsnis. Įstatymo paskirtis ir taikymas</w:t>
                </w:r>
              </w:p>
              <w:p>
                <w:pPr>
                  <w:tabs>
                    <w:tab w:val="left" w:pos="709"/>
                  </w:tabs>
                  <w:jc w:val="both"/>
                  <w:rPr>
                    <w:b/>
                    <w:bCs/>
                  </w:rPr>
                </w:pPr>
                <w:r>
                  <w:rPr>
                    <w:b/>
                    <w:bCs/>
                  </w:rPr>
                  <w:t>&lt;...&gt;</w:t>
                </w:r>
              </w:p>
              <w:p>
                <w:pPr>
                  <w:tabs>
                    <w:tab w:val="left" w:pos="709"/>
                  </w:tabs>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 xml:space="preserve">13 straipsnis. Lygių galimybių kontrolierius </w:t>
                </w:r>
              </w:p>
              <w:p>
                <w:pPr>
                  <w:tabs>
                    <w:tab w:val="left" w:pos="709"/>
                  </w:tabs>
                  <w:jc w:val="both"/>
                  <w:rPr>
                    <w:b/>
                    <w:bCs/>
                  </w:rPr>
                </w:pPr>
                <w:r>
                  <w:rPr>
                    <w:b/>
                    <w:bCs/>
                  </w:rPr>
                  <w:t>&lt;...&gt;</w:t>
                </w:r>
              </w:p>
              <w:p>
                <w:pPr>
                  <w:tabs>
                    <w:tab w:val="left" w:pos="709"/>
                  </w:tabs>
                  <w:jc w:val="both"/>
                  <w:rPr>
                    <w:b/>
                    <w:bCs/>
                  </w:rPr>
                </w:pPr>
                <w:r>
                  <w:rPr>
                    <w:b/>
                    <w:bCs/>
                  </w:rPr>
                  <w:t>4. Lygių galimybių kontrolierius:</w:t>
                </w:r>
              </w:p>
              <w:p>
                <w:pPr>
                  <w:tabs>
                    <w:tab w:val="left" w:pos="709"/>
                  </w:tabs>
                  <w:jc w:val="both"/>
                  <w:rPr>
                    <w:b/>
                    <w:bCs/>
                  </w:rPr>
                </w:pPr>
                <w:r>
                  <w:rPr>
                    <w:b/>
                    <w:bCs/>
                  </w:rPr>
                  <w:t>&lt;...&gt;</w:t>
                </w:r>
              </w:p>
              <w:p>
                <w:pPr>
                  <w:tabs>
                    <w:tab w:val="left" w:pos="709"/>
                  </w:tabs>
                  <w:jc w:val="both"/>
                  <w:rPr>
                    <w:b/>
                    <w:bCs/>
                  </w:rPr>
                </w:pPr>
                <w:r>
                  <w:rPr>
                    <w:b/>
                    <w:bCs/>
                  </w:rPr>
                  <w:t xml:space="preserve">10) gali atlikti taikinimo procedūrą; </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31 straipsnis. Taikinimo procedūra</w:t>
                </w:r>
              </w:p>
              <w:p>
                <w:pPr>
                  <w:tabs>
                    <w:tab w:val="left" w:pos="709"/>
                  </w:tabs>
                  <w:jc w:val="both"/>
                  <w:rPr>
                    <w:b/>
                    <w:bCs/>
                  </w:rPr>
                </w:pPr>
                <w:r>
                  <w:rPr>
                    <w:b/>
                    <w:bCs/>
                  </w:rPr>
                  <w:t>1. Lygių galimybių kontrolierius, pareiškėjas ar skundžiamas asmuo turi teisę inicijuoti taikinimo procedūrą Lygių galimybių kontrolieriaus tarnyboje. Taikinimo procedūra pareiškėjo ir skundžiamo asmens sutikimu gali būti inicijuojama ir atliekama iki lygių galimybių kontrolieriaus sprendimo, kuriuo baigiamas tyrimas dėl lygių galimybių pažeidimo, priėmimo dienos. Inicijavus taikinimo procedūrą ir ją atliekant, lygių galimybių pažeidimo tyrimo terminas sustabdomas iki taikinimo procedūros pabaigos dienos.</w:t>
                </w:r>
              </w:p>
              <w:p>
                <w:pPr>
                  <w:tabs>
                    <w:tab w:val="left" w:pos="709"/>
                  </w:tabs>
                  <w:jc w:val="both"/>
                  <w:rPr>
                    <w:b/>
                    <w:bCs/>
                  </w:rPr>
                </w:pPr>
                <w:r>
                  <w:rPr>
                    <w:b/>
                    <w:bCs/>
                  </w:rPr>
                  <w:t>2. Taikinimo procedūra yra nemokama. Ji atliekama lygių galimybių kontrolieriaus nustatyta tvarka.</w:t>
                </w:r>
              </w:p>
              <w:p>
                <w:pPr>
                  <w:tabs>
                    <w:tab w:val="left" w:pos="709"/>
                  </w:tabs>
                  <w:jc w:val="both"/>
                  <w:rPr>
                    <w:b/>
                    <w:bCs/>
                  </w:rPr>
                </w:pPr>
                <w:r>
                  <w:rPr>
                    <w:b/>
                    <w:bCs/>
                  </w:rPr>
                  <w:t>3. Taikinimo procedūroje dalyvauja pareiškėjas, skundžiamas asmuo ir Lygių galimybių kontrolieriaus tarnybos atstovas, taip pat gali būti kviečiami kiti suinteresuoti asmenys. Pareiškėjui ir skundžiamam asmeniui taikinimo procedūroje gali atstovauti jų atstovai, pateikę dokumentą, patvirtinantį teisinį atstovavimo pagrindą, ar jo kopiją (nuorašą).</w:t>
                </w:r>
              </w:p>
              <w:p>
                <w:pPr>
                  <w:tabs>
                    <w:tab w:val="left" w:pos="709"/>
                  </w:tabs>
                  <w:jc w:val="both"/>
                  <w:rPr>
                    <w:b/>
                    <w:bCs/>
                  </w:rPr>
                </w:pPr>
                <w:r>
                  <w:rPr>
                    <w:b/>
                    <w:bCs/>
                  </w:rPr>
                  <w:t>4. Jeigu, atlikus taikinimo procedūrą, pasiekiamas pareiškėjui ir skundžiamam asmeniui priimtinas susitarimas, lygių galimybių kontrolieriaus nustatyta tvarka sudaroma taikos sutartis. Sudarius taikos sutartį, lygių galimybių kontrolierius priima sprendimą lygių galimybių pažeidimo tyrimą nutraukti.</w:t>
                </w:r>
              </w:p>
              <w:p>
                <w:pPr>
                  <w:tabs>
                    <w:tab w:val="left" w:pos="709"/>
                  </w:tabs>
                  <w:jc w:val="both"/>
                  <w:rPr>
                    <w:b/>
                    <w:bCs/>
                  </w:rPr>
                </w:pPr>
                <w:r>
                  <w:rPr>
                    <w:b/>
                    <w:bCs/>
                  </w:rPr>
                  <w:t>5. Jeigu, atlikus taikinimo procedūrą, pareiškėjui ir skundžiamam asmeniui priimtinas susitarimas nepasiekiamas, lygių galimybių kontrolierius tęsia tyrimą ir priima vieną arba kelis iš šio įstatymo 29 straipsnio 1 dalyje nurodytų sprendimų.</w:t>
                </w:r>
              </w:p>
            </w:tc>
            <w:tc>
              <w:tcPr>
                <w:tcW w:w="1792" w:type="dxa"/>
              </w:tcPr>
              <w:p>
                <w:pPr>
                  <w:jc w:val="both"/>
                  <w:rPr>
                    <w:b/>
                    <w:bCs/>
                    <w:color w:val="000000"/>
                    <w:szCs w:val="24"/>
                    <w:lang w:eastAsia="lt-LT"/>
                  </w:rPr>
                </w:pPr>
                <w:r>
                  <w:rPr>
                    <w:b/>
                    <w:bCs/>
                    <w:color w:val="000000"/>
                    <w:szCs w:val="24"/>
                    <w:lang w:eastAsia="lt-LT"/>
                  </w:rPr>
                  <w:t>Visiškas</w:t>
                </w:r>
              </w:p>
            </w:tc>
          </w:tr>
          <w:tr>
            <w:tc>
              <w:tcPr>
                <w:tcW w:w="6371" w:type="dxa"/>
              </w:tcPr>
              <w:p>
                <w:pPr>
                  <w:shd w:val="clear" w:color="auto" w:fill="FFFFFF"/>
                  <w:jc w:val="both"/>
                  <w:rPr>
                    <w:b/>
                    <w:bCs/>
                    <w:color w:val="000000"/>
                    <w:lang w:eastAsia="lt-LT"/>
                  </w:rPr>
                </w:pPr>
                <w:r>
                  <w:rPr>
                    <w:b/>
                    <w:bCs/>
                    <w:color w:val="000000"/>
                    <w:lang w:eastAsia="lt-LT"/>
                  </w:rPr>
                  <w:t>8 straipsnis</w:t>
                </w:r>
              </w:p>
              <w:p>
                <w:pPr>
                  <w:shd w:val="clear" w:color="auto" w:fill="FFFFFF"/>
                  <w:jc w:val="both"/>
                  <w:rPr>
                    <w:b/>
                    <w:bCs/>
                    <w:color w:val="000000"/>
                    <w:lang w:eastAsia="lt-LT"/>
                  </w:rPr>
                </w:pPr>
                <w:r>
                  <w:rPr>
                    <w:b/>
                    <w:bCs/>
                    <w:color w:val="000000"/>
                    <w:lang w:eastAsia="lt-LT"/>
                  </w:rPr>
                  <w:t>Tyrimai</w:t>
                </w:r>
              </w:p>
              <w:p>
                <w:pPr>
                  <w:shd w:val="clear" w:color="auto" w:fill="FFFFFF"/>
                  <w:jc w:val="both"/>
                  <w:rPr>
                    <w:color w:val="000000"/>
                    <w:lang w:eastAsia="lt-LT"/>
                  </w:rPr>
                </w:pPr>
                <w:r>
                  <w:rPr>
                    <w:color w:val="000000"/>
                    <w:lang w:eastAsia="lt-LT"/>
                  </w:rPr>
                  <w:t xml:space="preserve">1.   Valstybės narės užtikrina, kad lygybės įstaigos būtų įgaliotos tirti, ar buvo pažeistas direktyvose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xml:space="preserve"> nustatytas vienodo požiūrio principas.</w:t>
                </w:r>
              </w:p>
            </w:tc>
            <w:tc>
              <w:tcPr>
                <w:tcW w:w="5830" w:type="dxa"/>
              </w:tcPr>
              <w:p>
                <w:pPr>
                  <w:jc w:val="both"/>
                  <w:rPr>
                    <w:b/>
                    <w:bCs/>
                  </w:rPr>
                </w:pPr>
                <w:r>
                  <w:rPr>
                    <w:b/>
                    <w:bCs/>
                  </w:rPr>
                  <w:t>Projektas</w:t>
                </w:r>
              </w:p>
              <w:p>
                <w:pPr>
                  <w:jc w:val="both"/>
                  <w:rPr>
                    <w:b/>
                    <w:bCs/>
                  </w:rPr>
                </w:pP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3) vykdo šio įstatymo įgyvendinimo priežiūrą ir Jungtinių Tautų asmenų su negalia teisių konvencijos įgyvendinimo kontrolę;</w:t>
                </w:r>
              </w:p>
              <w:p>
                <w:pPr>
                  <w:jc w:val="both"/>
                  <w:rPr>
                    <w:b/>
                    <w:bCs/>
                  </w:rPr>
                </w:pPr>
                <w:r>
                  <w:rPr>
                    <w:b/>
                    <w:bCs/>
                  </w:rPr>
                  <w:t>&lt;...&gt;</w:t>
                </w:r>
              </w:p>
              <w:p>
                <w:pPr>
                  <w:jc w:val="both"/>
                  <w:rPr>
                    <w:b/>
                    <w:bCs/>
                  </w:rPr>
                </w:pPr>
                <w:r>
                  <w:rPr>
                    <w:b/>
                    <w:bCs/>
                  </w:rPr>
                  <w:t xml:space="preserve">9) nagrinėja asmenų skundus; </w:t>
                </w:r>
              </w:p>
              <w:p>
                <w:pPr>
                  <w:jc w:val="both"/>
                  <w:rPr>
                    <w:b/>
                    <w:bCs/>
                  </w:rPr>
                </w:pPr>
                <w:r>
                  <w:rPr>
                    <w:b/>
                    <w:bCs/>
                  </w:rPr>
                  <w:t>&lt;...&gt;</w:t>
                </w:r>
              </w:p>
              <w:p>
                <w:pPr>
                  <w:jc w:val="both"/>
                  <w:rPr>
                    <w:b/>
                    <w:bCs/>
                  </w:rPr>
                </w:pPr>
                <w:r>
                  <w:rPr>
                    <w:b/>
                    <w:bCs/>
                  </w:rPr>
                  <w:t>11) gali pradėti lygių galimybių pažeidimo tyrimą savo iniciatyva, nustatęs šio pažeidimo požymius visuomenės informavimo priemonėse ar kitur;</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&lt;...&gt;</w:t>
                </w:r>
              </w:p>
              <w:p>
                <w:pPr>
                  <w:jc w:val="both"/>
                  <w:rPr>
                    <w:b/>
                    <w:bCs/>
                    <w:szCs w:val="24"/>
                  </w:rPr>
                </w:pPr>
              </w:p>
            </w:tc>
            <w:tc>
              <w:tcPr>
                <w:tcW w:w="1792" w:type="dxa"/>
              </w:tcPr>
              <w:p>
                <w:pPr>
                  <w:jc w:val="both"/>
                  <w:rPr>
                    <w:b/>
                    <w:bCs/>
                    <w:color w:val="000000"/>
                    <w:szCs w:val="24"/>
                    <w:lang w:eastAsia="lt-LT"/>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Valstybės narės nustato sistemą tyrimams vykdyti, kuria lygybės įstaigoms sudaromos sąlygos nustatyti faktus. Visų pirma pagal tą sistemą lygybės įstaigoms suteikiamos veiksmingos teisės gauti informaciją ir dokumentus, reikalingus siekiant nustatyti, ar būta diskriminacijos. Joje taip pat numatomi tinkami mechanizmai, kad lygybės įstaigos tuo tikslu galėtų bendradarbiauti su atitinkamomis viešosiomis įstaigomis.</w:t>
                </w:r>
              </w:p>
              <w:p>
                <w:pPr>
                  <w:jc w:val="both"/>
                  <w:rPr>
                    <w:szCs w:val="24"/>
                  </w:rPr>
                </w:pPr>
              </w:p>
            </w:tc>
            <w:tc>
              <w:tcPr>
                <w:tcW w:w="5830" w:type="dxa"/>
              </w:tcPr>
              <w:p>
                <w:pPr>
                  <w:jc w:val="both"/>
                  <w:rPr>
                    <w:b/>
                    <w:bCs/>
                  </w:rPr>
                </w:pPr>
                <w:r>
                  <w:rPr>
                    <w:b/>
                    <w:bCs/>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b/>
                    <w:bCs/>
                  </w:rPr>
                </w:pPr>
                <w:r>
                  <w:rPr>
                    <w:b/>
                    <w:bCs/>
                  </w:rPr>
                  <w:t>4. Asmenys, nevykdantys lygių galimybių kontrolieriaus reikalavimų ir (ar) sprendimų, atsako Lietuvos Respublikos administracinių nusižengimų kodekso nustatyta tvarka.</w:t>
                </w:r>
              </w:p>
              <w:p>
                <w:pPr>
                  <w:jc w:val="both"/>
                  <w:rPr>
                    <w:b/>
                    <w:bCs/>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3.   Valstybės narės taip pat gali pagal nacionalinę teisę ir praktiką kitai kompetentingai įstaigai pavesti 1 ir 2 dalyse nurodytus įgaliojimus. Kai tokia kompetentinga įstaiga baigia tyrimą, ji, lygybės įstaigai paprašius, pateikia jai informaciją apie to tyrimo rezultatus.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rPr>
                </w:pPr>
              </w:p>
              <w:p>
                <w:pPr>
                  <w:jc w:val="both"/>
                  <w:rPr>
                    <w:b/>
                    <w:bCs/>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1) perduoti turimą tyrimo informaciją ir medžiagą ikiteisminio tyrimo įstaigai ar prokurorui, jeigu nustatomi galimi nusikalstamos veikos požymiai;</w:t>
                </w:r>
              </w:p>
              <w:p>
                <w:pPr>
                  <w:jc w:val="both"/>
                  <w:rPr>
                    <w:b/>
                    <w:bCs/>
                  </w:rPr>
                </w:pPr>
                <w:r>
                  <w:rPr>
                    <w:b/>
                    <w:bCs/>
                  </w:rPr>
                  <w:t>&lt;...&gt;</w:t>
                </w:r>
              </w:p>
              <w:p>
                <w:pPr>
                  <w:jc w:val="both"/>
                  <w:rPr>
                    <w:b/>
                    <w:bCs/>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4.   Valstybės narės gali nustatyti, kad nebūtų pagal šio straipsnio 1 dalį ir 9 straipsnį pradedama ar tęsiama jokių tyrimų, kol dėl to paties atvejo vyksta teismo procesas.</w:t>
                </w:r>
              </w:p>
              <w:p>
                <w:pPr>
                  <w:jc w:val="both"/>
                  <w:rPr>
                    <w:szCs w:val="24"/>
                  </w:rPr>
                </w:pPr>
              </w:p>
            </w:tc>
            <w:tc>
              <w:tcPr>
                <w:tcW w:w="5830" w:type="dxa"/>
              </w:tcPr>
              <w:p>
                <w:pPr>
                  <w:jc w:val="both"/>
                  <w:rPr>
                    <w:b/>
                    <w:bCs/>
                  </w:rPr>
                </w:pPr>
                <w:r>
                  <w:rPr>
                    <w:b/>
                    <w:bCs/>
                  </w:rPr>
                  <w:t>Projektas</w:t>
                </w:r>
              </w:p>
              <w:p>
                <w:pPr>
                  <w:jc w:val="both"/>
                  <w:rPr>
                    <w:b/>
                    <w:bCs/>
                  </w:rPr>
                </w:pPr>
                <w:r>
                  <w:rPr>
                    <w:b/>
                    <w:bCs/>
                  </w:rPr>
                  <w:t xml:space="preserve">27 straipsnis. Atsisakymas nagrinėti skundą </w:t>
                </w:r>
              </w:p>
              <w:p>
                <w:pPr>
                  <w:jc w:val="both"/>
                  <w:rPr>
                    <w:b/>
                    <w:bCs/>
                  </w:rPr>
                </w:pPr>
                <w:r>
                  <w:rPr>
                    <w:b/>
                    <w:bCs/>
                  </w:rPr>
                  <w:t>1. Lygių galimybių kontrolierius per 10 darbo dienų nuo skundo gavimo Lygių galimybių kontrolieriaus tarnyboje dienos gali priimti sprendimą atsisakyti nagrinėti skundą, apie tai raštu informuodamas pareiškėją (nurodomas atsisakymo nagrinėti skundą pagrindas (</w:t>
                  <w:noBreakHyphen/>
                  <w:t>ai)):</w:t>
                </w:r>
              </w:p>
              <w:p>
                <w:pPr>
                  <w:jc w:val="both"/>
                  <w:rPr>
                    <w:b/>
                    <w:bCs/>
                  </w:rPr>
                </w:pPr>
                <w:r>
                  <w:rPr>
                    <w:b/>
                    <w:bCs/>
                  </w:rPr>
                  <w:t>&lt;...&gt;</w:t>
                </w:r>
              </w:p>
              <w:p>
                <w:pPr>
                  <w:jc w:val="both"/>
                  <w:rPr>
                    <w:b/>
                    <w:bCs/>
                    <w:szCs w:val="24"/>
                  </w:rPr>
                </w:pPr>
                <w:r>
                  <w:rPr>
                    <w:b/>
                    <w:bCs/>
                  </w:rPr>
                  <w:t>6) Viešojo administravimo įstatymo 11 straipsnio 3 ir 4 dalyse nurodytais atvejais.</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9 straipsnis</w:t>
                </w:r>
              </w:p>
              <w:p>
                <w:pPr>
                  <w:shd w:val="clear" w:color="auto" w:fill="FFFFFF"/>
                  <w:jc w:val="both"/>
                  <w:rPr>
                    <w:b/>
                    <w:bCs/>
                    <w:color w:val="000000"/>
                    <w:lang w:eastAsia="lt-LT"/>
                  </w:rPr>
                </w:pPr>
                <w:r>
                  <w:rPr>
                    <w:b/>
                    <w:bCs/>
                    <w:color w:val="000000"/>
                    <w:lang w:eastAsia="lt-LT"/>
                  </w:rPr>
                  <w:t>Nuomonės ir sprendimai</w:t>
                </w:r>
              </w:p>
              <w:p>
                <w:pPr>
                  <w:shd w:val="clear" w:color="auto" w:fill="FFFFFF"/>
                  <w:jc w:val="both"/>
                  <w:rPr>
                    <w:b/>
                    <w:bCs/>
                    <w:color w:val="000000"/>
                    <w:lang w:eastAsia="lt-LT"/>
                  </w:rPr>
                </w:pPr>
                <w:r>
                  <w:rPr>
                    <w:color w:val="000000"/>
                    <w:lang w:eastAsia="lt-LT"/>
                  </w:rPr>
                  <w:t>1.   Valstybės narės užtikrina, kad lygybės įstaigos būtų įgaliotos pateikti ir dokumentuoti savo atliktą atvejo vertinimą, be kita ko, nustatydamos faktus ir pateikdamos pagrįstą išvadą dėl diskriminacijos buvimo. Valstybės narės nustato, ar tai turi būti daroma teikiant neprivalomas nuomones, ar priimant privalomus sprendimus</w:t>
                </w:r>
                <w:r>
                  <w:rPr>
                    <w:b/>
                    <w:bCs/>
                    <w:color w:val="000000"/>
                    <w:lang w:eastAsia="lt-LT"/>
                  </w:rPr>
                  <w:t>.</w:t>
                </w:r>
              </w:p>
              <w:p>
                <w:pPr>
                  <w:jc w:val="both"/>
                  <w:rPr>
                    <w:szCs w:val="24"/>
                  </w:rPr>
                </w:pPr>
              </w:p>
            </w:tc>
            <w:tc>
              <w:tcPr>
                <w:tcW w:w="5830" w:type="dxa"/>
              </w:tcPr>
              <w:p>
                <w:pPr>
                  <w:jc w:val="both"/>
                  <w:rPr>
                    <w:b/>
                    <w:bCs/>
                  </w:rPr>
                </w:pPr>
                <w:r>
                  <w:rPr>
                    <w:b/>
                    <w:bCs/>
                  </w:rPr>
                  <w:t>Projektas</w:t>
                </w:r>
              </w:p>
              <w:p>
                <w:pPr>
                  <w:jc w:val="both"/>
                  <w:rPr>
                    <w:b/>
                    <w:bCs/>
                  </w:rPr>
                </w:pPr>
                <w:r>
                  <w:rPr>
                    <w:b/>
                    <w:bCs/>
                  </w:rPr>
                  <w:t>18 straipsnis. Lygių galimybių kontrolieriaus veiklos viešumas</w:t>
                </w:r>
              </w:p>
              <w:p>
                <w:pPr>
                  <w:jc w:val="both"/>
                  <w:rPr>
                    <w:b/>
                    <w:bCs/>
                  </w:rPr>
                </w:pPr>
                <w:r>
                  <w:rPr>
                    <w:b/>
                    <w:bCs/>
                  </w:rPr>
                  <w:t>1. Lygių galimybių kontrolierius informaciją apie skundo tyrimą visuomenės informavimo priemonėms teikia tik pareiškėjui sutikus.</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b/>
                    <w:bCs/>
                    <w:szCs w:val="24"/>
                  </w:rPr>
                </w:pPr>
                <w:r>
                  <w:rPr>
                    <w:b/>
                    <w:bCs/>
                  </w:rPr>
                  <w:t>4. Asmenys, nevykdantys lygių galimybių kontrolieriaus reikalavimų ir (ar) sprendimų, atsako Lietuvos Respublikos administracinių nusižengimų kodekso nustatyta tvarka.</w:t>
                </w: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Prireikus, tiek neprivalomose nuomonėse, tiek privalomuose sprendimuose nurodomos konkrečios priemonės bet kokiems nustatytiems vienodo požiūrio principo pažeidimams pašalinti ir tolesniems atvejams išvengti. Valstybės narės nustato tinkamus mechanizmus, pagal kuriuos būtų atsižvelgiama į neprivalomas nuomones, pvz., nustato pareigas pateikti atsiliepimą, ir pagal kuriuos būtų užtikrinamas privalomų sprendimų vykdymas.</w:t>
                </w:r>
              </w:p>
              <w:p>
                <w:pPr>
                  <w:tabs>
                    <w:tab w:val="left" w:pos="1512"/>
                  </w:tabs>
                  <w:jc w:val="both"/>
                  <w:rPr>
                    <w:szCs w:val="24"/>
                  </w:rPr>
                </w:pPr>
              </w:p>
            </w:tc>
            <w:tc>
              <w:tcPr>
                <w:tcW w:w="5830" w:type="dxa"/>
              </w:tcPr>
              <w:p>
                <w:pPr>
                  <w:jc w:val="both"/>
                  <w:rPr>
                    <w:b/>
                    <w:bCs/>
                  </w:rPr>
                </w:pPr>
                <w:r>
                  <w:rPr>
                    <w:b/>
                    <w:bCs/>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b/>
                    <w:bCs/>
                    <w:szCs w:val="24"/>
                  </w:rPr>
                </w:pPr>
                <w:r>
                  <w:rPr>
                    <w:b/>
                    <w:bCs/>
                  </w:rPr>
                  <w:t>4. Asmenys, nevykdantys lygių galimybių kontrolieriaus reikalavimų ir (ar) sprendimų, atsako Lietuvos Respublikos administracinių nusižengimų kodekso nustatyta tvarka.</w:t>
                </w:r>
              </w:p>
            </w:tc>
            <w:tc>
              <w:tcPr>
                <w:tcW w:w="1792" w:type="dxa"/>
              </w:tcPr>
              <w:p>
                <w:pPr>
                  <w:jc w:val="both"/>
                  <w:rPr>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3.   Lygybės įstaigos skelbia bent santrauką tų savo nuomonių ir sprendimų, kurie, jų nuomone, yra ypač svarbūs.</w:t>
                </w:r>
              </w:p>
              <w:p>
                <w:pPr>
                  <w:ind w:firstLine="1296"/>
                  <w:jc w:val="both"/>
                  <w:rPr>
                    <w:szCs w:val="24"/>
                  </w:rPr>
                </w:pPr>
              </w:p>
            </w:tc>
            <w:tc>
              <w:tcPr>
                <w:tcW w:w="5830" w:type="dxa"/>
              </w:tcPr>
              <w:p>
                <w:pPr>
                  <w:jc w:val="both"/>
                  <w:rPr>
                    <w:b/>
                    <w:bCs/>
                  </w:rPr>
                </w:pPr>
                <w:r>
                  <w:rPr>
                    <w:b/>
                    <w:bCs/>
                  </w:rPr>
                  <w:t>Projektas</w:t>
                </w:r>
              </w:p>
              <w:p>
                <w:pPr>
                  <w:jc w:val="both"/>
                  <w:rPr>
                    <w:b/>
                    <w:bCs/>
                  </w:rPr>
                </w:pPr>
                <w:r>
                  <w:rPr>
                    <w:b/>
                    <w:bCs/>
                  </w:rPr>
                  <w:t>18 straipsnis. Lygių galimybių kontrolieriaus veiklos viešumas</w:t>
                </w:r>
              </w:p>
              <w:p>
                <w:pPr>
                  <w:jc w:val="both"/>
                  <w:rPr>
                    <w:b/>
                    <w:bCs/>
                  </w:rPr>
                </w:pPr>
                <w:r>
                  <w:rPr>
                    <w:b/>
                    <w:bCs/>
                  </w:rPr>
                  <w:t>&lt;...&gt;</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bCs/>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szCs w:val="24"/>
                    <w:lang w:eastAsia="lt-LT"/>
                  </w:rPr>
                </w:pPr>
                <w:r>
                  <w:rPr>
                    <w:b/>
                    <w:bCs/>
                    <w:color w:val="000000"/>
                    <w:szCs w:val="24"/>
                    <w:lang w:eastAsia="lt-LT"/>
                  </w:rPr>
                  <w:t>10 straipsnis</w:t>
                </w:r>
              </w:p>
              <w:p>
                <w:pPr>
                  <w:shd w:val="clear" w:color="auto" w:fill="FFFFFF"/>
                  <w:jc w:val="both"/>
                  <w:rPr>
                    <w:b/>
                    <w:bCs/>
                    <w:color w:val="000000"/>
                    <w:szCs w:val="24"/>
                    <w:lang w:eastAsia="lt-LT"/>
                  </w:rPr>
                </w:pPr>
                <w:r>
                  <w:rPr>
                    <w:b/>
                    <w:bCs/>
                    <w:color w:val="000000"/>
                    <w:szCs w:val="24"/>
                    <w:lang w:eastAsia="lt-LT"/>
                  </w:rPr>
                  <w:t>Bylinėjimasis</w:t>
                </w:r>
              </w:p>
              <w:p>
                <w:pPr>
                  <w:jc w:val="both"/>
                  <w:rPr>
                    <w:szCs w:val="24"/>
                  </w:rPr>
                </w:pPr>
                <w:r>
                  <w:rPr>
                    <w:color w:val="000000"/>
                    <w:szCs w:val="24"/>
                    <w:lang w:eastAsia="lt-LT"/>
                  </w:rPr>
                  <w:t xml:space="preserve">1.   Valstybės narės užtikrina, kad lygybės įstaigos turėtų teisę veikti teismo procesuose civilinės ir administracinės teisenos bylose, susijusiuose su direktyvose </w:t>
                </w:r>
                <w:fldSimple w:instr="HYPERLINK http://eur-lex.europa.eu/legal-content/LIT/TXT/?uri=CELEX:31979L0007&amp;locale=lt \t _blank">
                  <w:r>
                    <w:rPr>
                      <w:color w:val="0000FF" w:themeColor="hyperlink"/>
                      <w:szCs w:val="24"/>
                      <w:lang w:eastAsia="lt-LT"/>
                      <w:u w:val="single"/>
                    </w:rPr>
                    <w:t>79/7/EEB</w:t>
                  </w:r>
                </w:fldSimple>
                <w:r>
                  <w:rPr>
                    <w:color w:val="000000"/>
                    <w:szCs w:val="24"/>
                    <w:lang w:eastAsia="lt-LT"/>
                  </w:rPr>
                  <w:t xml:space="preserve">, </w:t>
                </w:r>
                <w:fldSimple w:instr="HYPERLINK http://eur-lex.europa.eu/legal-content/LIT/TXT/?uri=CELEX:32000L0043&amp;locale=lt \t _blank">
                  <w:r>
                    <w:rPr>
                      <w:color w:val="0000FF" w:themeColor="hyperlink"/>
                      <w:szCs w:val="24"/>
                      <w:lang w:eastAsia="lt-LT"/>
                      <w:u w:val="single"/>
                    </w:rPr>
                    <w:t>2000/43/EB</w:t>
                  </w:r>
                </w:fldSimple>
                <w:r>
                  <w:rPr>
                    <w:color w:val="000000"/>
                    <w:szCs w:val="24"/>
                    <w:lang w:eastAsia="lt-LT"/>
                  </w:rPr>
                  <w:t xml:space="preserve">, </w:t>
                </w:r>
                <w:fldSimple w:instr="HYPERLINK http://eur-lex.europa.eu/legal-content/LIT/TXT/?uri=CELEX:32000L0078&amp;locale=lt \t _blank">
                  <w:r>
                    <w:rPr>
                      <w:color w:val="0000FF" w:themeColor="hyperlink"/>
                      <w:szCs w:val="24"/>
                      <w:lang w:eastAsia="lt-LT"/>
                      <w:u w:val="single"/>
                    </w:rPr>
                    <w:t>2000/78/EB</w:t>
                  </w:r>
                </w:fldSimple>
                <w:r>
                  <w:rPr>
                    <w:color w:val="000000"/>
                    <w:szCs w:val="24"/>
                    <w:lang w:eastAsia="lt-LT"/>
                  </w:rPr>
                  <w:t xml:space="preserve"> ir </w:t>
                </w:r>
                <w:fldSimple w:instr="HYPERLINK http://eur-lex.europa.eu/legal-content/LIT/TXT/?uri=CELEX:32004L0113&amp;locale=lt \t _blank">
                  <w:r>
                    <w:rPr>
                      <w:color w:val="0000FF" w:themeColor="hyperlink"/>
                      <w:szCs w:val="24"/>
                      <w:lang w:eastAsia="lt-LT"/>
                      <w:u w:val="single"/>
                    </w:rPr>
                    <w:t>2004/113/EB</w:t>
                  </w:r>
                </w:fldSimple>
                <w:r>
                  <w:rPr>
                    <w:color w:val="000000"/>
                    <w:szCs w:val="24"/>
                    <w:lang w:eastAsia="lt-LT"/>
                  </w:rPr>
                  <w:t xml:space="preserve"> nustatyto vienodo požiūrio principo įgyvendinimu, kaip nustatyta šio straipsnio 2–4 dalyse, pagal nacionalinę teisę ir praktiką dėl ieškinių priimtinumo, įskaitant taisykles dėl reikalavimo gauti aukos pritarimą</w:t>
                </w:r>
              </w:p>
            </w:tc>
            <w:tc>
              <w:tcPr>
                <w:tcW w:w="5830" w:type="dxa"/>
              </w:tcPr>
              <w:p>
                <w:pPr>
                  <w:jc w:val="both"/>
                  <w:rPr>
                    <w:b/>
                    <w:bCs/>
                    <w:lang w:eastAsia="lt-LT"/>
                  </w:rPr>
                </w:pPr>
                <w:r>
                  <w:rPr>
                    <w:b/>
                    <w:bCs/>
                    <w:lang w:eastAsia="lt-LT"/>
                  </w:rPr>
                  <w:t>Projektas</w:t>
                </w:r>
              </w:p>
              <w:p>
                <w:pPr>
                  <w:jc w:val="both"/>
                  <w:rPr>
                    <w:b/>
                    <w:bCs/>
                    <w:lang w:eastAsia="lt-LT"/>
                  </w:rPr>
                </w:pPr>
                <w:r>
                  <w:rPr>
                    <w:b/>
                    <w:bCs/>
                    <w:lang w:eastAsia="lt-LT"/>
                  </w:rPr>
                  <w:t xml:space="preserve">13 straipsnis. Lygių galimybių kontrolierius </w:t>
                </w:r>
              </w:p>
              <w:p>
                <w:pPr>
                  <w:jc w:val="both"/>
                  <w:rPr>
                    <w:b/>
                    <w:bCs/>
                    <w:lang w:eastAsia="lt-LT"/>
                  </w:rPr>
                </w:pPr>
                <w:r>
                  <w:rPr>
                    <w:b/>
                    <w:bCs/>
                    <w:lang w:eastAsia="lt-LT"/>
                  </w:rPr>
                  <w:t>&lt;...&gt;</w:t>
                </w:r>
              </w:p>
              <w:p>
                <w:pPr>
                  <w:jc w:val="both"/>
                  <w:rPr>
                    <w:b/>
                    <w:bCs/>
                    <w:lang w:eastAsia="lt-LT"/>
                  </w:rPr>
                </w:pPr>
                <w:r>
                  <w:rPr>
                    <w:b/>
                    <w:bCs/>
                    <w:lang w:eastAsia="lt-LT"/>
                  </w:rPr>
                  <w:t>4. Lygių galimybių kontrolierius:</w:t>
                </w:r>
              </w:p>
              <w:p>
                <w:pPr>
                  <w:jc w:val="both"/>
                  <w:rPr>
                    <w:b/>
                    <w:bCs/>
                    <w:lang w:eastAsia="lt-LT"/>
                  </w:rPr>
                </w:pPr>
                <w:r>
                  <w:rPr>
                    <w:b/>
                    <w:bCs/>
                    <w:lang w:eastAsia="lt-LT"/>
                  </w:rPr>
                  <w:t>&lt;...&gt;</w:t>
                </w:r>
              </w:p>
              <w:p>
                <w:pPr>
                  <w:jc w:val="both"/>
                  <w:rPr>
                    <w:b/>
                    <w:bCs/>
                    <w:lang w:eastAsia="lt-LT"/>
                  </w:rPr>
                </w:pPr>
                <w:r>
                  <w:rPr>
                    <w:b/>
                    <w:bCs/>
                    <w:lang w:eastAsia="lt-LT"/>
                  </w:rPr>
                  <w:t xml:space="preserve">6) gina viešąjį interesą lygių galimybių srityje teisme Lietuvos Respublikos civilinio proceso kodekso arba Lietuvos Respublikos administracinių bylų teisenos įstatymo nustatyta tvarka; </w:t>
                </w:r>
              </w:p>
              <w:p>
                <w:pPr>
                  <w:jc w:val="both"/>
                  <w:rPr>
                    <w:b/>
                    <w:bCs/>
                    <w:lang w:eastAsia="lt-LT"/>
                  </w:rPr>
                </w:pPr>
                <w:r>
                  <w:rPr>
                    <w:b/>
                    <w:bCs/>
                    <w:lang w:eastAsia="lt-LT"/>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lang w:eastAsia="lt-LT"/>
                  </w:rPr>
                </w:pPr>
                <w:r>
                  <w:rPr>
                    <w:b/>
                    <w:bCs/>
                    <w:lang w:eastAsia="lt-LT"/>
                  </w:rPr>
                  <w:t>&lt;...&gt;</w:t>
                </w:r>
              </w:p>
              <w:p>
                <w:pPr>
                  <w:jc w:val="both"/>
                  <w:rPr>
                    <w:b/>
                    <w:bCs/>
                    <w:szCs w:val="24"/>
                    <w:lang w:eastAsia="lt-LT"/>
                  </w:rPr>
                </w:pP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2.   Lygybės įstaigos teisė veikti teismo procese apima teisę pateikti pastabas teismui, laikantis nacionalinės teisės ir praktikos.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p>
              <w:p>
                <w:pPr>
                  <w:jc w:val="both"/>
                  <w:rPr>
                    <w:b/>
                    <w:bCs/>
                    <w:szCs w:val="24"/>
                  </w:rPr>
                </w:pPr>
              </w:p>
            </w:tc>
            <w:tc>
              <w:tcPr>
                <w:tcW w:w="1792" w:type="dxa"/>
              </w:tcPr>
              <w:p>
                <w:pPr>
                  <w:jc w:val="both"/>
                  <w:rPr>
                    <w:b/>
                    <w:szCs w:val="24"/>
                  </w:rPr>
                </w:pPr>
                <w:r>
                  <w:rPr>
                    <w:b/>
                    <w:szCs w:val="24"/>
                  </w:rPr>
                  <w:t>Visiškas</w:t>
                </w:r>
              </w:p>
            </w:tc>
          </w:tr>
          <w:tr>
            <w:tc>
              <w:tcPr>
                <w:tcW w:w="6371" w:type="dxa"/>
              </w:tcPr>
              <w:p>
                <w:pPr>
                  <w:shd w:val="clear" w:color="auto" w:fill="FFFFFF"/>
                  <w:jc w:val="both"/>
                  <w:rPr>
                    <w:color w:val="000000"/>
                    <w:szCs w:val="24"/>
                    <w:lang w:eastAsia="lt-LT"/>
                  </w:rPr>
                </w:pPr>
                <w:r>
                  <w:rPr>
                    <w:color w:val="000000"/>
                    <w:szCs w:val="24"/>
                    <w:lang w:eastAsia="lt-LT"/>
                  </w:rPr>
                  <w:t>3.   Lygybės įstaigos teisė veikti teismo procese taip pat apima bent vieną iš šių elementų:</w:t>
                </w:r>
              </w:p>
              <w:tbl>
                <w:tblPr>
                  <w:tblW w:w="5000" w:type="pct"/>
                  <w:tblCellMar>
                    <w:left w:w="0" w:type="dxa"/>
                    <w:right w:w="0" w:type="dxa"/>
                  </w:tblCellMar>
                  <w:tblLook w:val="04A0" w:firstRow="1" w:lastRow="0" w:firstColumn="1" w:lastColumn="0" w:noHBand="0" w:noVBand="1"/>
                </w:tblPr>
                <w:tblGrid>
                  <w:gridCol w:w="276"/>
                  <w:gridCol w:w="5879"/>
                </w:tblGrid>
                <w:tr>
                  <w:tc>
                    <w:tcPr>
                      <w:tcW w:w="343" w:type="dxa"/>
                      <w:hideMark/>
                    </w:tcPr>
                    <w:p>
                      <w:pPr>
                        <w:jc w:val="both"/>
                        <w:rPr>
                          <w:kern w:val="2"/>
                          <w:szCs w:val="24"/>
                          <w:lang w:eastAsia="lt-LT"/>
                        </w:rPr>
                      </w:pPr>
                      <w:r>
                        <w:rPr>
                          <w:kern w:val="2"/>
                          <w:szCs w:val="24"/>
                          <w:lang w:eastAsia="lt-LT"/>
                        </w:rPr>
                        <w:t>a)</w:t>
                      </w:r>
                    </w:p>
                  </w:tc>
                  <w:tc>
                    <w:tcPr>
                      <w:tcW w:w="9629" w:type="dxa"/>
                      <w:hideMark/>
                    </w:tcPr>
                    <w:p>
                      <w:pPr>
                        <w:jc w:val="both"/>
                        <w:rPr>
                          <w:kern w:val="2"/>
                          <w:szCs w:val="24"/>
                          <w:lang w:eastAsia="lt-LT"/>
                        </w:rPr>
                      </w:pPr>
                      <w:r>
                        <w:rPr>
                          <w:kern w:val="2"/>
                          <w:szCs w:val="24"/>
                          <w:lang w:eastAsia="lt-LT"/>
                        </w:rPr>
                        <w:t>teisę inicijuoti teismo procesą vienos ar kelių aukų vardu,</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71"/>
                  <w:gridCol w:w="5884"/>
                </w:tblGrid>
                <w:tr>
                  <w:tc>
                    <w:tcPr>
                      <w:tcW w:w="325" w:type="dxa"/>
                      <w:hideMark/>
                    </w:tcPr>
                    <w:p>
                      <w:pPr>
                        <w:jc w:val="both"/>
                        <w:rPr>
                          <w:kern w:val="2"/>
                          <w:szCs w:val="24"/>
                          <w:lang w:eastAsia="lt-LT"/>
                        </w:rPr>
                      </w:pPr>
                      <w:r>
                        <w:rPr>
                          <w:kern w:val="2"/>
                          <w:szCs w:val="24"/>
                          <w:lang w:eastAsia="lt-LT"/>
                        </w:rPr>
                        <w:t>b)</w:t>
                      </w:r>
                    </w:p>
                  </w:tc>
                  <w:tc>
                    <w:tcPr>
                      <w:tcW w:w="9647" w:type="dxa"/>
                      <w:hideMark/>
                    </w:tcPr>
                    <w:p>
                      <w:pPr>
                        <w:jc w:val="both"/>
                        <w:rPr>
                          <w:kern w:val="2"/>
                          <w:szCs w:val="24"/>
                          <w:lang w:eastAsia="lt-LT"/>
                        </w:rPr>
                      </w:pPr>
                      <w:r>
                        <w:rPr>
                          <w:kern w:val="2"/>
                          <w:szCs w:val="24"/>
                          <w:lang w:eastAsia="lt-LT"/>
                        </w:rPr>
                        <w:t>teisę dalyvauti teismo procese remiant vieną ar kelias aukas arba</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25"/>
                  <w:gridCol w:w="5930"/>
                </w:tblGrid>
                <w:tr>
                  <w:tc>
                    <w:tcPr>
                      <w:tcW w:w="253" w:type="dxa"/>
                      <w:hideMark/>
                    </w:tcPr>
                    <w:p>
                      <w:pPr>
                        <w:jc w:val="both"/>
                        <w:rPr>
                          <w:kern w:val="2"/>
                          <w:szCs w:val="24"/>
                          <w:lang w:eastAsia="lt-LT"/>
                        </w:rPr>
                      </w:pPr>
                      <w:r>
                        <w:rPr>
                          <w:kern w:val="2"/>
                          <w:szCs w:val="24"/>
                          <w:lang w:eastAsia="lt-LT"/>
                        </w:rPr>
                        <w:t>c)</w:t>
                      </w:r>
                    </w:p>
                  </w:tc>
                  <w:tc>
                    <w:tcPr>
                      <w:tcW w:w="9719" w:type="dxa"/>
                      <w:hideMark/>
                    </w:tcPr>
                    <w:p>
                      <w:pPr>
                        <w:jc w:val="both"/>
                        <w:rPr>
                          <w:kern w:val="2"/>
                          <w:szCs w:val="24"/>
                          <w:lang w:eastAsia="lt-LT"/>
                        </w:rPr>
                      </w:pPr>
                      <w:r>
                        <w:rPr>
                          <w:kern w:val="2"/>
                          <w:szCs w:val="24"/>
                          <w:lang w:eastAsia="lt-LT"/>
                        </w:rPr>
                        <w:t>teisę, siekiant apginti viešąjį interesą, savo vardu inicijuoti teismo procesą.</w:t>
                      </w:r>
                    </w:p>
                  </w:tc>
                </w:tr>
              </w:tbl>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r>
                  <w:rPr>
                    <w:b/>
                    <w:bCs/>
                  </w:rPr>
                  <w:t xml:space="preserve">10) gali atlikti taikinimo procedūrą; </w:t>
                </w:r>
              </w:p>
              <w:p>
                <w:pPr>
                  <w:jc w:val="both"/>
                  <w:rPr>
                    <w:b/>
                    <w:bCs/>
                  </w:rPr>
                </w:pPr>
                <w:r>
                  <w:rPr>
                    <w:b/>
                    <w:bCs/>
                  </w:rPr>
                  <w:t>&lt;...&gt;</w:t>
                </w:r>
              </w:p>
              <w:p>
                <w:pPr>
                  <w:jc w:val="both"/>
                  <w:rPr>
                    <w:b/>
                    <w:bCs/>
                  </w:rPr>
                </w:pPr>
              </w:p>
              <w:p>
                <w:pPr>
                  <w:jc w:val="both"/>
                  <w:rPr>
                    <w:b/>
                    <w:bCs/>
                  </w:rPr>
                </w:pPr>
                <w:r>
                  <w:rPr>
                    <w:b/>
                    <w:bCs/>
                  </w:rPr>
                  <w:t>31 straipsnis. Taikinimo procedūra</w:t>
                </w:r>
              </w:p>
              <w:p>
                <w:pPr>
                  <w:jc w:val="both"/>
                  <w:rPr>
                    <w:b/>
                    <w:bCs/>
                  </w:rPr>
                </w:pPr>
                <w:r>
                  <w:rPr>
                    <w:b/>
                    <w:bCs/>
                  </w:rPr>
                  <w:t>1. Lygių galimybių kontrolierius, pareiškėjas ar skundžiamas asmuo turi teisę inicijuoti taikinimo procedūrą Lygių galimybių kontrolieriaus tarnyboje. Taikinimo procedūra pareiškėjo ir skundžiamo asmens sutikimu gali būti inicijuojama ir atliekama iki lygių galimybių kontrolieriaus sprendimo, kuriuo baigiamas tyrimas dėl lygių galimybių pažeidimo, priėmimo dienos. Inicijavus taikinimo procedūrą ir ją atliekant, lygių galimybių pažeidimo tyrimo terminas sustabdomas iki taikinimo procedūros pabaigos dienos.</w:t>
                </w:r>
              </w:p>
              <w:p>
                <w:pPr>
                  <w:jc w:val="both"/>
                  <w:rPr>
                    <w:b/>
                    <w:bCs/>
                  </w:rPr>
                </w:pPr>
                <w:r>
                  <w:rPr>
                    <w:b/>
                    <w:bCs/>
                  </w:rPr>
                  <w:t>2. Taikinimo procedūra yra nemokama. Ji atliekama lygių galimybių kontrolieriaus nustatyta tvarka.</w:t>
                </w:r>
              </w:p>
              <w:p>
                <w:pPr>
                  <w:jc w:val="both"/>
                  <w:rPr>
                    <w:b/>
                    <w:bCs/>
                  </w:rPr>
                </w:pPr>
                <w:r>
                  <w:rPr>
                    <w:b/>
                    <w:bCs/>
                  </w:rPr>
                  <w:t>3. Taikinimo procedūroje dalyvauja pareiškėjas, skundžiamas asmuo ir Lygių galimybių kontrolieriaus tarnybos atstovas, taip pat gali būti kviečiami kiti suinteresuoti asmenys. Pareiškėjui ir skundžiamam asmeniui taikinimo procedūroje gali atstovauti jų atstovai, pateikę dokumentą, patvirtinantį teisinį atstovavimo pagrindą, ar jo kopiją (nuorašą).</w:t>
                </w:r>
              </w:p>
              <w:p>
                <w:pPr>
                  <w:jc w:val="both"/>
                  <w:rPr>
                    <w:b/>
                    <w:bCs/>
                  </w:rPr>
                </w:pPr>
                <w:r>
                  <w:rPr>
                    <w:b/>
                    <w:bCs/>
                  </w:rPr>
                  <w:t>4. Jeigu, atlikus taikinimo procedūrą, pasiekiamas pareiškėjui ir skundžiamam asmeniui priimtinas susitarimas, lygių galimybių kontrolieriaus nustatyta tvarka sudaroma taikos sutartis. Sudarius taikos sutartį, lygių galimybių kontrolierius priima sprendimą lygių galimybių pažeidimo tyrimą nutraukti.</w:t>
                </w:r>
              </w:p>
              <w:p>
                <w:pPr>
                  <w:jc w:val="both"/>
                  <w:rPr>
                    <w:b/>
                    <w:bCs/>
                  </w:rPr>
                </w:pPr>
                <w:r>
                  <w:rPr>
                    <w:b/>
                    <w:bCs/>
                  </w:rPr>
                  <w:t>5. Jeigu, atlikus taikinimo procedūrą, pareiškėjui ir skundžiamam asmeniui priimtinas susitarimas nepasiekiamas, lygių galimybių kontrolierius tęsia tyrimą ir priima vieną arba kelis iš šio įstatymo 29 straipsnio 1 dalyje nurodytų sprendimų.</w:t>
                </w:r>
              </w:p>
              <w:p>
                <w:pPr>
                  <w:jc w:val="both"/>
                  <w:rPr>
                    <w:b/>
                    <w:bCs/>
                    <w:szCs w:val="24"/>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&lt;...&gt;</w:t>
                </w:r>
              </w:p>
              <w:p>
                <w:pPr>
                  <w:jc w:val="both"/>
                  <w:rPr>
                    <w:b/>
                    <w:bCs/>
                  </w:rPr>
                </w:pPr>
                <w:r>
                  <w:rPr>
                    <w:b/>
                    <w:bCs/>
                  </w:rPr>
                  <w:t xml:space="preserve">10) kreiptis į teismą dėl viešojo intereso gynimo.  </w:t>
                </w:r>
              </w:p>
              <w:p>
                <w:pPr>
                  <w:jc w:val="both"/>
                  <w:rPr>
                    <w:b/>
                    <w:bCs/>
                  </w:rPr>
                </w:pPr>
                <w:r>
                  <w:rPr>
                    <w:b/>
                    <w:bCs/>
                  </w:rPr>
                  <w:t>&lt;...&gt;</w:t>
                </w:r>
              </w:p>
              <w:p>
                <w:pPr>
                  <w:jc w:val="both"/>
                  <w:rPr>
                    <w:b/>
                    <w:bCs/>
                    <w:szCs w:val="24"/>
                  </w:rPr>
                </w:pP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4.   Lygybės įstaigos teisė veikti teismo procese apima teisę būti šalimi procese dėl privalomų sprendimų vykdymo užtikrinimo ar jų teisminės peržiūros, kai lygybės įstaigos yra įgaliotos priimti tokius sprendimus pagal 9 straipsnio 1 dalį.</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&lt;...&gt;</w:t>
                </w:r>
              </w:p>
              <w:p>
                <w:pPr>
                  <w:jc w:val="both"/>
                  <w:rPr>
                    <w:b/>
                    <w:bCs/>
                  </w:rPr>
                </w:pPr>
                <w:r>
                  <w:rPr>
                    <w:b/>
                    <w:bCs/>
                  </w:rPr>
                  <w:t>4) pradėti administracinių nusižengimų teiseną;</w:t>
                </w:r>
              </w:p>
              <w:p>
                <w:pPr>
                  <w:jc w:val="both"/>
                  <w:rPr>
                    <w:b/>
                    <w:bCs/>
                  </w:rPr>
                </w:pPr>
                <w:r>
                  <w:rPr>
                    <w:b/>
                    <w:bCs/>
                  </w:rPr>
                  <w:t>&lt;...&gt;</w:t>
                </w: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&lt;...&gt;</w:t>
                </w:r>
              </w:p>
              <w:p>
                <w:pPr>
                  <w:jc w:val="both"/>
                  <w:rPr>
                    <w:b/>
                    <w:bCs/>
                  </w:rPr>
                </w:pPr>
                <w:r>
                  <w:rPr>
                    <w:b/>
                    <w:bCs/>
                  </w:rPr>
                  <w:t>4. Asmenys, nevykdantys lygių galimybių kontrolieriaus reikalavimų ir (ar) sprendimų, atsako Lietuvos Respublikos administracinių nusižengimų kodekso nustatyta tvarka.</w:t>
                </w:r>
              </w:p>
            </w:tc>
            <w:tc>
              <w:tcPr>
                <w:tcW w:w="1792" w:type="dxa"/>
              </w:tcPr>
              <w:p>
                <w:pPr>
                  <w:jc w:val="both"/>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11 straipsnis</w:t>
                </w:r>
              </w:p>
              <w:p>
                <w:pPr>
                  <w:shd w:val="clear" w:color="auto" w:fill="FFFFFF"/>
                  <w:jc w:val="both"/>
                  <w:rPr>
                    <w:b/>
                    <w:bCs/>
                    <w:color w:val="000000"/>
                    <w:lang w:eastAsia="lt-LT"/>
                  </w:rPr>
                </w:pPr>
                <w:r>
                  <w:rPr>
                    <w:b/>
                    <w:bCs/>
                    <w:color w:val="000000"/>
                    <w:lang w:eastAsia="lt-LT"/>
                  </w:rPr>
                  <w:t>Procedūrinės apsaugos priemonės</w:t>
                </w:r>
              </w:p>
              <w:p>
                <w:pPr>
                  <w:shd w:val="clear" w:color="auto" w:fill="FFFFFF"/>
                  <w:jc w:val="both"/>
                  <w:rPr>
                    <w:color w:val="000000"/>
                    <w:lang w:eastAsia="lt-LT"/>
                  </w:rPr>
                </w:pPr>
                <w:r>
                  <w:rPr>
                    <w:color w:val="000000"/>
                    <w:lang w:eastAsia="lt-LT"/>
                  </w:rPr>
                  <w:t>Valstybės narės užtikrina, kad vykdant 6–10 straipsniuose nurodytas procedūras būtų saugomos susijusių fizinių ir juridinių asmenų teisės į gynybą. 9 straipsnyje nurodytiems privalomiems sprendimams taikoma teisminė peržiūra pagal nacionalinę teisę.</w:t>
                </w:r>
              </w:p>
              <w:p>
                <w:pPr>
                  <w:jc w:val="both"/>
                  <w:rPr>
                    <w:szCs w:val="24"/>
                  </w:rPr>
                </w:pPr>
              </w:p>
            </w:tc>
            <w:tc>
              <w:tcPr>
                <w:tcW w:w="5830" w:type="dxa"/>
              </w:tcPr>
              <w:p>
                <w:pPr>
                  <w:jc w:val="both"/>
                  <w:rPr>
                    <w:b/>
                    <w:bCs/>
                  </w:rPr>
                </w:pPr>
                <w:r>
                  <w:rPr>
                    <w:b/>
                    <w:bCs/>
                  </w:rPr>
                  <w:t>Projektas</w:t>
                </w: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rPr>
                </w:pPr>
              </w:p>
              <w:p>
                <w:pPr>
                  <w:jc w:val="both"/>
                  <w:rPr>
                    <w:b/>
                    <w:bCs/>
                  </w:rPr>
                </w:pP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&lt;...&gt;</w:t>
                </w:r>
              </w:p>
              <w:p>
                <w:pPr>
                  <w:jc w:val="both"/>
                  <w:rPr>
                    <w:b/>
                    <w:bCs/>
                  </w:rPr>
                </w:pPr>
                <w:r>
                  <w:rPr>
                    <w:b/>
                    <w:bCs/>
                  </w:rPr>
                  <w:t>4. Asmenys, nevykdantys lygių galimybių kontrolieriaus reikalavimų ir (ar) sprendimų, atsako Lietuvos Respublikos administracinių nusižengimų kodekso nustatyta tvarka.</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12 straipsnis</w:t>
                </w:r>
              </w:p>
              <w:p>
                <w:pPr>
                  <w:shd w:val="clear" w:color="auto" w:fill="FFFFFF"/>
                  <w:jc w:val="both"/>
                  <w:rPr>
                    <w:b/>
                    <w:bCs/>
                    <w:color w:val="000000"/>
                    <w:lang w:eastAsia="lt-LT"/>
                  </w:rPr>
                </w:pPr>
                <w:r>
                  <w:rPr>
                    <w:b/>
                    <w:bCs/>
                    <w:color w:val="000000"/>
                    <w:lang w:eastAsia="lt-LT"/>
                  </w:rPr>
                  <w:t>Vienoda prieiga</w:t>
                </w:r>
              </w:p>
              <w:p>
                <w:pPr>
                  <w:shd w:val="clear" w:color="auto" w:fill="FFFFFF"/>
                  <w:jc w:val="both"/>
                  <w:rPr>
                    <w:color w:val="000000"/>
                    <w:lang w:eastAsia="lt-LT"/>
                  </w:rPr>
                </w:pPr>
                <w:r>
                  <w:rPr>
                    <w:color w:val="000000"/>
                    <w:lang w:eastAsia="lt-LT"/>
                  </w:rPr>
                  <w:t>1.   Valstybės narės užtikrina, kad lygybės įstaigų paslaugomis ir leidiniais galėtų vienodomis sąlygomis naudotis visi.</w:t>
                </w:r>
              </w:p>
              <w:p>
                <w:pPr>
                  <w:jc w:val="both"/>
                  <w:rPr>
                    <w:szCs w:val="24"/>
                  </w:rPr>
                </w:pP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žmonių teisė į lygybę ir vienodas požiūris į juos be diskriminacijos visoje Lietuvos Respublikos teritorijoje.</w:t>
                </w:r>
              </w:p>
              <w:p>
                <w:pPr>
                  <w:jc w:val="both"/>
                  <w:rPr>
                    <w:b/>
                    <w:bCs/>
                  </w:rPr>
                </w:pPr>
                <w:r>
                  <w:rPr>
                    <w:b/>
                    <w:bCs/>
                  </w:rPr>
                  <w:t>&lt;...&gt;</w:t>
                </w:r>
              </w:p>
              <w:p>
                <w:pPr>
                  <w:jc w:val="both"/>
                </w:pPr>
              </w:p>
              <w:p>
                <w:pPr>
                  <w:jc w:val="both"/>
                  <w:rPr>
                    <w:b/>
                    <w:bCs/>
                  </w:rPr>
                </w:pPr>
                <w:r>
                  <w:rPr>
                    <w:b/>
                    <w:bCs/>
                  </w:rPr>
                  <w:t>Lietuvos Respublikos asmens su negalia teisių apsaugos pagrindų įstatymas Nr. I-2044</w:t>
                </w:r>
              </w:p>
              <w:p>
                <w:pPr>
                  <w:jc w:val="both"/>
                </w:pPr>
              </w:p>
              <w:p>
                <w:pPr>
                  <w:jc w:val="both"/>
                  <w:rPr>
                    <w:b/>
                    <w:bCs/>
                  </w:rPr>
                </w:pPr>
                <w:r>
                  <w:rPr>
                    <w:b/>
                    <w:bCs/>
                  </w:rPr>
                  <w:t>4 straipsnis. Asmens su negalia teisė į saviraiškos laisvę bei teisė gauti informaciją ir šių teisių įgyvendinimas</w:t>
                </w:r>
              </w:p>
              <w:p>
                <w:pPr>
                  <w:jc w:val="both"/>
                </w:pPr>
                <w:r>
                  <w:t>1. Asmuo su negalia turi teisę į saviraiškos laisvę, įskaitant laisvę reikšti savo nuomonę, ir teisę ieškoti, gauti ir (ar) skleisti informaciją ir (ar) idėjas jo pasirinktu (-ais) prieinamu (-ais) bendravimo būdu (-ais), taip pat lietuvių gestų kalba.</w:t>
                </w:r>
              </w:p>
              <w:p>
                <w:pPr>
                  <w:jc w:val="both"/>
                </w:pPr>
                <w:r>
                  <w:t>2. Valstybės ir savivaldybių institucijos ir įstaigos, užtikrindamos šio straipsnio 1 dalyje nurodytas asmens su negalia teises, pagal kompetenciją:</w:t>
                </w:r>
              </w:p>
              <w:p>
                <w:pPr>
                  <w:jc w:val="both"/>
                </w:pPr>
                <w:r>
                  <w:t>1) pripažįsta asmens su negalia pasirinktą (-us) prieinamą (-us) bendravimo būdą (-us), bendravimą lietuvių gestų kalba ir sudaro sąlygas asmeniui su negalia jį (juos) naudoti viešųjų santykių srityje;</w:t>
                </w:r>
              </w:p>
              <w:p>
                <w:pPr>
                  <w:jc w:val="both"/>
                </w:pPr>
                <w:r>
                  <w:t>2) teikia asmeniui su negalia viešąją informaciją nemokamai bent vienu jo pasirinktu prieinamu bendravimo būdu ar lietuvių gestų kalba lygiai su kitais asmenimis;</w:t>
                </w:r>
              </w:p>
              <w:p>
                <w:pPr>
                  <w:jc w:val="both"/>
                </w:pPr>
                <w:r>
                  <w:t>3) skatina informacinės visuomenės informavimo priemonių valdytojus sudaryti sąlygas asmeniui su negalia gauti informaciją per informacinės visuomenės informavimo priemones (įskaitant interneto svetaines) jo pasirinktu prieinamu bendravimo būdu;</w:t>
                </w:r>
              </w:p>
              <w:p>
                <w:pPr>
                  <w:jc w:val="both"/>
                </w:pPr>
                <w:r>
                  <w:t>4)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w:t>
                </w:r>
              </w:p>
              <w:p>
                <w:pPr>
                  <w:jc w:val="both"/>
                  <w:rPr>
                    <w:szCs w:val="24"/>
                  </w:rPr>
                </w:pPr>
                <w:r>
                  <w:t>3. Informacijos teikimo asmeniui su negalia jo pasirinktu (-ais) prieinamu (-ais) bendravimo būdu (-ais) rekomendacijas tvirtina socialinės apsaugos ir darbo ministras.</w:t>
                </w:r>
              </w:p>
            </w:tc>
            <w:tc>
              <w:tcPr>
                <w:tcW w:w="1792" w:type="dxa"/>
              </w:tcPr>
              <w:p>
                <w:pPr>
                  <w:jc w:val="both"/>
                  <w:rPr>
                    <w:b/>
                    <w:bCs/>
                    <w:color w:val="000000"/>
                    <w:szCs w:val="24"/>
                    <w:lang w:eastAsia="lt-LT"/>
                  </w:rPr>
                </w:pPr>
                <w:r>
                  <w:rPr>
                    <w:b/>
                    <w:bCs/>
                    <w:color w:val="000000"/>
                    <w:szCs w:val="24"/>
                    <w:lang w:eastAsia="lt-LT"/>
                  </w:rPr>
                  <w:t>Visiškas</w:t>
                </w:r>
              </w:p>
            </w:tc>
          </w:tr>
          <w:tr>
            <w:tc>
              <w:tcPr>
                <w:tcW w:w="6371" w:type="dxa"/>
              </w:tcPr>
              <w:p>
                <w:pPr>
                  <w:shd w:val="clear" w:color="auto" w:fill="FFFFFF"/>
                  <w:jc w:val="both"/>
                  <w:rPr>
                    <w:color w:val="000000"/>
                    <w:lang w:eastAsia="lt-LT"/>
                  </w:rPr>
                </w:pPr>
                <w:r>
                  <w:rPr>
                    <w:color w:val="000000"/>
                    <w:lang w:eastAsia="lt-LT"/>
                  </w:rPr>
                  <w:t>2.   Lygybės įstaigos užtikrina, kad nebūtų kliūčių teikti skundus, pvz., kad jos galėtų priimti skundus žodžiu, raštu ir internetu.</w:t>
                </w:r>
              </w:p>
              <w:p>
                <w:pPr>
                  <w:jc w:val="both"/>
                  <w:rPr>
                    <w:szCs w:val="24"/>
                  </w:rPr>
                </w:pPr>
              </w:p>
            </w:tc>
            <w:tc>
              <w:tcPr>
                <w:tcW w:w="5830" w:type="dxa"/>
              </w:tcPr>
              <w:p>
                <w:pPr>
                  <w:jc w:val="both"/>
                  <w:rPr>
                    <w:b/>
                    <w:bCs/>
                  </w:rPr>
                </w:pPr>
                <w:r>
                  <w:rPr>
                    <w:b/>
                    <w:bCs/>
                  </w:rPr>
                  <w:t>Projektas</w:t>
                </w:r>
              </w:p>
              <w:p>
                <w:pPr>
                  <w:jc w:val="both"/>
                  <w:rPr>
                    <w:b/>
                    <w:bCs/>
                  </w:rPr>
                </w:pPr>
                <w:r>
                  <w:rPr>
                    <w:b/>
                    <w:bCs/>
                  </w:rPr>
                  <w:t xml:space="preserve">24 straipsnis. Skundo pateikimas </w:t>
                </w:r>
              </w:p>
              <w:p>
                <w:pPr>
                  <w:jc w:val="both"/>
                  <w:rPr>
                    <w:b/>
                    <w:bCs/>
                  </w:rPr>
                </w:pPr>
                <w:r>
                  <w:rPr>
                    <w:b/>
                    <w:bCs/>
                  </w:rPr>
                  <w:t>&lt;...&gt;</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szCs w:val="24"/>
                  </w:rPr>
                </w:pPr>
                <w:r>
                  <w:rPr>
                    <w:b/>
                    <w:bCs/>
                    <w:szCs w:val="24"/>
                  </w:rPr>
                  <w:t>&lt;...&gt;</w:t>
                </w: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3.   Valstybės narės užtikrina, kad lygybės įstaigos savo paslaugas skundą pateikusiems asmenims teiktų nemokamai visoje savo teritorijoje, be kita ko, kaimo ir atokiose vietovėse.</w:t>
                </w:r>
              </w:p>
              <w:p>
                <w:pPr>
                  <w:jc w:val="both"/>
                  <w:rPr>
                    <w:szCs w:val="24"/>
                  </w:rPr>
                </w:pPr>
              </w:p>
            </w:tc>
            <w:tc>
              <w:tcPr>
                <w:tcW w:w="5830" w:type="dxa"/>
              </w:tcPr>
              <w:p>
                <w:pPr>
                  <w:tabs>
                    <w:tab w:val="left" w:pos="709"/>
                  </w:tabs>
                  <w:jc w:val="both"/>
                  <w:rPr>
                    <w:b/>
                    <w:bCs/>
                  </w:rPr>
                </w:pPr>
                <w:r>
                  <w:rPr>
                    <w:b/>
                    <w:bCs/>
                  </w:rPr>
                  <w:t>Projektas</w:t>
                </w:r>
              </w:p>
              <w:p>
                <w:pPr>
                  <w:tabs>
                    <w:tab w:val="left" w:pos="709"/>
                  </w:tabs>
                  <w:jc w:val="both"/>
                  <w:rPr>
                    <w:b/>
                    <w:bCs/>
                  </w:rPr>
                </w:pPr>
                <w:r>
                  <w:rPr>
                    <w:b/>
                    <w:bCs/>
                  </w:rPr>
                  <w:t>1 straipsnis. Įstatymo paskirtis ir taikymas</w:t>
                </w:r>
              </w:p>
              <w:p>
                <w:pPr>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tabs>
                    <w:tab w:val="left" w:pos="709"/>
                  </w:tabs>
                  <w:jc w:val="both"/>
                  <w:rPr>
                    <w:b/>
                    <w:bCs/>
                  </w:rPr>
                </w:pPr>
                <w:r>
                  <w:rPr>
                    <w:b/>
                    <w:bCs/>
                  </w:rPr>
                  <w:t>20 straipsnis. Lygių galimybių kontrolieriaus tarnyba</w:t>
                </w:r>
              </w:p>
              <w:p>
                <w:pPr>
                  <w:tabs>
                    <w:tab w:val="left" w:pos="709"/>
                  </w:tabs>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31 straipsnis. Taikinimo procedūra</w:t>
                </w:r>
              </w:p>
              <w:p>
                <w:pPr>
                  <w:tabs>
                    <w:tab w:val="left" w:pos="709"/>
                  </w:tabs>
                  <w:jc w:val="both"/>
                  <w:rPr>
                    <w:b/>
                    <w:bCs/>
                  </w:rPr>
                </w:pPr>
                <w:r>
                  <w:rPr>
                    <w:b/>
                    <w:bCs/>
                  </w:rPr>
                  <w:t>&lt;...&gt;</w:t>
                </w:r>
              </w:p>
              <w:p>
                <w:pPr>
                  <w:tabs>
                    <w:tab w:val="left" w:pos="709"/>
                  </w:tabs>
                  <w:jc w:val="both"/>
                  <w:rPr>
                    <w:b/>
                    <w:bCs/>
                  </w:rPr>
                </w:pPr>
                <w:r>
                  <w:rPr>
                    <w:b/>
                    <w:bCs/>
                  </w:rPr>
                  <w:t>2. Taikinimo procedūra yra nemokama. Ji atliekama lygių galimybių kontrolieriaus nustatyta tvarka.</w:t>
                </w:r>
              </w:p>
              <w:p>
                <w:pPr>
                  <w:tabs>
                    <w:tab w:val="left" w:pos="709"/>
                  </w:tabs>
                  <w:jc w:val="both"/>
                  <w:rPr>
                    <w:b/>
                    <w:bCs/>
                  </w:rPr>
                </w:pPr>
                <w:r>
                  <w:rPr>
                    <w:b/>
                    <w:bCs/>
                  </w:rPr>
                  <w:t>&lt;...&gt;</w:t>
                </w:r>
              </w:p>
              <w:p>
                <w:pPr>
                  <w:tabs>
                    <w:tab w:val="left" w:pos="709"/>
                  </w:tabs>
                  <w:jc w:val="both"/>
                  <w:rPr>
                    <w:b/>
                    <w:bCs/>
                    <w:szCs w:val="24"/>
                  </w:rPr>
                </w:pPr>
              </w:p>
            </w:tc>
            <w:tc>
              <w:tcPr>
                <w:tcW w:w="1792" w:type="dxa"/>
              </w:tcPr>
              <w:p>
                <w:pPr>
                  <w:rPr>
                    <w:b/>
                    <w:bCs/>
                    <w:szCs w:val="24"/>
                  </w:rPr>
                </w:pPr>
                <w:r>
                  <w:rPr>
                    <w:b/>
                    <w:bCs/>
                    <w:szCs w:val="24"/>
                  </w:rPr>
                  <w:t>Visiškas</w:t>
                </w:r>
              </w:p>
            </w:tc>
          </w:tr>
          <w:tr>
            <w:trPr>
              <w:trHeight w:val="3109"/>
            </w:trPr>
            <w:tc>
              <w:tcPr>
                <w:tcW w:w="6371" w:type="dxa"/>
              </w:tcPr>
              <w:p>
                <w:pPr>
                  <w:shd w:val="clear" w:color="auto" w:fill="FFFFFF"/>
                  <w:jc w:val="both"/>
                  <w:rPr>
                    <w:b/>
                    <w:bCs/>
                    <w:color w:val="000000"/>
                    <w:lang w:eastAsia="lt-LT"/>
                  </w:rPr>
                </w:pPr>
                <w:r>
                  <w:rPr>
                    <w:b/>
                    <w:bCs/>
                    <w:color w:val="000000"/>
                    <w:lang w:eastAsia="lt-LT"/>
                  </w:rPr>
                  <w:t>13 straipsnis</w:t>
                </w:r>
              </w:p>
              <w:p>
                <w:pPr>
                  <w:shd w:val="clear" w:color="auto" w:fill="FFFFFF"/>
                  <w:jc w:val="both"/>
                  <w:rPr>
                    <w:b/>
                    <w:bCs/>
                    <w:color w:val="000000"/>
                    <w:lang w:eastAsia="lt-LT"/>
                  </w:rPr>
                </w:pPr>
                <w:r>
                  <w:rPr>
                    <w:b/>
                    <w:bCs/>
                    <w:color w:val="000000"/>
                    <w:lang w:eastAsia="lt-LT"/>
                  </w:rPr>
                  <w:t>Prieinamumas ir tinkamų sąlygų sudarymas žmonėms su negalia</w:t>
                </w:r>
              </w:p>
              <w:p>
                <w:pPr>
                  <w:shd w:val="clear" w:color="auto" w:fill="FFFFFF"/>
                  <w:jc w:val="both"/>
                  <w:rPr>
                    <w:color w:val="000000"/>
                    <w:lang w:eastAsia="lt-LT"/>
                  </w:rPr>
                </w:pPr>
                <w:r>
                  <w:rPr>
                    <w:color w:val="000000"/>
                    <w:lang w:eastAsia="lt-LT"/>
                  </w:rPr>
                  <w:t>Valstybės narės užtikrina prieinamumą ir sudaro tinkamas sąlygas žmonėms su negalia, kad jie galėtų vienodai naudotis visomis lygybės įstaigų paslaugomis ir veikla, įskaitant pagalbą aukoms, skundų nagrinėjimą, alternatyvų ginčų sprendimą, informaciją ir leidinius, taip pat prevencijos, propagavimo ir informuotumo didinimo veiklą.</w:t>
                </w:r>
              </w:p>
              <w:p>
                <w:pPr>
                  <w:jc w:val="both"/>
                  <w:rPr>
                    <w:szCs w:val="24"/>
                  </w:rPr>
                </w:pPr>
              </w:p>
            </w:tc>
            <w:tc>
              <w:tcPr>
                <w:tcW w:w="5830" w:type="dxa"/>
              </w:tcPr>
              <w:p>
                <w:pPr>
                  <w:jc w:val="both"/>
                  <w:rPr>
                    <w:b/>
                    <w:bCs/>
                  </w:rPr>
                </w:pPr>
                <w:r>
                  <w:rPr>
                    <w:b/>
                    <w:bCs/>
                  </w:rPr>
                  <w:t>Projektas</w:t>
                </w:r>
              </w:p>
              <w:p>
                <w:pPr>
                  <w:jc w:val="both"/>
                  <w:rPr>
                    <w:b/>
                    <w:bCs/>
                  </w:rPr>
                </w:pPr>
                <w:r>
                  <w:rPr>
                    <w:b/>
                    <w:bCs/>
                  </w:rPr>
                  <w:t>1 straipsnis. Įstatymo paskirtis ir taikymas</w:t>
                </w:r>
              </w:p>
              <w:p>
                <w:pPr>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p>
              <w:p>
                <w:pPr>
                  <w:jc w:val="both"/>
                  <w:rPr>
                    <w:b/>
                    <w:bCs/>
                  </w:rPr>
                </w:pPr>
                <w:r>
                  <w:rPr>
                    <w:b/>
                    <w:bCs/>
                  </w:rPr>
                  <w:t xml:space="preserve">6 straipsnis. Valstybės ir savivaldybių institucijų bei įstaigų pareiga įgyvendinti lygias galimybes </w:t>
                </w:r>
              </w:p>
              <w:p>
                <w:pPr>
                  <w:jc w:val="both"/>
                  <w:rPr>
                    <w:b/>
                    <w:bCs/>
                  </w:rPr>
                </w:pPr>
                <w:r>
                  <w:rPr>
                    <w:b/>
                    <w:bCs/>
                  </w:rPr>
                  <w:t>&lt;...&gt;</w:t>
                </w:r>
              </w:p>
              <w:p>
                <w:pPr>
                  <w:jc w:val="both"/>
                  <w:rPr>
                    <w:b/>
                    <w:bCs/>
                  </w:rPr>
                </w:pPr>
                <w:r>
                  <w:rPr>
                    <w:b/>
                    <w:bCs/>
                  </w:rPr>
                  <w:t>2. Viešojo administravimo subjektai, taip pat asmenys, teikiantys viešąsias paslaugas, privalo:</w:t>
                </w:r>
              </w:p>
              <w:p>
                <w:pPr>
                  <w:jc w:val="both"/>
                  <w:rPr>
                    <w:b/>
                    <w:bCs/>
                  </w:rPr>
                </w:pPr>
                <w:r>
                  <w:rPr>
                    <w:b/>
                    <w:bCs/>
                  </w:rPr>
                  <w:t>&lt;...&gt;</w:t>
                </w:r>
              </w:p>
              <w:p>
                <w:pPr>
                  <w:jc w:val="both"/>
                  <w:rPr>
                    <w:b/>
                    <w:bCs/>
                  </w:rPr>
                </w:pPr>
                <w:r>
                  <w:rPr>
                    <w:b/>
                    <w:bCs/>
                  </w:rPr>
                  <w:t>3) imtis priemonių, kad asmenims su negalia būtų užtikrintas tinkamas sąlygų pritaikymas, kurio konkrečiu atveju jiems reikia, siekiant gauti administracines ir (ar) viešąsias paslaugas, kai šios dalies 1 ir 2 punktuose nurodytų reikalavimų laikymosi užtikrinimo nepakanka.</w:t>
                </w:r>
              </w:p>
              <w:p>
                <w:pPr>
                  <w:jc w:val="both"/>
                  <w:rPr>
                    <w:b/>
                    <w:bCs/>
                  </w:rPr>
                </w:pPr>
                <w:r>
                  <w:rPr>
                    <w:b/>
                    <w:bCs/>
                  </w:rPr>
                  <w:t>&lt;...&gt;</w:t>
                </w:r>
              </w:p>
              <w:p>
                <w:pPr>
                  <w:jc w:val="both"/>
                  <w:rPr>
                    <w:b/>
                    <w:bCs/>
                  </w:rPr>
                </w:pPr>
              </w:p>
              <w:p>
                <w:pPr>
                  <w:jc w:val="both"/>
                  <w:rPr>
                    <w:b/>
                    <w:bCs/>
                  </w:rPr>
                </w:pPr>
                <w:r>
                  <w:rPr>
                    <w:b/>
                    <w:bCs/>
                  </w:rPr>
                  <w:t>7 straipsnis. Švietimo teikėjų bei mokslo ir studijų institucijų pareiga įgyvendinti lygias galimybes</w:t>
                </w:r>
              </w:p>
              <w:p>
                <w:pPr>
                  <w:jc w:val="both"/>
                  <w:rPr>
                    <w:b/>
                    <w:bCs/>
                  </w:rPr>
                </w:pPr>
                <w:r>
                  <w:rPr>
                    <w:b/>
                    <w:bCs/>
                  </w:rPr>
                  <w:t>&lt;...&gt;</w:t>
                </w:r>
              </w:p>
              <w:p>
                <w:pPr>
                  <w:jc w:val="both"/>
                  <w:rPr>
                    <w:b/>
                    <w:bCs/>
                  </w:rPr>
                </w:pPr>
                <w:r>
                  <w:rPr>
                    <w:b/>
                    <w:bCs/>
                  </w:rPr>
                  <w:t>2. Švietimo teikėjai bei mokslo ir studijų institucijos privalo imtis priemonių, kad asmenims su negalia būtų užtikrintas tinkamas sąlygų pritaikymas, kurio reikia konkrečiu atveju siekiant užtikrinti jų ugdymosi poreikių tenkinimą, galimybę dalyvauti švietimo procese ir įgyvendinti teisę į švietimą, vadovaujantis Švietimo įstatymo 5 straipsnyje numatytais lygių galimybių ir įtraukties principais.</w:t>
                </w:r>
              </w:p>
              <w:p>
                <w:pPr>
                  <w:jc w:val="both"/>
                  <w:rPr>
                    <w:b/>
                    <w:bCs/>
                    <w:szCs w:val="24"/>
                  </w:rPr>
                </w:pPr>
              </w:p>
              <w:p>
                <w:pPr>
                  <w:jc w:val="both"/>
                  <w:rPr>
                    <w:b/>
                    <w:bCs/>
                  </w:rPr>
                </w:pPr>
                <w:r>
                  <w:rPr>
                    <w:b/>
                    <w:bCs/>
                  </w:rPr>
                  <w:t>8 straipsnis. Darbdavio pareiga įgyvendinti lygias galimybes darbe, valstybės tarnyboje</w:t>
                </w:r>
              </w:p>
              <w:p>
                <w:pPr>
                  <w:jc w:val="both"/>
                  <w:rPr>
                    <w:b/>
                    <w:bCs/>
                  </w:rPr>
                </w:pPr>
                <w:r>
                  <w:rPr>
                    <w:b/>
                    <w:bCs/>
                  </w:rPr>
                  <w:t>Įgyvendindamas lygias galimybes, darbdavys privalo:</w:t>
                </w:r>
              </w:p>
              <w:p>
                <w:pPr>
                  <w:jc w:val="both"/>
                  <w:rPr>
                    <w:b/>
                    <w:bCs/>
                  </w:rPr>
                </w:pPr>
                <w:r>
                  <w:rPr>
                    <w:b/>
                    <w:bCs/>
                  </w:rPr>
                  <w:t>&lt;...&gt;</w:t>
                </w:r>
              </w:p>
              <w:p>
                <w:pPr>
                  <w:jc w:val="both"/>
                  <w:rPr>
                    <w:b/>
                    <w:bCs/>
                  </w:rPr>
                </w:pPr>
                <w:r>
                  <w:rPr>
                    <w:b/>
                    <w:bCs/>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jc w:val="both"/>
                  <w:rPr>
                    <w:b/>
                    <w:bCs/>
                  </w:rPr>
                </w:pPr>
                <w:r>
                  <w:rPr>
                    <w:b/>
                    <w:bCs/>
                  </w:rPr>
                  <w:t>&lt;...&gt;</w:t>
                </w:r>
              </w:p>
              <w:p>
                <w:pPr>
                  <w:jc w:val="both"/>
                  <w:rPr>
                    <w:b/>
                    <w:bCs/>
                  </w:rPr>
                </w:pPr>
              </w:p>
              <w:p>
                <w:pPr>
                  <w:jc w:val="both"/>
                  <w:rPr>
                    <w:b/>
                    <w:bCs/>
                  </w:rPr>
                </w:pPr>
                <w:r>
                  <w:rPr>
                    <w:b/>
                    <w:bCs/>
                  </w:rPr>
                  <w:t>10 straipsnis. Lygių galimybių įgyvendinimas gaminant prekes, jas parduodant ir teikiant paslaugas</w:t>
                </w:r>
              </w:p>
              <w:p>
                <w:pPr>
                  <w:jc w:val="both"/>
                  <w:rPr>
                    <w:b/>
                    <w:bCs/>
                  </w:rPr>
                </w:pPr>
                <w:r>
                  <w:rPr>
                    <w:b/>
                    <w:bCs/>
                  </w:rPr>
                  <w:t>Įgyvendindamas lygias galimybes, gamintojas, pardavėjas, paslaugų teikėjas privalo:</w:t>
                </w:r>
              </w:p>
              <w:p>
                <w:pPr>
                  <w:jc w:val="both"/>
                  <w:rPr>
                    <w:b/>
                    <w:bCs/>
                  </w:rPr>
                </w:pPr>
                <w:r>
                  <w:rPr>
                    <w:b/>
                    <w:bCs/>
                  </w:rPr>
                  <w:t>&lt;...&gt;</w:t>
                </w:r>
              </w:p>
              <w:p>
                <w:pPr>
                  <w:jc w:val="both"/>
                  <w:rPr>
                    <w:b/>
                    <w:bCs/>
                  </w:rPr>
                </w:pPr>
                <w:r>
                  <w:rPr>
                    <w:b/>
                    <w:bCs/>
                  </w:rPr>
                  <w:t>4) užtikrinti Asmens su negalia teisių apsaugos pagrindų įstatymo 5 straipsnio 1 dalyje įtvirtintos nuostatos laikymąsi;</w:t>
                </w:r>
              </w:p>
              <w:p>
                <w:pPr>
                  <w:jc w:val="both"/>
                  <w:rPr>
                    <w:b/>
                    <w:bCs/>
                  </w:rPr>
                </w:pPr>
                <w:r>
                  <w:rPr>
                    <w:b/>
                    <w:bCs/>
                  </w:rPr>
                  <w:t>5) imtis priemonių, kad asmenims su negalia būtų užtikrintas tinkamas sąlygų pritaikymas, kurio reikia konkrečiu atveju jiems siekiant gauti tokius pačius gaminius, prekes bei paslaugas ir už juos atsiskaityti, kai šio straipsnio 1 ir 4 punktuose nurodytų reikalavimų laikymosi užtikrinimo nepakanka.</w:t>
                </w:r>
              </w:p>
              <w:p>
                <w:pPr>
                  <w:jc w:val="both"/>
                  <w:rPr>
                    <w:b/>
                    <w:bCs/>
                  </w:rPr>
                </w:pPr>
              </w:p>
              <w:p>
                <w:pPr>
                  <w:jc w:val="both"/>
                  <w:rPr>
                    <w:b/>
                    <w:bCs/>
                  </w:rPr>
                </w:pPr>
                <w:r>
                  <w:rPr>
                    <w:b/>
                    <w:bCs/>
                  </w:rPr>
                  <w:t>11 straipsnis. Draudimas diskriminuoti organizacijose (asociacijose)</w:t>
                </w:r>
              </w:p>
              <w:p>
                <w:pPr>
                  <w:jc w:val="both"/>
                  <w:rPr>
                    <w:b/>
                    <w:bCs/>
                  </w:rPr>
                </w:pPr>
                <w:r>
                  <w:rPr>
                    <w:b/>
                    <w:bCs/>
                  </w:rPr>
                  <w:t>Organizacijos (asociacijos) privalo:</w:t>
                </w:r>
              </w:p>
              <w:p>
                <w:pPr>
                  <w:jc w:val="both"/>
                  <w:rPr>
                    <w:b/>
                    <w:bCs/>
                  </w:rPr>
                </w:pPr>
                <w:r>
                  <w:rPr>
                    <w:b/>
                    <w:bCs/>
                  </w:rPr>
                  <w:t>&lt;...&gt;</w:t>
                </w:r>
              </w:p>
              <w:p>
                <w:pPr>
                  <w:jc w:val="both"/>
                  <w:rPr>
                    <w:b/>
                    <w:bCs/>
                  </w:rPr>
                </w:pPr>
                <w:r>
                  <w:rPr>
                    <w:b/>
                    <w:bCs/>
                  </w:rPr>
                  <w:t>3) imtis priemonių, kad asmenims su negalia būtų užtikrintas tinkamas sąlygų pritaikymas, kurio reikia konkrečiu atveju jiems siekiant dalyvauti šių organizacijų (asociacijų) veikloje ir gauti jų teikiamą naudą.</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w:t>
                </w:r>
              </w:p>
              <w:p>
                <w:pPr>
                  <w:ind w:firstLine="62"/>
                  <w:jc w:val="both"/>
                  <w:rPr>
                    <w:b/>
                    <w:bCs/>
                  </w:rPr>
                </w:pPr>
                <w:r>
                  <w:rPr>
                    <w:b/>
                    <w:bCs/>
                  </w:rPr>
                  <w:t>&lt;...&gt;</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14 straipsnis</w:t>
                </w:r>
              </w:p>
              <w:p>
                <w:pPr>
                  <w:shd w:val="clear" w:color="auto" w:fill="FFFFFF"/>
                  <w:jc w:val="both"/>
                  <w:rPr>
                    <w:b/>
                    <w:bCs/>
                    <w:color w:val="000000"/>
                    <w:lang w:eastAsia="lt-LT"/>
                  </w:rPr>
                </w:pPr>
                <w:r>
                  <w:rPr>
                    <w:b/>
                    <w:bCs/>
                    <w:color w:val="000000"/>
                    <w:lang w:eastAsia="lt-LT"/>
                  </w:rPr>
                  <w:t>Bendradarbiavimas</w:t>
                </w:r>
              </w:p>
              <w:p>
                <w:pPr>
                  <w:shd w:val="clear" w:color="auto" w:fill="FFFFFF"/>
                  <w:jc w:val="both"/>
                  <w:rPr>
                    <w:color w:val="000000"/>
                    <w:lang w:eastAsia="lt-LT"/>
                  </w:rPr>
                </w:pPr>
                <w:r>
                  <w:rPr>
                    <w:color w:val="000000"/>
                    <w:lang w:eastAsia="lt-LT"/>
                  </w:rPr>
                  <w:t>Valstybės narės užtikrina, kad lygybės įstaigos įdiegtų tinkamus mechanizmus atitinkamose savo kompetencijos srityse bendradarbiauti su kitomis lygybės įstaigomis toje pačioje valstybėje narėje ir su atitinkamais nacionalinio, regioninio ir vietos lygmens, taip pat kitų valstybių narių bei Sąjungos ir tarptautinio lygmens viešaisiais ir privačiais subjektais, įskaitant darbo inspekcijas, socialinius partnerius ir pilietinės visuomenės organizacijas.</w:t>
                </w:r>
              </w:p>
              <w:p>
                <w:pPr>
                  <w:jc w:val="center"/>
                  <w:rPr>
                    <w:szCs w:val="24"/>
                  </w:rPr>
                </w:pPr>
              </w:p>
            </w:tc>
            <w:tc>
              <w:tcPr>
                <w:tcW w:w="5830" w:type="dxa"/>
              </w:tcPr>
              <w:p>
                <w:pPr>
                  <w:rPr>
                    <w:b/>
                    <w:bCs/>
                  </w:rPr>
                </w:pPr>
                <w:r>
                  <w:rPr>
                    <w:b/>
                    <w:bCs/>
                  </w:rPr>
                  <w:t>Projektas</w:t>
                </w:r>
              </w:p>
              <w:p>
                <w:pPr>
                  <w:rPr>
                    <w:b/>
                    <w:bCs/>
                  </w:rPr>
                </w:pPr>
                <w:r>
                  <w:rPr>
                    <w:b/>
                    <w:bCs/>
                  </w:rPr>
                  <w:t xml:space="preserve">5 straipsnis. Valstybės lygių galimybių politiką formuojančios ir įgyvendinančios institucijos, įstaigos </w:t>
                </w:r>
              </w:p>
              <w:p>
                <w:pPr>
                  <w:rPr>
                    <w:b/>
                    <w:bCs/>
                  </w:rPr>
                </w:pPr>
                <w:r>
                  <w:rPr>
                    <w:b/>
                    <w:bCs/>
                  </w:rPr>
                  <w:t xml:space="preserve">&lt;...&gt; </w:t>
                </w:r>
              </w:p>
              <w:p>
                <w:pPr>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bCs/>
                  </w:rPr>
                </w:pPr>
                <w:r>
                  <w:rPr>
                    <w:b/>
                    <w:bCs/>
                  </w:rPr>
                  <w:t>&lt;...&gt;</w:t>
                </w:r>
              </w:p>
              <w:p>
                <w:pPr>
                  <w:rPr>
                    <w:b/>
                    <w:bCs/>
                  </w:rPr>
                </w:pPr>
                <w:r>
                  <w:rPr>
                    <w:b/>
                    <w:bCs/>
                  </w:rPr>
                  <w:t>8. Valstybės ir savivaldybių institucijos bei įstaigos pagal savo kompetenciją teikia nuasmenintą apibendrintą informaciją apie lygias galimybes suinteresuotoms institucijoms ir (ar) asmenims, vykdo jos sklaidą.</w:t>
                </w:r>
              </w:p>
              <w:p>
                <w:pPr>
                  <w:rPr>
                    <w:b/>
                    <w:bCs/>
                  </w:rPr>
                </w:pPr>
              </w:p>
              <w:p>
                <w:pPr>
                  <w:rPr>
                    <w:b/>
                    <w:bCs/>
                  </w:rPr>
                </w:pPr>
                <w:r>
                  <w:rPr>
                    <w:b/>
                    <w:bCs/>
                  </w:rPr>
                  <w:t xml:space="preserve">13 straipsnis. Lygių galimybių kontrolierius </w:t>
                </w:r>
              </w:p>
              <w:p>
                <w:pPr>
                  <w:rPr>
                    <w:b/>
                    <w:bCs/>
                  </w:rPr>
                </w:pPr>
                <w:r>
                  <w:rPr>
                    <w:b/>
                    <w:bCs/>
                  </w:rPr>
                  <w:t>&lt;...&gt;</w:t>
                </w:r>
              </w:p>
              <w:p>
                <w:pPr>
                  <w:rPr>
                    <w:b/>
                    <w:bCs/>
                  </w:rPr>
                </w:pPr>
                <w:r>
                  <w:rPr>
                    <w:b/>
                    <w:bCs/>
                  </w:rPr>
                  <w:t>4. Lygių galimybių kontrolierius:</w:t>
                </w:r>
              </w:p>
              <w:p>
                <w:pPr>
                  <w:rPr>
                    <w:b/>
                    <w:bCs/>
                  </w:rPr>
                </w:pPr>
                <w:r>
                  <w:rPr>
                    <w:b/>
                    <w:bCs/>
                  </w:rPr>
                  <w:t xml:space="preserve">&lt;...&gt; </w:t>
                </w:r>
              </w:p>
              <w:p>
                <w:pPr>
                  <w:rPr>
                    <w:b/>
                    <w:bCs/>
                  </w:rPr>
                </w:pPr>
                <w:r>
                  <w:rPr>
                    <w:b/>
                    <w:bCs/>
                  </w:rPr>
                  <w:t xml:space="preserve">2) atstovauja Lygių galimybių kontrolieriaus tarnybai Lietuvos Respublikos ir užsienio valstybių institucijose bei įstaigose, tarptautinėse ir Europos Sąjungos institucijose bei jų darbo (valdymo) organuose; </w:t>
                </w:r>
              </w:p>
              <w:p>
                <w:pPr>
                  <w:rPr>
                    <w:b/>
                    <w:bCs/>
                  </w:rPr>
                </w:pPr>
                <w:r>
                  <w:rPr>
                    <w:b/>
                    <w:bCs/>
                  </w:rPr>
                  <w:t>&lt;...&gt;</w:t>
                </w:r>
              </w:p>
              <w:p>
                <w:pPr>
                  <w:rPr>
                    <w:b/>
                    <w:bCs/>
                  </w:rPr>
                </w:pPr>
                <w:r>
                  <w:rPr>
                    <w:b/>
                    <w:bCs/>
                  </w:rPr>
                  <w:t>16) teikia išvadas ir (ar) rekomendacijas dėl šio įstatymo įgyvendinimo, gali viešai jas skelbti ir prašyti nevyriausybinių organizacijų, kitų suinteresuotų subjektų pateikti nuomonę ir pasiūlymus dėl jų;</w:t>
                </w:r>
              </w:p>
              <w:p>
                <w:pPr>
                  <w:rPr>
                    <w:b/>
                    <w:bCs/>
                  </w:rPr>
                </w:pPr>
                <w:r>
                  <w:rPr>
                    <w:b/>
                    <w:bCs/>
                  </w:rPr>
                  <w:t>17) teikia pasiūlymus valstybės ir savivaldybių institucijoms bei įstaigoms dėl valstybės lygių galimybių politikos prioritetų ir (ar) teisės aktų lygių galimybių srityje tobulinimo;</w:t>
                </w:r>
              </w:p>
              <w:p>
                <w:pPr>
                  <w:rPr>
                    <w:b/>
                    <w:bCs/>
                  </w:rPr>
                </w:pPr>
                <w:r>
                  <w:rPr>
                    <w:b/>
                    <w:bCs/>
                  </w:rPr>
                  <w:t>18) pagal savo veiklos prioritetus vykdo kitą veiklą lygių galimybių užtikrinimo ir nediskriminavimo srityje;</w:t>
                </w:r>
              </w:p>
              <w:p>
                <w:pPr>
                  <w:rPr>
                    <w:b/>
                    <w:bCs/>
                  </w:rPr>
                </w:pPr>
                <w:r>
                  <w:rPr>
                    <w:b/>
                    <w:bCs/>
                  </w:rPr>
                  <w:t>&lt;...&gt;</w:t>
                </w:r>
              </w:p>
              <w:p>
                <w:pPr>
                  <w:rPr>
                    <w:b/>
                    <w:bCs/>
                  </w:rPr>
                </w:pPr>
              </w:p>
              <w:p>
                <w:pPr>
                  <w:rPr>
                    <w:b/>
                    <w:bCs/>
                  </w:rPr>
                </w:pPr>
                <w:r>
                  <w:rPr>
                    <w:b/>
                    <w:bCs/>
                  </w:rPr>
                  <w:t xml:space="preserve">30 straipsnis. Lygių galimybių kontrolieriaus reikalavimų ir sprendimų privalomumas  </w:t>
                </w:r>
              </w:p>
              <w:p>
                <w:pPr>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b/>
                    <w:bCs/>
                  </w:rPr>
                </w:pPr>
                <w:r>
                  <w:rPr>
                    <w:b/>
                    <w:bCs/>
                  </w:rPr>
                  <w:t>&lt;...&gt;</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15 straipsnis</w:t>
                </w:r>
              </w:p>
              <w:p>
                <w:pPr>
                  <w:shd w:val="clear" w:color="auto" w:fill="FFFFFF"/>
                  <w:jc w:val="both"/>
                  <w:rPr>
                    <w:b/>
                    <w:bCs/>
                    <w:color w:val="000000"/>
                    <w:lang w:eastAsia="lt-LT"/>
                  </w:rPr>
                </w:pPr>
                <w:r>
                  <w:rPr>
                    <w:b/>
                    <w:bCs/>
                    <w:color w:val="000000"/>
                    <w:lang w:eastAsia="lt-LT"/>
                  </w:rPr>
                  <w:t>Konsultacijos</w:t>
                </w:r>
              </w:p>
              <w:p>
                <w:pPr>
                  <w:shd w:val="clear" w:color="auto" w:fill="FFFFFF"/>
                  <w:jc w:val="both"/>
                  <w:rPr>
                    <w:color w:val="000000"/>
                    <w:lang w:eastAsia="lt-LT"/>
                  </w:rPr>
                </w:pPr>
                <w:r>
                  <w:rPr>
                    <w:color w:val="000000"/>
                    <w:lang w:eastAsia="lt-LT"/>
                  </w:rPr>
                  <w:t xml:space="preserve">Valstybės narės nustato procedūras siekdamos užtikrinti, kad vyriausybė ir kitos atitinkamos valdžios institucijos konsultuotųsi su lygybės įstaigomis dėl teisės aktų, politikos, procedūrų ir programų, susijusių su teisėmis ir pareigomis pagal direktyvas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w:t>
                </w:r>
              </w:p>
              <w:p>
                <w:pPr>
                  <w:shd w:val="clear" w:color="auto" w:fill="FFFFFF"/>
                  <w:jc w:val="both"/>
                  <w:rPr>
                    <w:color w:val="000000"/>
                    <w:lang w:eastAsia="lt-LT"/>
                  </w:rPr>
                </w:pPr>
                <w:r>
                  <w:rPr>
                    <w:color w:val="000000"/>
                    <w:lang w:eastAsia="lt-LT"/>
                  </w:rPr>
                  <w:t>Valstybės narės užtikrina, kad lygybės įstaigos turėtų teisę tais klausimais teikti rekomendacijas, jas skelbti ir reikalauti pateikti atsiliepimus dėl tokių rekomendacijų.</w:t>
                </w:r>
              </w:p>
              <w:p>
                <w:pPr>
                  <w:jc w:val="both"/>
                  <w:rPr>
                    <w:szCs w:val="24"/>
                  </w:rPr>
                </w:pPr>
              </w:p>
            </w:tc>
            <w:tc>
              <w:tcPr>
                <w:tcW w:w="5830" w:type="dxa"/>
              </w:tcPr>
              <w:p>
                <w:pPr>
                  <w:rPr>
                    <w:b/>
                    <w:bCs/>
                  </w:rPr>
                </w:pPr>
                <w:r>
                  <w:rPr>
                    <w:b/>
                    <w:bCs/>
                  </w:rPr>
                  <w:t>Projektas</w:t>
                </w:r>
              </w:p>
              <w:p>
                <w:pPr>
                  <w:rPr>
                    <w:b/>
                    <w:bCs/>
                  </w:rPr>
                </w:pPr>
                <w:r>
                  <w:rPr>
                    <w:b/>
                    <w:bCs/>
                  </w:rPr>
                  <w:t xml:space="preserve">5 straipsnis. Valstybės lygių galimybių politiką formuojančios ir įgyvendinančios institucijos, įstaigos </w:t>
                </w:r>
              </w:p>
              <w:p>
                <w:pPr>
                  <w:rPr>
                    <w:b/>
                    <w:bCs/>
                  </w:rPr>
                </w:pPr>
                <w:r>
                  <w:rPr>
                    <w:b/>
                    <w:bCs/>
                  </w:rPr>
                  <w:t xml:space="preserve">&lt;...&gt; </w:t>
                </w:r>
              </w:p>
              <w:p>
                <w:pPr>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bCs/>
                  </w:rPr>
                </w:pPr>
                <w:r>
                  <w:rPr>
                    <w:b/>
                    <w:bCs/>
                  </w:rPr>
                  <w:t>&lt;...&gt;</w:t>
                </w:r>
              </w:p>
              <w:p>
                <w:pPr>
                  <w:rPr>
                    <w:b/>
                    <w:bCs/>
                  </w:rPr>
                </w:pPr>
                <w:r>
                  <w:rPr>
                    <w:b/>
                    <w:bCs/>
                  </w:rPr>
                  <w:t>8. Valstybės ir savivaldybių institucijos bei įstaigos pagal savo kompetenciją teikia nuasmenintą apibendrintą informaciją apie lygias galimybes suinteresuotoms institucijoms ir (ar) asmenims, vykdo jos sklaidą.</w:t>
                </w:r>
              </w:p>
              <w:p>
                <w:pPr>
                  <w:rPr>
                    <w:b/>
                    <w:bCs/>
                    <w:i/>
                    <w:iCs/>
                  </w:rPr>
                </w:pPr>
              </w:p>
              <w:p>
                <w:pPr>
                  <w:rPr>
                    <w:b/>
                    <w:bCs/>
                  </w:rPr>
                </w:pPr>
                <w:r>
                  <w:rPr>
                    <w:b/>
                    <w:bCs/>
                  </w:rPr>
                  <w:t xml:space="preserve">30 straipsnis. Lygių galimybių kontrolieriaus reikalavimų ir sprendimų privalomumas  </w:t>
                </w:r>
              </w:p>
              <w:p>
                <w:pPr>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rPr>
                    <w:b/>
                    <w:bCs/>
                  </w:rPr>
                </w:pPr>
                <w:r>
                  <w:rPr>
                    <w:b/>
                    <w:bCs/>
                  </w:rPr>
                  <w:t>3. Asmenys, kuriems adresuotas lygių galimybių kontrolieriaus sprendimas, privalo su juo susipažinti ir informuoti lygių galimybių kontrolierių apie sprendimo vykdymą. Informacija lygių galimybių kontrolieriui</w:t>
                </w:r>
                <w:r>
                  <w:rPr>
                    <w:b/>
                    <w:bCs/>
                    <w:i/>
                    <w:iCs/>
                  </w:rPr>
                  <w:t xml:space="preserve"> </w:t>
                </w:r>
                <w:r>
                  <w:rPr>
                    <w:b/>
                    <w:bCs/>
                  </w:rPr>
                  <w:t>pateikiama nedelsiant priėmus sprendimą (-us) dėl priemonių, kurių bus imamasi, atsižvelgiant į lygių galimybių kontrolieriaus sprendimą, bet ne vėliau kaip per 30 dienų nuo lygių galimybių kontrolieriaus sprendimo gavimo dienos.</w:t>
                </w:r>
              </w:p>
              <w:p>
                <w:pPr>
                  <w:rPr>
                    <w:b/>
                    <w:bCs/>
                  </w:rPr>
                </w:pPr>
                <w:r>
                  <w:rPr>
                    <w:b/>
                    <w:bCs/>
                  </w:rPr>
                  <w:t>4. Asmenys, nevykdantys lygių galimybių kontrolieriaus reikalavimų ir (ar) sprendimų, atsako Lietuvos Respublikos administracinių nusižengimų kodekso nustatyta tvarka.</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16 straipsnis</w:t>
                </w:r>
              </w:p>
              <w:p>
                <w:pPr>
                  <w:shd w:val="clear" w:color="auto" w:fill="FFFFFF"/>
                  <w:jc w:val="both"/>
                  <w:rPr>
                    <w:b/>
                    <w:bCs/>
                    <w:color w:val="000000"/>
                    <w:lang w:eastAsia="lt-LT"/>
                  </w:rPr>
                </w:pPr>
                <w:r>
                  <w:rPr>
                    <w:b/>
                    <w:bCs/>
                    <w:color w:val="000000"/>
                    <w:lang w:eastAsia="lt-LT"/>
                  </w:rPr>
                  <w:t>Duomenų rinkimas ir prieiga prie lygybės duomenų</w:t>
                </w:r>
              </w:p>
              <w:p>
                <w:pPr>
                  <w:shd w:val="clear" w:color="auto" w:fill="FFFFFF"/>
                  <w:jc w:val="both"/>
                  <w:rPr>
                    <w:color w:val="000000"/>
                    <w:lang w:eastAsia="lt-LT"/>
                  </w:rPr>
                </w:pPr>
                <w:r>
                  <w:rPr>
                    <w:color w:val="000000"/>
                    <w:lang w:eastAsia="lt-LT"/>
                  </w:rPr>
                  <w:t>1.   Valstybės narės užtikrina, kad lygybės įstaigos rinktų savo veiklos duomenis, siekdamos parengti 17 straipsnio b ir c punktuose nurodytas ataskaitas.</w:t>
                </w:r>
              </w:p>
              <w:p>
                <w:pPr>
                  <w:shd w:val="clear" w:color="auto" w:fill="FFFFFF"/>
                  <w:jc w:val="both"/>
                  <w:rPr>
                    <w:color w:val="000000"/>
                    <w:lang w:eastAsia="lt-LT"/>
                  </w:rPr>
                </w:pPr>
                <w:r>
                  <w:rPr>
                    <w:color w:val="000000"/>
                    <w:lang w:eastAsia="lt-LT"/>
                  </w:rPr>
                  <w:t xml:space="preserve">Lygybės įstaigų surinkti duomenys skirstomi pagal pagrindus ir sritis, kuriems taikomos direktyvos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ir pagal šios direktyvos 18 straipsnyje nurodytus rodiklius. Surinkti asmens duomenys nuasmeninami arba, kai tai neįmanoma, jiems suteikiami pseudonimai.</w:t>
                </w:r>
              </w:p>
              <w:p>
                <w:pPr>
                  <w:tabs>
                    <w:tab w:val="left" w:pos="4224"/>
                  </w:tabs>
                  <w:jc w:val="both"/>
                  <w:rPr>
                    <w:szCs w:val="24"/>
                  </w:rPr>
                </w:pPr>
              </w:p>
            </w:tc>
            <w:tc>
              <w:tcPr>
                <w:tcW w:w="5830" w:type="dxa"/>
              </w:tcPr>
              <w:p>
                <w:pPr>
                  <w:jc w:val="both"/>
                  <w:rPr>
                    <w:b/>
                    <w:bCs/>
                  </w:rPr>
                </w:pPr>
                <w:r>
                  <w:rPr>
                    <w:b/>
                    <w:bCs/>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 xml:space="preserve">6. Lygybės duomenys – nuasmeninti arba, jei nuasmeninti neįmanoma, pseudonimizuoti duomenys, kuriais parodoma asmenų grupių situacija pagal asmenų tapatybės bruožus arba kurie naudojami lyginamajai konkrečios asmenų grupės, kuriai gresia diskriminacija, analizei atlikti ir padėčiai įvertinti ir kurie didina asmenų informuotumą, padeda formuoti įrodymais grindžiamą valstybės politiką bei skatinti lygias galimybes </w:t>
                </w:r>
              </w:p>
              <w:p>
                <w:pPr>
                  <w:jc w:val="both"/>
                  <w:rPr>
                    <w:b/>
                    <w:bCs/>
                  </w:rPr>
                </w:pPr>
                <w:r>
                  <w:rPr>
                    <w:b/>
                    <w:bCs/>
                  </w:rPr>
                  <w:t>&lt;...&gt;</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20) kaupia, sistemina, analizuoja informaciją savo veiklos srityje, įskaitant lygybės duomenis;</w:t>
                </w:r>
              </w:p>
              <w:p>
                <w:pPr>
                  <w:jc w:val="both"/>
                  <w:rPr>
                    <w:b/>
                    <w:bCs/>
                  </w:rPr>
                </w:pPr>
                <w:r>
                  <w:rPr>
                    <w:b/>
                    <w:bCs/>
                  </w:rPr>
                  <w:t>&lt;...&gt;</w:t>
                </w: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Valstybės narės užtikrina, kad lygybės įstaigos galėtų vykdyti nepriklausomas apklausas dėl diskriminacijos.</w:t>
                </w:r>
              </w:p>
              <w:p>
                <w:pPr>
                  <w:shd w:val="clear" w:color="auto" w:fill="FFFFFF"/>
                  <w:jc w:val="both"/>
                  <w:rPr>
                    <w:b/>
                    <w:bCs/>
                    <w:color w:val="000000"/>
                    <w:lang w:eastAsia="lt-LT"/>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14) savo iniciatyva atlieka nepriklausomus socialinius, visuomenės nuostatų tyrimus, rengia diskriminacijos apraiškų ir lygių galimybių užtikrinimo apžvalgas;</w:t>
                </w:r>
              </w:p>
              <w:p>
                <w:pPr>
                  <w:jc w:val="both"/>
                  <w:rPr>
                    <w:b/>
                    <w:bCs/>
                  </w:rPr>
                </w:pPr>
                <w:r>
                  <w:rPr>
                    <w:b/>
                    <w:bCs/>
                  </w:rPr>
                  <w:t>&lt;...&gt;</w:t>
                </w:r>
              </w:p>
            </w:tc>
            <w:tc>
              <w:tcPr>
                <w:tcW w:w="1792" w:type="dxa"/>
              </w:tcPr>
              <w:p>
                <w:pPr>
                  <w:rPr>
                    <w:b/>
                    <w:bCs/>
                  </w:rPr>
                </w:pPr>
                <w:r>
                  <w:rPr>
                    <w:b/>
                    <w:bCs/>
                  </w:rPr>
                  <w:t>Visiškas</w:t>
                </w:r>
              </w:p>
            </w:tc>
          </w:tr>
          <w:tr>
            <w:tc>
              <w:tcPr>
                <w:tcW w:w="6371" w:type="dxa"/>
              </w:tcPr>
              <w:p>
                <w:pPr>
                  <w:shd w:val="clear" w:color="auto" w:fill="FFFFFF"/>
                  <w:jc w:val="both"/>
                  <w:rPr>
                    <w:color w:val="000000"/>
                    <w:lang w:eastAsia="lt-LT"/>
                  </w:rPr>
                </w:pPr>
                <w:r>
                  <w:rPr>
                    <w:color w:val="000000"/>
                    <w:lang w:eastAsia="lt-LT"/>
                  </w:rPr>
                  <w:t xml:space="preserve">3.   Valstybės narės užtikrina, kad lygybės įstaigos pagal nacionalinę teisę turėtų prieigą prie statistinių duomenų, susijusių su teisėmis ir pareigomis pagal direktyvas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jeigu lygybės įstaigos mano, kad tokie statistiniai duomenys reikalingi siekiant bendrai įvertinti su diskriminacija susijusią padėtį valstybėje narėje ir parengti šios direktyvos 17 straipsnio c punkte nurodytas ataskaitas.</w:t>
                </w:r>
              </w:p>
              <w:p>
                <w:pPr>
                  <w:shd w:val="clear" w:color="auto" w:fill="FFFFFF"/>
                  <w:jc w:val="both"/>
                  <w:rPr>
                    <w:b/>
                    <w:bCs/>
                    <w:color w:val="000000"/>
                    <w:lang w:eastAsia="lt-LT"/>
                  </w:rPr>
                </w:pPr>
              </w:p>
            </w:tc>
            <w:tc>
              <w:tcPr>
                <w:tcW w:w="5830" w:type="dxa"/>
              </w:tcPr>
              <w:p>
                <w:pPr>
                  <w:jc w:val="both"/>
                  <w:rPr>
                    <w:b/>
                    <w:bCs/>
                  </w:rPr>
                </w:pPr>
                <w:r>
                  <w:rPr>
                    <w:b/>
                    <w:bCs/>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&lt;...&gt;</w:t>
                </w:r>
              </w:p>
            </w:tc>
            <w:tc>
              <w:tcPr>
                <w:tcW w:w="1792" w:type="dxa"/>
              </w:tcPr>
              <w:p>
                <w:pPr>
                  <w:rPr>
                    <w:b/>
                    <w:bCs/>
                  </w:rPr>
                </w:pPr>
                <w:r>
                  <w:rPr>
                    <w:b/>
                    <w:bCs/>
                  </w:rPr>
                  <w:t>Visiškas</w:t>
                </w:r>
              </w:p>
            </w:tc>
          </w:tr>
          <w:tr>
            <w:tc>
              <w:tcPr>
                <w:tcW w:w="6371" w:type="dxa"/>
              </w:tcPr>
              <w:p>
                <w:pPr>
                  <w:shd w:val="clear" w:color="auto" w:fill="FFFFFF"/>
                  <w:rPr>
                    <w:b/>
                    <w:bCs/>
                    <w:color w:val="000000"/>
                    <w:lang w:eastAsia="lt-LT"/>
                  </w:rPr>
                </w:pPr>
                <w:r>
                  <w:rPr>
                    <w:color w:val="000000"/>
                    <w:lang w:eastAsia="lt-LT"/>
                  </w:rPr>
                  <w:t xml:space="preserve">4.   Valstybės narės leidžia lygybės įstaigoms rekomenduoti viešiesiems ir privatiems subjektams, be kita ko, valdžios institucijoms, socialiniams partneriams, bendrovėms ir pilietinės visuomenės organizacijoms, kokius duomenis, susijusius su teisėmis ir pareigomis pagal direktyvas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 rinkti. Valstybės narės taip pat gali leisti lygybės įstaigoms koordinuoti lygybės duomenų rinkimą.</w:t>
                </w:r>
              </w:p>
            </w:tc>
            <w:tc>
              <w:tcPr>
                <w:tcW w:w="5830" w:type="dxa"/>
              </w:tcPr>
              <w:p>
                <w:pPr>
                  <w:jc w:val="both"/>
                  <w:rPr>
                    <w:b/>
                    <w:bCs/>
                  </w:rPr>
                </w:pPr>
                <w:r>
                  <w:rPr>
                    <w:b/>
                    <w:bCs/>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6. Lygybės duomenys – nuasmeninti arba, jei nuasmeninti neįmanoma, pseudonimizuoti duomenys, kuriais parodoma asmenų grupių situacija pagal asmenų tapatybės bruožus arba kurie naudojami lyginamajai konkrečios asmenų grupės, kuriai gresia diskriminacija, analizei atlikti ir padėčiai įvertinti ir kurie didina asmenų informuotumą, padeda formuoti įrodymais grindžiamą valstybės politiką bei skatinti lygias galimybes.</w:t>
                </w:r>
              </w:p>
              <w:p>
                <w:pPr>
                  <w:jc w:val="both"/>
                  <w:rPr>
                    <w:b/>
                    <w:bCs/>
                  </w:rPr>
                </w:pPr>
                <w:r>
                  <w:rPr>
                    <w:b/>
                    <w:bCs/>
                  </w:rPr>
                  <w:t>&lt;...&gt;</w:t>
                </w:r>
              </w:p>
              <w:p>
                <w:pPr>
                  <w:jc w:val="both"/>
                  <w:rPr>
                    <w:b/>
                    <w:bCs/>
                  </w:rPr>
                </w:pPr>
              </w:p>
              <w:p>
                <w:pPr>
                  <w:jc w:val="both"/>
                  <w:rPr>
                    <w:b/>
                    <w:bCs/>
                  </w:rPr>
                </w:pPr>
                <w:r>
                  <w:rPr>
                    <w:b/>
                    <w:bCs/>
                  </w:rPr>
                  <w:t xml:space="preserve">5 straipsnis. Valstybės lygių galimybių politiką formuojančios ir įgyvendinančios institucijos, įstaigos </w:t>
                </w:r>
              </w:p>
              <w:p>
                <w:pPr>
                  <w:jc w:val="both"/>
                  <w:rPr>
                    <w:b/>
                    <w:bCs/>
                  </w:rPr>
                </w:pPr>
                <w:r>
                  <w:rPr>
                    <w:b/>
                    <w:bCs/>
                  </w:rPr>
                  <w:t>&lt;...&gt;</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rPr>
                    <w:b/>
                    <w:bCs/>
                  </w:rPr>
                </w:pPr>
                <w:r>
                  <w:rPr>
                    <w:b/>
                    <w:bCs/>
                  </w:rPr>
                  <w:t>&lt;...&gt;</w:t>
                </w:r>
              </w:p>
            </w:tc>
            <w:tc>
              <w:tcPr>
                <w:tcW w:w="1792" w:type="dxa"/>
              </w:tcPr>
              <w:p>
                <w:pPr>
                  <w:rPr>
                    <w:b/>
                    <w:bCs/>
                  </w:rPr>
                </w:pPr>
                <w:r>
                  <w:rPr>
                    <w:b/>
                    <w:bCs/>
                  </w:rPr>
                  <w:t>Visiškas</w:t>
                </w:r>
              </w:p>
            </w:tc>
          </w:tr>
          <w:tr>
            <w:tc>
              <w:tcPr>
                <w:tcW w:w="6371" w:type="dxa"/>
              </w:tcPr>
              <w:p>
                <w:pPr>
                  <w:rPr>
                    <w:sz w:val="8"/>
                    <w:szCs w:val="8"/>
                  </w:rPr>
                </w:pPr>
              </w:p>
              <w:p>
                <w:pPr>
                  <w:shd w:val="clear" w:color="auto" w:fill="FFFFFF"/>
                  <w:jc w:val="both"/>
                  <w:rPr>
                    <w:b/>
                    <w:bCs/>
                    <w:color w:val="000000"/>
                    <w:lang w:eastAsia="lt-LT"/>
                  </w:rPr>
                </w:pPr>
                <w:r>
                  <w:rPr>
                    <w:b/>
                    <w:bCs/>
                    <w:color w:val="000000"/>
                    <w:lang w:eastAsia="lt-LT"/>
                  </w:rPr>
                  <w:t>17 straipsnis</w:t>
                </w:r>
              </w:p>
              <w:p>
                <w:pPr>
                  <w:rPr>
                    <w:sz w:val="8"/>
                    <w:szCs w:val="8"/>
                  </w:rPr>
                </w:pPr>
              </w:p>
              <w:p>
                <w:pPr>
                  <w:shd w:val="clear" w:color="auto" w:fill="FFFFFF"/>
                  <w:jc w:val="both"/>
                  <w:rPr>
                    <w:b/>
                    <w:bCs/>
                    <w:color w:val="000000"/>
                    <w:lang w:eastAsia="lt-LT"/>
                  </w:rPr>
                </w:pPr>
                <w:r>
                  <w:rPr>
                    <w:b/>
                    <w:bCs/>
                    <w:color w:val="000000"/>
                    <w:lang w:eastAsia="lt-LT"/>
                  </w:rPr>
                  <w:t>Ataskaitos ir strateginis planavimas</w:t>
                </w:r>
              </w:p>
              <w:p>
                <w:pPr>
                  <w:rPr>
                    <w:sz w:val="8"/>
                    <w:szCs w:val="8"/>
                  </w:rPr>
                </w:pPr>
              </w:p>
              <w:p>
                <w:pPr>
                  <w:shd w:val="clear" w:color="auto" w:fill="FFFFFF"/>
                  <w:jc w:val="both"/>
                  <w:rPr>
                    <w:color w:val="000000"/>
                    <w:lang w:eastAsia="lt-LT"/>
                  </w:rPr>
                </w:pPr>
                <w:r>
                  <w:rPr>
                    <w:color w:val="000000"/>
                    <w:lang w:eastAsia="lt-LT"/>
                  </w:rPr>
                  <w:t>Valstybės narės užtikrina, kad lygybės įstaigos:</w:t>
                </w:r>
              </w:p>
              <w:p>
                <w:pPr>
                  <w:rPr>
                    <w:sz w:val="8"/>
                    <w:szCs w:val="8"/>
                  </w:rPr>
                </w:pPr>
              </w:p>
              <w:p>
                <w:pPr>
                  <w:shd w:val="clear" w:color="auto" w:fill="FFFFFF"/>
                  <w:jc w:val="both"/>
                  <w:rPr>
                    <w:color w:val="000000"/>
                    <w:lang w:eastAsia="lt-LT"/>
                  </w:rPr>
                </w:pPr>
                <w:r>
                  <w:rPr>
                    <w:color w:val="000000"/>
                    <w:lang w:eastAsia="lt-LT"/>
                  </w:rPr>
                  <w:t>a) priimtų darbo programą, kurioje būtų nustatyti jų prioritetai ir numatoma veikla;</w:t>
                </w:r>
              </w:p>
              <w:p>
                <w:pPr>
                  <w:rPr>
                    <w:sz w:val="8"/>
                    <w:szCs w:val="8"/>
                  </w:rPr>
                </w:pPr>
              </w:p>
              <w:p>
                <w:pPr>
                  <w:shd w:val="clear" w:color="auto" w:fill="FFFFFF"/>
                  <w:jc w:val="both"/>
                  <w:rPr>
                    <w:color w:val="000000"/>
                    <w:lang w:eastAsia="lt-LT"/>
                  </w:rPr>
                </w:pPr>
                <w:r>
                  <w:rPr>
                    <w:color w:val="000000"/>
                    <w:lang w:eastAsia="lt-LT"/>
                  </w:rPr>
                  <w:t>b) parengtų ir viešai paskelbtų metinę veiklos ataskaitą, į kurią būtų įtrauktas jų metinis biudžetas, darbuotojai ir finansinė atskaitomybė ir</w:t>
                </w:r>
              </w:p>
              <w:p>
                <w:pPr>
                  <w:rPr>
                    <w:sz w:val="8"/>
                    <w:szCs w:val="8"/>
                  </w:rPr>
                </w:pPr>
              </w:p>
              <w:p>
                <w:pPr>
                  <w:shd w:val="clear" w:color="auto" w:fill="FFFFFF"/>
                  <w:jc w:val="both"/>
                  <w:rPr>
                    <w:color w:val="000000"/>
                    <w:lang w:eastAsia="lt-LT"/>
                  </w:rPr>
                </w:pPr>
                <w:r>
                  <w:rPr>
                    <w:color w:val="000000"/>
                    <w:lang w:eastAsia="lt-LT"/>
                  </w:rPr>
                  <w:t>c) bent kas ketverius metus paskelbtų vieną ar kelias ataskaitas su rekomendacijomis dėl su vienodu požiūriu ir diskriminacija susijusios padėties, įskaitant galimus struktūrinius klausimus, savo valstybėje narėje.</w:t>
                </w: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rPr>
                </w:pPr>
                <w:r>
                  <w:rPr>
                    <w:b/>
                    <w:bCs/>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žmonių teise į lygybę ir vienodą požiūrį į juos be diskriminacijos visoje Lietuvos Respublikos teritorijoje;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rPr>
                    <w:b/>
                    <w:bCs/>
                  </w:rPr>
                </w:pPr>
                <w:r>
                  <w:rPr>
                    <w:b/>
                    <w:bCs/>
                  </w:rPr>
                  <w:t>&lt;...&gt;</w:t>
                </w:r>
              </w:p>
              <w:p>
                <w:pPr>
                  <w:jc w:val="both"/>
                  <w:rPr>
                    <w:b/>
                    <w:bCs/>
                  </w:rPr>
                </w:pPr>
              </w:p>
              <w:p>
                <w:pPr>
                  <w:jc w:val="both"/>
                  <w:rPr>
                    <w:b/>
                    <w:bCs/>
                  </w:rPr>
                </w:pPr>
                <w:r>
                  <w:rPr>
                    <w:b/>
                    <w:bCs/>
                  </w:rPr>
                  <w:t>19 straipsnis. Lygių galimybių kontrolieriaus metinė veiklos ataskaita</w:t>
                </w:r>
              </w:p>
              <w:p>
                <w:pPr>
                  <w:jc w:val="both"/>
                  <w:rPr>
                    <w:b/>
                    <w:bCs/>
                  </w:rPr>
                </w:pPr>
                <w:r>
                  <w:rPr>
                    <w:b/>
                    <w:bCs/>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tc>
            <w:tc>
              <w:tcPr>
                <w:tcW w:w="1792" w:type="dxa"/>
              </w:tcPr>
              <w:p>
                <w:pPr>
                  <w:rPr>
                    <w:b/>
                    <w:bCs/>
                  </w:rPr>
                </w:pPr>
                <w:r>
                  <w:rPr>
                    <w:b/>
                    <w:bCs/>
                  </w:rPr>
                  <w:t>Visiškas</w:t>
                </w:r>
              </w:p>
            </w:tc>
          </w:tr>
          <w:tr>
            <w:tc>
              <w:tcPr>
                <w:tcW w:w="6371" w:type="dxa"/>
              </w:tcPr>
              <w:p>
                <w:pPr>
                  <w:shd w:val="clear" w:color="auto" w:fill="FFFFFF"/>
                  <w:jc w:val="both"/>
                  <w:rPr>
                    <w:b/>
                    <w:bCs/>
                    <w:color w:val="000000"/>
                    <w:lang w:eastAsia="lt-LT"/>
                  </w:rPr>
                </w:pPr>
                <w:r>
                  <w:rPr>
                    <w:b/>
                    <w:bCs/>
                    <w:color w:val="000000"/>
                    <w:lang w:eastAsia="lt-LT"/>
                  </w:rPr>
                  <w:t>18 straipsnis</w:t>
                </w:r>
              </w:p>
              <w:p>
                <w:pPr>
                  <w:shd w:val="clear" w:color="auto" w:fill="FFFFFF"/>
                  <w:jc w:val="both"/>
                  <w:rPr>
                    <w:b/>
                    <w:bCs/>
                    <w:color w:val="000000"/>
                    <w:lang w:eastAsia="lt-LT"/>
                  </w:rPr>
                </w:pPr>
                <w:r>
                  <w:rPr>
                    <w:b/>
                    <w:bCs/>
                    <w:color w:val="000000"/>
                    <w:lang w:eastAsia="lt-LT"/>
                  </w:rPr>
                  <w:t>Stebėsena ir ataskaitų teikimas</w:t>
                </w:r>
              </w:p>
              <w:p>
                <w:pPr>
                  <w:shd w:val="clear" w:color="auto" w:fill="FFFFFF"/>
                  <w:jc w:val="both"/>
                  <w:rPr>
                    <w:color w:val="000000"/>
                    <w:lang w:eastAsia="lt-LT"/>
                  </w:rPr>
                </w:pPr>
                <w:r>
                  <w:rPr>
                    <w:color w:val="000000"/>
                    <w:lang w:eastAsia="lt-LT"/>
                  </w:rPr>
                  <w:t>1.   Ne vėliau kaip 2026 m. birželio 19 d. Komisija įgyvendinimo aktu nustato pagal šią direktyvą paskirtų lygybės įstaigų veikimo bendrų rodiklių sąrašą. Rengdama rodiklius, Komisija gali prašyti Europos Sąjungos pagrindinių teisių agentūros ir Europos lyčių lygybės instituto, taip pat lygybės įstaigų Sąjungos lygmens tinklų patarimo. Rodikliai turi apimti lygybės įstaigų žmogiškuosius, techninius ir finansinius išteklius, nepriklausomą veikimą, ir veiksmingumą, prieinamumą, taip pat jų įgaliojimų, galių ar struktūros pokyčius, ir užtikrinti nacionaliniu lygmeniu surinktų duomenų palyginamumą, objektyvumą ir patikimumą. Rodikliai neturi būti skirti reitingavimui arba konkrečioms rekomendacijoms atskiroms valstybėms narėms teikti.</w:t>
                </w:r>
              </w:p>
              <w:p>
                <w:pPr>
                  <w:shd w:val="clear" w:color="auto" w:fill="FFFFFF"/>
                  <w:jc w:val="both"/>
                  <w:rPr>
                    <w:color w:val="000000"/>
                    <w:lang w:eastAsia="lt-LT"/>
                  </w:rPr>
                </w:pPr>
                <w:r>
                  <w:rPr>
                    <w:color w:val="000000"/>
                    <w:lang w:eastAsia="lt-LT"/>
                  </w:rPr>
                  <w:t>Įgyvendinimo aktas priimamas laikantis 22 straipsnio 2 dalyje nurodytos nagrinėjimo procedūros.</w:t>
                </w:r>
              </w:p>
              <w:p>
                <w:pPr>
                  <w:shd w:val="clear" w:color="auto" w:fill="FFFFFF"/>
                  <w:ind w:firstLine="1296"/>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2.   Ne vėliau kaip 2031 m. birželio 19 d., o vėliau kas 5 metus valstybės narės pateikia Komisijai visą svarbią informaciją apie šios direktyvos taikymą. Tokia informacija apima bent duomenis apie lygybės įstaigų veikimą ir joje atsižvelgiama į lygybės įstaigų pagal 17 straipsnio b ir c punktus parengtas ataskaitas.</w:t>
                </w:r>
              </w:p>
              <w:p>
                <w:pPr>
                  <w:shd w:val="clear" w:color="auto" w:fill="FFFFFF"/>
                  <w:jc w:val="both"/>
                  <w:rPr>
                    <w:b/>
                    <w:bCs/>
                    <w:color w:val="000000"/>
                    <w:lang w:eastAsia="lt-LT"/>
                  </w:rPr>
                </w:pPr>
              </w:p>
            </w:tc>
            <w:tc>
              <w:tcPr>
                <w:tcW w:w="5830" w:type="dxa"/>
              </w:tcPr>
              <w:p>
                <w:pPr>
                  <w:rPr>
                    <w:b/>
                  </w:rPr>
                </w:pPr>
                <w:r>
                  <w:rPr>
                    <w:b/>
                  </w:rPr>
                  <w:t>Projektas</w:t>
                </w:r>
              </w:p>
              <w:p>
                <w:pPr>
                  <w:jc w:val="right"/>
                  <w:rPr>
                    <w:b/>
                  </w:rPr>
                </w:pPr>
                <w:r>
                  <w:rPr>
                    <w:b/>
                  </w:rPr>
                  <w:t>Lietuvos Respublikos</w:t>
                </w:r>
              </w:p>
              <w:p>
                <w:pPr>
                  <w:jc w:val="right"/>
                  <w:rPr>
                    <w:b/>
                  </w:rPr>
                </w:pPr>
                <w:r>
                  <w:rPr>
                    <w:b/>
                  </w:rPr>
                  <w:t>lygių galimybių įstatymo</w:t>
                </w:r>
              </w:p>
              <w:p>
                <w:pPr>
                  <w:jc w:val="right"/>
                  <w:rPr>
                    <w:b/>
                  </w:rPr>
                </w:pPr>
                <w:r>
                  <w:rPr>
                    <w:b/>
                  </w:rPr>
                  <w:t>priedas</w:t>
                </w:r>
              </w:p>
              <w:p>
                <w:pPr>
                  <w:jc w:val="both"/>
                  <w:rPr>
                    <w:b/>
                  </w:rPr>
                </w:pPr>
              </w:p>
              <w:p>
                <w:pPr>
                  <w:jc w:val="both"/>
                  <w:rPr>
                    <w:b/>
                  </w:rPr>
                </w:pPr>
              </w:p>
              <w:p>
                <w:pPr>
                  <w:jc w:val="both"/>
                  <w:rPr>
                    <w:b/>
                  </w:rPr>
                </w:pPr>
                <w:r>
                  <w:rPr>
                    <w:b/>
                  </w:rPr>
                  <w:t>2 straipsnis. Įstatymo įsigaliojimas, taikymas ir įgyvendinimas</w:t>
                </w:r>
              </w:p>
              <w:p>
                <w:pPr>
                  <w:jc w:val="both"/>
                  <w:rPr>
                    <w:b/>
                  </w:rPr>
                </w:pPr>
                <w:r>
                  <w:rPr>
                    <w:b/>
                  </w:rPr>
                  <w:t>&lt;...&gt;</w:t>
                </w:r>
              </w:p>
              <w:p>
                <w:pPr>
                  <w:jc w:val="both"/>
                  <w:rPr>
                    <w:b/>
                  </w:rPr>
                </w:pPr>
                <w:r>
                  <w:rPr>
                    <w:b/>
                  </w:rPr>
                  <w:t>6. 6. Lietuvos Respublikos socialinės apsaugos ir darbo ministerija, remdamasi lygių galimybių kontrolieriaus metinėmis veiklos ataskaitomis, teikia Europos Komisijai informaciją apie lygių galimybių kontrolieriaus veiklą pagal šio įstatymo nuostatas nuo 2026 m. birželio 1 d. iki 2031 m. birželio 19 d., o vėliau – kas 5 metus.</w:t>
                </w:r>
              </w:p>
              <w:p>
                <w:pPr>
                  <w:jc w:val="both"/>
                </w:pPr>
                <w:r>
                  <w:t>&lt;...&gt;</w:t>
                </w:r>
              </w:p>
            </w:tc>
            <w:tc>
              <w:tcPr>
                <w:tcW w:w="1792" w:type="dxa"/>
              </w:tcPr>
              <w:p>
                <w:pPr>
                  <w:rPr>
                    <w:b/>
                    <w:bCs/>
                  </w:rPr>
                </w:pPr>
                <w:r>
                  <w:rPr>
                    <w:b/>
                    <w:bCs/>
                  </w:rPr>
                  <w:t>Visiškas</w:t>
                </w:r>
              </w:p>
            </w:tc>
          </w:tr>
          <w:tr>
            <w:tc>
              <w:tcPr>
                <w:tcW w:w="6371" w:type="dxa"/>
              </w:tcPr>
              <w:p>
                <w:pPr>
                  <w:shd w:val="clear" w:color="auto" w:fill="FFFFFF"/>
                  <w:jc w:val="both"/>
                  <w:rPr>
                    <w:b/>
                    <w:bCs/>
                    <w:color w:val="000000"/>
                    <w:lang w:eastAsia="lt-LT"/>
                  </w:rPr>
                </w:pPr>
                <w:r>
                  <w:rPr>
                    <w:color w:val="000000"/>
                    <w:lang w:eastAsia="lt-LT"/>
                  </w:rPr>
                  <w:t>3.   Komisija parengia šios direktyvos taikymo ir praktinio poveikio ataskaitą, remdamasi 2 dalyje nurodyta informacija ir papildomais susijusiais duomenimis, Europos Sąjungos pagrindinių teisių agentūros ir Europos lyčių lygybės instituto surinktais nacionaliniu ir Sąjungos lygmeniu, visų pirma iš lygybės įstaigų Sąjungos lygmens tinklų, pavyzdžiui, Europos nacionalinių lygybės įstaigų tinklo („Equinet“), pilietinės visuomenės organizacijų ar kitų suinteresuotųjų subjektų. Ataskaitoje turi būti nagrinėjamas lygybės įstaigų nepriklausomas veikimas ir veiksmingumas valstybėse narėse, remiantis pagal 1 dalį nustatytais rodikliais.</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19 straipsnis</w:t>
                </w:r>
              </w:p>
              <w:p>
                <w:pPr>
                  <w:shd w:val="clear" w:color="auto" w:fill="FFFFFF"/>
                  <w:jc w:val="both"/>
                  <w:rPr>
                    <w:b/>
                    <w:bCs/>
                    <w:color w:val="000000"/>
                    <w:lang w:eastAsia="lt-LT"/>
                  </w:rPr>
                </w:pPr>
                <w:r>
                  <w:rPr>
                    <w:b/>
                    <w:bCs/>
                    <w:color w:val="000000"/>
                    <w:lang w:eastAsia="lt-LT"/>
                  </w:rPr>
                  <w:t>Dialogas lygybės įstaigų veikimo klausimais</w:t>
                </w:r>
              </w:p>
              <w:p>
                <w:pPr>
                  <w:shd w:val="clear" w:color="auto" w:fill="FFFFFF"/>
                  <w:jc w:val="both"/>
                  <w:rPr>
                    <w:b/>
                    <w:bCs/>
                    <w:color w:val="000000"/>
                    <w:lang w:eastAsia="lt-LT"/>
                  </w:rPr>
                </w:pPr>
                <w:r>
                  <w:rPr>
                    <w:color w:val="000000"/>
                    <w:lang w:eastAsia="lt-LT"/>
                  </w:rPr>
                  <w:t>1.   Vykdant stebėseną ir teikiant ataskaitas pagal 18 straipsnį, taip pat siekiant sustiprinti Sąjungos institucijų dialogą ir užtikrinti didesnį skaidrumą, Europos Parlamentas gali kasmet pakviesti Komisiją aptarti 18 straipsnyje nurodytus klausimus, susijusius su pagal šią direktyvą paskirtų lygybės įstaigų veikimu.</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2.   Savo nuomonę 18 straipsnyje nurodytais klausimais Europos Parlamentas gali pareikšti rezoliucijose.</w:t>
                </w:r>
              </w:p>
              <w:p>
                <w:pPr>
                  <w:shd w:val="clear" w:color="auto" w:fill="FFFFFF"/>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3.   Komisija atitinkamai atsižvelgia į visus elementus, iškilusius pagal šį straipsnį vykdomo dialogo metu pareikštose nuomonėse, įskaitant galimas Europos Parlamento rezoliucijas 18 straipsnyje nurodytais klausimais, be kita ko, peržiūrėdama šios direktyvos veikimą.</w:t>
                </w:r>
              </w:p>
              <w:p>
                <w:pPr>
                  <w:shd w:val="clear" w:color="auto" w:fill="FFFFFF"/>
                  <w:jc w:val="both"/>
                  <w:rPr>
                    <w:color w:val="000000"/>
                    <w:lang w:eastAsia="lt-LT"/>
                  </w:rPr>
                </w:pPr>
              </w:p>
            </w:tc>
            <w:tc>
              <w:tcPr>
                <w:tcW w:w="5830" w:type="dxa"/>
              </w:tcPr>
              <w:p>
                <w:pPr>
                  <w:jc w:val="both"/>
                  <w:rPr>
                    <w:i/>
                    <w:iCs/>
                  </w:rPr>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20 straipsnis</w:t>
                </w:r>
              </w:p>
              <w:p>
                <w:pPr>
                  <w:shd w:val="clear" w:color="auto" w:fill="FFFFFF"/>
                  <w:jc w:val="both"/>
                  <w:rPr>
                    <w:b/>
                    <w:bCs/>
                    <w:color w:val="000000"/>
                    <w:lang w:eastAsia="lt-LT"/>
                  </w:rPr>
                </w:pPr>
                <w:r>
                  <w:rPr>
                    <w:b/>
                    <w:bCs/>
                    <w:color w:val="000000"/>
                    <w:lang w:eastAsia="lt-LT"/>
                  </w:rPr>
                  <w:t>Minimalieji reikalavimai</w:t>
                </w:r>
              </w:p>
              <w:p>
                <w:pPr>
                  <w:shd w:val="clear" w:color="auto" w:fill="FFFFFF"/>
                  <w:jc w:val="both"/>
                  <w:rPr>
                    <w:color w:val="000000"/>
                    <w:lang w:eastAsia="lt-LT"/>
                  </w:rPr>
                </w:pPr>
                <w:r>
                  <w:rPr>
                    <w:color w:val="000000"/>
                    <w:lang w:eastAsia="lt-LT"/>
                  </w:rPr>
                  <w:t>1.   Valstybės narės gali priimti arba palikti galioti nuostatas, kurios yra palankesnės nei šioje direktyvoje nustatyti minimalieji reikalavimai.</w:t>
                </w:r>
              </w:p>
              <w:p>
                <w:pPr>
                  <w:shd w:val="clear" w:color="auto" w:fill="FFFFFF"/>
                  <w:jc w:val="both"/>
                  <w:rPr>
                    <w:b/>
                    <w:bCs/>
                    <w:color w:val="000000"/>
                    <w:lang w:eastAsia="lt-LT"/>
                  </w:rPr>
                </w:pPr>
              </w:p>
            </w:tc>
            <w:tc>
              <w:tcPr>
                <w:tcW w:w="5830" w:type="dxa"/>
              </w:tcPr>
              <w:p>
                <w:pPr>
                  <w:jc w:val="both"/>
                  <w:rPr>
                    <w:i/>
                    <w:iCs/>
                  </w:rPr>
                </w:pPr>
                <w:r>
                  <w:rPr>
                    <w:i/>
                    <w:iCs/>
                  </w:rPr>
                  <w:t>Perkeliant Direktyvos 9 straipsnio 3 dalį taikomos palankesnės nuostatos.</w:t>
                </w:r>
              </w:p>
            </w:tc>
            <w:tc>
              <w:tcPr>
                <w:tcW w:w="1792" w:type="dxa"/>
              </w:tcPr>
              <w:p/>
            </w:tc>
          </w:tr>
          <w:tr>
            <w:tc>
              <w:tcPr>
                <w:tcW w:w="6371" w:type="dxa"/>
              </w:tcPr>
              <w:p>
                <w:pPr>
                  <w:shd w:val="clear" w:color="auto" w:fill="FFFFFF"/>
                  <w:jc w:val="both"/>
                  <w:rPr>
                    <w:color w:val="000000"/>
                    <w:lang w:eastAsia="lt-LT"/>
                  </w:rPr>
                </w:pPr>
                <w:r>
                  <w:rPr>
                    <w:color w:val="000000"/>
                    <w:lang w:eastAsia="lt-LT"/>
                  </w:rPr>
                  <w:t xml:space="preserve">2.   Šios direktyvos įgyvendinimas jokiomis aplinkybėmis nėra pagrindas mažinti apsaugos nuo diskriminacijos lygį, valstybių narių jau užtikrintą srityse, kurioms taikomos direktyvos </w:t>
                </w:r>
                <w:fldSimple w:instr="HYPERLINK http://eur-lex.europa.eu/legal-content/LIT/TXT/?uri=CELEX:31979L0007&amp;locale=lt \t _blank">
                  <w:r>
                    <w:rPr>
                      <w:color w:val="0000FF" w:themeColor="hyperlink"/>
                      <w:lang w:eastAsia="lt-LT"/>
                      <w:u w:val="single"/>
                    </w:rPr>
                    <w:t>79/7/EEB</w:t>
                  </w:r>
                </w:fldSimple>
                <w:r>
                  <w:rPr>
                    <w:color w:val="000000"/>
                    <w:lang w:eastAsia="lt-LT"/>
                  </w:rPr>
                  <w:t xml:space="preserve">,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w:t>
                </w:r>
                <w:fldSimple w:instr="HYPERLINK http://eur-lex.europa.eu/legal-content/LIT/TXT/?uri=CELEX:32000L0078&amp;locale=lt \t _blank">
                  <w:r>
                    <w:rPr>
                      <w:color w:val="0000FF" w:themeColor="hyperlink"/>
                      <w:lang w:eastAsia="lt-LT"/>
                      <w:u w:val="single"/>
                    </w:rPr>
                    <w:t>2000/78/EB</w:t>
                  </w:r>
                </w:fldSimple>
                <w:r>
                  <w:rPr>
                    <w:color w:val="000000"/>
                    <w:lang w:eastAsia="lt-LT"/>
                  </w:rPr>
                  <w:t xml:space="preserve"> ir </w:t>
                </w:r>
                <w:fldSimple w:instr="HYPERLINK http://eur-lex.europa.eu/legal-content/LIT/TXT/?uri=CELEX:32004L0113&amp;locale=lt \t _blank">
                  <w:r>
                    <w:rPr>
                      <w:color w:val="0000FF" w:themeColor="hyperlink"/>
                      <w:lang w:eastAsia="lt-LT"/>
                      <w:u w:val="single"/>
                    </w:rPr>
                    <w:t>2004/113/EB</w:t>
                  </w:r>
                </w:fldSimple>
                <w:r>
                  <w:rPr>
                    <w:color w:val="000000"/>
                    <w:lang w:eastAsia="lt-LT"/>
                  </w:rPr>
                  <w:t>.</w:t>
                </w:r>
              </w:p>
              <w:p>
                <w:pPr>
                  <w:shd w:val="clear" w:color="auto" w:fill="FFFFFF"/>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21 straipsnis</w:t>
                </w:r>
              </w:p>
              <w:p>
                <w:pPr>
                  <w:shd w:val="clear" w:color="auto" w:fill="FFFFFF"/>
                  <w:jc w:val="both"/>
                  <w:rPr>
                    <w:b/>
                    <w:bCs/>
                    <w:color w:val="000000"/>
                    <w:lang w:eastAsia="lt-LT"/>
                  </w:rPr>
                </w:pPr>
                <w:r>
                  <w:rPr>
                    <w:b/>
                    <w:bCs/>
                    <w:color w:val="000000"/>
                    <w:lang w:eastAsia="lt-LT"/>
                  </w:rPr>
                  <w:t>Asmens duomenų tvarkymas</w:t>
                </w:r>
              </w:p>
              <w:p>
                <w:pPr>
                  <w:shd w:val="clear" w:color="auto" w:fill="FFFFFF"/>
                  <w:jc w:val="both"/>
                  <w:rPr>
                    <w:color w:val="000000"/>
                    <w:lang w:eastAsia="lt-LT"/>
                  </w:rPr>
                </w:pPr>
                <w:r>
                  <w:rPr>
                    <w:color w:val="000000"/>
                    <w:lang w:eastAsia="lt-LT"/>
                  </w:rPr>
                  <w:t>1.   Valstybės narės užtikrina, kad lygybės įstaigos asmens duomenis galėtų rinkti ir tvarkyti tik jei to reikia užduočiai pagal šią direktyvą atlikti.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pPr>
                <w: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pPr>
                  <w:jc w:val="both"/>
                  <w:rPr>
                    <w:b/>
                    <w:bCs/>
                  </w:rPr>
                </w:pPr>
                <w:r>
                  <w:rPr>
                    <w:b/>
                    <w:bCs/>
                  </w:rPr>
                  <w:t>&lt;...&gt;</w:t>
                </w:r>
              </w:p>
              <w:p>
                <w:pPr>
                  <w:jc w:val="both"/>
                  <w:rPr>
                    <w:b/>
                    <w:bCs/>
                  </w:rPr>
                </w:pPr>
                <w:r>
                  <w:rPr>
                    <w:b/>
                    <w:bCs/>
                  </w:rPr>
                  <w:t xml:space="preserve">30 straipsnis. Lygių galimybių kontrolieriaus reikalavimų ir sprendimų privalomumas  </w:t>
                </w:r>
              </w:p>
              <w:p>
                <w:pPr>
                  <w:jc w:val="both"/>
                  <w:rPr>
                    <w:b/>
                    <w:bCs/>
                  </w:rPr>
                </w:pPr>
                <w:r>
                  <w:rPr>
                    <w:b/>
                    <w:bCs/>
                  </w:rPr>
                  <w:t>1.Lygių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&lt;...&gt;</w:t>
                </w:r>
              </w:p>
              <w:p>
                <w:pPr>
                  <w:jc w:val="both"/>
                  <w:rPr>
                    <w:b/>
                  </w:rPr>
                </w:pPr>
                <w:r>
                  <w:rPr>
                    <w:b/>
                  </w:rPr>
                  <w:t>18 straipsnis. Lygių galimybių kontrolieriaus veiklos viešumas</w:t>
                </w:r>
              </w:p>
              <w:p>
                <w:pPr>
                  <w:jc w:val="both"/>
                  <w:rPr>
                    <w:b/>
                  </w:rPr>
                </w:pPr>
                <w:r>
                  <w:rPr>
                    <w:b/>
                  </w:rPr>
                  <w:t>1. Lygių galimybių kontrolierius informaciją apie skundo tyrimą visuomenės informavimo priemonėms teikia tik pareiškėjui sutikus.</w:t>
                </w:r>
              </w:p>
              <w:p>
                <w:pPr>
                  <w:jc w:val="both"/>
                  <w:rPr>
                    <w:b/>
                  </w:rPr>
                </w:pPr>
                <w:r>
                  <w:rPr>
                    <w:b/>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rPr>
                </w:pPr>
              </w:p>
              <w:p>
                <w:pPr>
                  <w:jc w:val="both"/>
                  <w:rPr>
                    <w:b/>
                  </w:rPr>
                </w:pPr>
                <w:r>
                  <w:rPr>
                    <w:b/>
                  </w:rPr>
                  <w:t xml:space="preserve">32 straipsnis. Asmens duomenų apsauga </w:t>
                </w:r>
              </w:p>
              <w:p>
                <w:pPr>
                  <w:jc w:val="both"/>
                  <w:rPr>
                    <w:b/>
                  </w:rPr>
                </w:pPr>
                <w:r>
                  <w:rPr>
                    <w:b/>
                  </w:rPr>
                  <w:t xml:space="preserve">1. Įgyvendinant šį įstatymą, asmens duomenys, įskaitant specialiųjų kategorijų asmens duomenis, tvarkomi vadovaujantis 2016 m. balandžio 27 d. Europos Parlamento ir Tarybos reglamentu </w:t>
                </w:r>
                <w:fldSimple w:instr="HYPERLINK http://eur-lex.europa.eu/legal-content/LIT/TXT/?uri=CELEX:32016R0679&amp;locale=lt \t _blank">
                  <w:r>
                    <w:rPr>
                      <w:b/>
                      <w:u w:val="single"/>
                      <w:color w:val="0000FF" w:themeColor="hyperlink"/>
                    </w:rPr>
                    <w:t>(ES) 2016/679</w:t>
                  </w:r>
                </w:fldSimple>
                <w:r>
                  <w:rPr>
                    <w:b/>
                  </w:rPr>
                  <w:t xml:space="preserve"> dėl fizinių asmenų apsaugos tvarkant asmens duomenis ir dėl laisvo tokių duomenų judėjimo ir kuriuo panaikinama Direktyva </w:t>
                </w:r>
                <w:fldSimple w:instr="HYPERLINK http://eur-lex.europa.eu/legal-content/LIT/TXT/?uri=CELEX:31995L0046&amp;locale=lt \t _blank">
                  <w:r>
                    <w:rPr>
                      <w:b/>
                      <w:u w:val="single"/>
                      <w:color w:val="0000FF" w:themeColor="hyperlink"/>
                    </w:rPr>
                    <w:t>95/46/EB</w:t>
                  </w:r>
                </w:fldSimple>
                <w:r>
                  <w:rPr>
                    <w:b/>
                  </w:rPr>
                  <w:t xml:space="preserve"> (Bendrasis duomenų apsaugos reglamentas), šiuo įstatymu, Lietuvos Respublikos asmens duomenų teisinės apsaugos įstatymu ir kitais teisės aktais, reglamentuojančiais asmens duomenų apsaugą ir tvarkymą.</w:t>
                </w:r>
              </w:p>
              <w:p>
                <w:pPr>
                  <w:jc w:val="both"/>
                  <w:rPr>
                    <w:b/>
                  </w:rPr>
                </w:pPr>
                <w:r>
                  <w:rPr>
                    <w:b/>
                  </w:rPr>
                  <w:t>2. Asmens duomenis tvarkantis subjektas užtikrina, kad jie būtų tvarkomi išimtinai siekiant formuoti ir įgyvendinti valstybės lygių galimybių politiką, nagrinėti skundus, organizuoti ikiteisminio ginčų sprendimo procedūras ir ginti viešąjį interesą lygių galimybių srityje.</w:t>
                </w:r>
              </w:p>
              <w:p>
                <w:pPr>
                  <w:jc w:val="both"/>
                  <w:rPr>
                    <w:b/>
                  </w:rPr>
                </w:pPr>
                <w:r>
                  <w:rPr>
                    <w:b/>
                  </w:rPr>
                  <w:t xml:space="preserve">3. Įgyvendinant šį įstatymą, asmens duomenys, įskaitant specialiųjų kategorijų asmens duomenis, nurodytus Reglamento </w:t>
                </w:r>
                <w:fldSimple w:instr="HYPERLINK http://eur-lex.europa.eu/legal-content/LIT/TXT/?uri=CELEX:32016R0679&amp;locale=lt \t _blank">
                  <w:r>
                    <w:rPr>
                      <w:b/>
                      <w:u w:val="single"/>
                      <w:color w:val="0000FF" w:themeColor="hyperlink"/>
                    </w:rPr>
                    <w:t>(ES) 2016/679</w:t>
                  </w:r>
                </w:fldSimple>
                <w:r>
                  <w:rPr>
                    <w:b/>
                  </w:rPr>
                  <w:t xml:space="preserve"> 9 straipsnio 1 dalyje, tvarkomi duomenų valdytojui taikant šias duomenų subjekto pagrindinių teisių ir teisėtų interesų apsaugos priemones: </w:t>
                </w:r>
              </w:p>
              <w:p>
                <w:pPr>
                  <w:jc w:val="both"/>
                  <w:rPr>
                    <w:b/>
                  </w:rPr>
                </w:pPr>
                <w:r>
                  <w:rPr>
                    <w:b/>
                  </w:rPr>
                  <w:t xml:space="preserve">1) duomenų subjektui suteikiama išsami informacija apie jo asmens duomenų tvarkymą pagal Reglamento </w:t>
                </w:r>
                <w:fldSimple w:instr="HYPERLINK http://eur-lex.europa.eu/legal-content/LIT/TXT/?uri=CELEX:32016R0679&amp;locale=lt \t _blank">
                  <w:r>
                    <w:rPr>
                      <w:b/>
                      <w:u w:val="single"/>
                      <w:color w:val="0000FF" w:themeColor="hyperlink"/>
                    </w:rPr>
                    <w:t>(ES) 2016/679</w:t>
                  </w:r>
                </w:fldSimple>
                <w:r>
                  <w:rPr>
                    <w:b/>
                  </w:rPr>
                  <w:t xml:space="preserve"> 13 ir 14 straipsniuose išdėstytus reikalavimus;</w:t>
                </w:r>
              </w:p>
              <w:p>
                <w:pPr>
                  <w:jc w:val="both"/>
                  <w:rPr>
                    <w:b/>
                  </w:rPr>
                </w:pPr>
                <w:r>
                  <w:rPr>
                    <w:b/>
                  </w:rPr>
                  <w:t>2) užtikrinama prieigos prie asmens duomenų apsauga, valdymas ir kontrolė. Prieiga prie asmens duomenų gali būti suteikiama tik tiems valstybės tarnautojams ir darbuotojams, kuriems asmens duomenys būtini jų funkcijoms atlikti;</w:t>
                </w:r>
              </w:p>
              <w:p>
                <w:pPr>
                  <w:jc w:val="both"/>
                  <w:rPr>
                    <w:b/>
                  </w:rPr>
                </w:pPr>
                <w:r>
                  <w:rPr>
                    <w:b/>
                  </w:rPr>
                  <w:t>3) asmens duomenis tvarkantys asmenys yra įsipareigoję saugoti paslaptį arba laikytis konfidencialumo reikalavimų;</w:t>
                </w:r>
              </w:p>
              <w:p>
                <w:pPr>
                  <w:jc w:val="both"/>
                  <w:rPr>
                    <w:b/>
                  </w:rPr>
                </w:pPr>
                <w:r>
                  <w:rPr>
                    <w:b/>
                  </w:rPr>
                  <w:t xml:space="preserve">4) įgyvendinamos tinkamos ir konkrečios techninės bei organizacinės apsaugos priemonės, skirtos šiems asmens duomenims apsaugoti nuo atsitiktinio ar neteisėto asmens duomenų sunaikinimo, pakeitimo, atskleidimo ar kitokio neteisėto tvarkymo. </w:t>
                </w:r>
              </w:p>
              <w:p>
                <w:pPr>
                  <w:jc w:val="both"/>
                  <w:rPr>
                    <w:b/>
                  </w:rPr>
                </w:pPr>
                <w:r>
                  <w:rPr>
                    <w:b/>
                  </w:rPr>
                  <w:t xml:space="preserve">4. Duomenų subjekto teisės įgyvendinamos duomenų valdytojo, į kurį kreipiamasi dėl duomenų subjekto teisių įgyvendinimo, nustatyta tvarka, vadovaujantis Reglamentu </w:t>
                </w:r>
                <w:fldSimple w:instr="HYPERLINK http://eur-lex.europa.eu/legal-content/LIT/TXT/?uri=CELEX:32016R0679&amp;locale=lt \t _blank">
                  <w:r>
                    <w:rPr>
                      <w:b/>
                      <w:u w:val="single"/>
                      <w:color w:val="0000FF" w:themeColor="hyperlink"/>
                    </w:rPr>
                    <w:t>(ES) 2016/679</w:t>
                  </w:r>
                </w:fldSimple>
                <w:r>
                  <w:rPr>
                    <w:b/>
                  </w:rPr>
                  <w:t>.</w:t>
                </w:r>
              </w:p>
              <w:p>
                <w:pPr>
                  <w:jc w:val="both"/>
                  <w:rPr>
                    <w:b/>
                  </w:rPr>
                </w:pPr>
                <w:r>
                  <w:rPr>
                    <w:b/>
                  </w:rPr>
                  <w:t>5. Dokumentai saugomi Lietuvos Respublikos dokumentų ir archyvų įstatymo nustatyta tvarka.</w:t>
                </w:r>
              </w:p>
            </w:tc>
            <w:tc>
              <w:tcPr>
                <w:tcW w:w="1792" w:type="dxa"/>
              </w:tcPr>
              <w:p>
                <w:pPr>
                  <w:rPr>
                    <w:b/>
                    <w:bCs/>
                  </w:rPr>
                </w:pPr>
                <w:r>
                  <w:rPr>
                    <w:b/>
                    <w:bCs/>
                  </w:rPr>
                  <w:t>Visiškas</w:t>
                </w:r>
              </w:p>
            </w:tc>
          </w:tr>
          <w:tr>
            <w:tc>
              <w:tcPr>
                <w:tcW w:w="6371" w:type="dxa"/>
              </w:tcPr>
              <w:p>
                <w:pPr>
                  <w:shd w:val="clear" w:color="auto" w:fill="FFFFFF"/>
                  <w:jc w:val="both"/>
                  <w:rPr>
                    <w:color w:val="000000"/>
                    <w:lang w:eastAsia="lt-LT"/>
                  </w:rPr>
                </w:pPr>
                <w:r>
                  <w:rPr>
                    <w:color w:val="000000"/>
                    <w:lang w:eastAsia="lt-LT"/>
                  </w:rPr>
                  <w:t xml:space="preserve">2.   Valstybės narės užtikrina, kad lygybės įstaigoms tvarkant specialių kategorijų asmens duomenis, nurodytus Reglamento </w:t>
                </w:r>
                <w:fldSimple w:instr="HYPERLINK http://eur-lex.europa.eu/legal-content/LIT/TXT/?uri=CELEX:32016R0679&amp;locale=lt \t _blank">
                  <w:r>
                    <w:rPr>
                      <w:color w:val="0000FF" w:themeColor="hyperlink"/>
                      <w:lang w:eastAsia="lt-LT"/>
                      <w:u w:val="single"/>
                    </w:rPr>
                    <w:t>(ES) 2016/679</w:t>
                  </w:r>
                </w:fldSimple>
                <w:r>
                  <w:rPr>
                    <w:color w:val="000000"/>
                    <w:lang w:eastAsia="lt-LT"/>
                  </w:rPr>
                  <w:t xml:space="preserve"> 9 straipsnio 1 dalyje, būtų taikomos tinkamos ir konkrečios priemonės duomenų subjekto pagrindinėms teisėms ir interesams apsaugoti.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rPr>
                </w:pPr>
                <w:r>
                  <w:rPr>
                    <w:b/>
                  </w:rPr>
                  <w:t xml:space="preserve">32 straipsnis. Asmens duomenų apsauga </w:t>
                </w:r>
              </w:p>
              <w:p>
                <w:pPr>
                  <w:jc w:val="both"/>
                  <w:rPr>
                    <w:b/>
                  </w:rPr>
                </w:pPr>
                <w:r>
                  <w:rPr>
                    <w:b/>
                  </w:rPr>
                  <w:t xml:space="preserve">1. Įgyvendinant šį įstatymą, asmens duomenys, įskaitant specialiųjų kategorijų asmens duomenis, tvarkomi vadovaujantis 2016 m. balandžio 27 d. Europos Parlamento ir Tarybos reglamentu </w:t>
                </w:r>
                <w:fldSimple w:instr="HYPERLINK http://eur-lex.europa.eu/legal-content/LIT/TXT/?uri=CELEX:32016R0679&amp;locale=lt \t _blank">
                  <w:r>
                    <w:rPr>
                      <w:b/>
                      <w:u w:val="single"/>
                      <w:color w:val="0000FF" w:themeColor="hyperlink"/>
                    </w:rPr>
                    <w:t>(ES) 2016/679</w:t>
                  </w:r>
                </w:fldSimple>
                <w:r>
                  <w:rPr>
                    <w:b/>
                  </w:rPr>
                  <w:t xml:space="preserve"> dėl fizinių asmenų apsaugos tvarkant asmens duomenis ir dėl laisvo tokių duomenų judėjimo ir kuriuo panaikinama Direktyva </w:t>
                </w:r>
                <w:fldSimple w:instr="HYPERLINK http://eur-lex.europa.eu/legal-content/LIT/TXT/?uri=CELEX:31995L0046&amp;locale=lt \t _blank">
                  <w:r>
                    <w:rPr>
                      <w:b/>
                      <w:u w:val="single"/>
                      <w:color w:val="0000FF" w:themeColor="hyperlink"/>
                    </w:rPr>
                    <w:t>95/46/EB</w:t>
                  </w:r>
                </w:fldSimple>
                <w:r>
                  <w:rPr>
                    <w:b/>
                  </w:rPr>
                  <w:t xml:space="preserve"> (Bendrasis duomenų apsaugos reglamentas), šiuo įstatymu, Lietuvos Respublikos asmens duomenų teisinės apsaugos įstatymu ir kitais teisės aktais, reglamentuojančiais asmens duomenų apsaugą ir tvarkymą.</w:t>
                </w:r>
              </w:p>
              <w:p>
                <w:pPr>
                  <w:jc w:val="both"/>
                  <w:rPr>
                    <w:b/>
                  </w:rPr>
                </w:pPr>
                <w:r>
                  <w:rPr>
                    <w:b/>
                  </w:rPr>
                  <w:t>2. Asmens duomenis tvarkantis subjektas užtikrina, kad jie būtų tvarkomi išimtinai siekiant formuoti ir įgyvendinti valstybės lygių galimybių politiką, nagrinėti skundus, organizuoti ikiteisminio ginčų sprendimo procedūras ir ginti viešąjį interesą lygių galimybių srityje.</w:t>
                </w:r>
              </w:p>
              <w:p>
                <w:pPr>
                  <w:jc w:val="both"/>
                  <w:rPr>
                    <w:b/>
                  </w:rPr>
                </w:pPr>
                <w:r>
                  <w:rPr>
                    <w:b/>
                  </w:rPr>
                  <w:t xml:space="preserve">3. Įgyvendinant šį įstatymą, asmens duomenys, įskaitant specialiųjų kategorijų asmens duomenis, nurodytus Reglamento </w:t>
                </w:r>
                <w:fldSimple w:instr="HYPERLINK http://eur-lex.europa.eu/legal-content/LIT/TXT/?uri=CELEX:32016R0679&amp;locale=lt \t _blank">
                  <w:r>
                    <w:rPr>
                      <w:b/>
                      <w:u w:val="single"/>
                      <w:color w:val="0000FF" w:themeColor="hyperlink"/>
                    </w:rPr>
                    <w:t>(ES) 2016/679</w:t>
                  </w:r>
                </w:fldSimple>
                <w:r>
                  <w:rPr>
                    <w:b/>
                  </w:rPr>
                  <w:t xml:space="preserve"> 9 straipsnio 1 dalyje, tvarkomi duomenų valdytojui taikant šias duomenų subjekto pagrindinių teisių ir teisėtų interesų apsaugos priemones: </w:t>
                </w:r>
              </w:p>
              <w:p>
                <w:pPr>
                  <w:jc w:val="both"/>
                  <w:rPr>
                    <w:b/>
                  </w:rPr>
                </w:pPr>
                <w:r>
                  <w:rPr>
                    <w:b/>
                  </w:rPr>
                  <w:t xml:space="preserve">1) duomenų subjektui suteikiama išsami informacija apie jo asmens duomenų tvarkymą pagal Reglamento </w:t>
                </w:r>
                <w:fldSimple w:instr="HYPERLINK http://eur-lex.europa.eu/legal-content/LIT/TXT/?uri=CELEX:32016R0679&amp;locale=lt \t _blank">
                  <w:r>
                    <w:rPr>
                      <w:b/>
                      <w:u w:val="single"/>
                      <w:color w:val="0000FF" w:themeColor="hyperlink"/>
                    </w:rPr>
                    <w:t>(ES) 2016/679</w:t>
                  </w:r>
                </w:fldSimple>
                <w:r>
                  <w:rPr>
                    <w:b/>
                  </w:rPr>
                  <w:t xml:space="preserve"> 13 ir 14 straipsniuose išdėstytus reikalavimus;</w:t>
                </w:r>
              </w:p>
              <w:p>
                <w:pPr>
                  <w:jc w:val="both"/>
                  <w:rPr>
                    <w:b/>
                  </w:rPr>
                </w:pPr>
                <w:r>
                  <w:rPr>
                    <w:b/>
                  </w:rPr>
                  <w:t>2) užtikrinama prieigos prie asmens duomenų apsauga, valdymas ir kontrolė. Prieiga prie asmens duomenų gali būti suteikiama tik tiems valstybės tarnautojams ir darbuotojams, kuriems asmens duomenys būtini jų funkcijoms atlikti;</w:t>
                </w:r>
              </w:p>
              <w:p>
                <w:pPr>
                  <w:jc w:val="both"/>
                  <w:rPr>
                    <w:b/>
                  </w:rPr>
                </w:pPr>
                <w:r>
                  <w:rPr>
                    <w:b/>
                  </w:rPr>
                  <w:t>3) asmens duomenis tvarkantys asmenys yra įsipareigoję saugoti paslaptį arba laikytis konfidencialumo reikalavimų;</w:t>
                </w:r>
              </w:p>
              <w:p>
                <w:pPr>
                  <w:jc w:val="both"/>
                  <w:rPr>
                    <w:b/>
                  </w:rPr>
                </w:pPr>
                <w:r>
                  <w:rPr>
                    <w:b/>
                  </w:rPr>
                  <w:t xml:space="preserve">4) įgyvendinamos tinkamos ir konkrečios techninės bei organizacinės apsaugos priemonės, skirtos šiems asmens duomenims apsaugoti nuo atsitiktinio ar neteisėto asmens duomenų sunaikinimo, pakeitimo, atskleidimo ar kitokio neteisėto tvarkymo. </w:t>
                </w:r>
              </w:p>
              <w:p>
                <w:pPr>
                  <w:jc w:val="both"/>
                  <w:rPr>
                    <w:b/>
                  </w:rPr>
                </w:pPr>
                <w:r>
                  <w:rPr>
                    <w:b/>
                  </w:rPr>
                  <w:t xml:space="preserve">4. Duomenų subjekto teisės įgyvendinamos duomenų valdytojo, į kurį kreipiamasi dėl duomenų subjekto teisių įgyvendinimo, nustatyta tvarka, vadovaujantis Reglamentu </w:t>
                </w:r>
                <w:fldSimple w:instr="HYPERLINK http://eur-lex.europa.eu/legal-content/LIT/TXT/?uri=CELEX:32016R0679&amp;locale=lt \t _blank">
                  <w:r>
                    <w:rPr>
                      <w:b/>
                      <w:u w:val="single"/>
                      <w:color w:val="0000FF" w:themeColor="hyperlink"/>
                    </w:rPr>
                    <w:t>(ES) 2016/679</w:t>
                  </w:r>
                </w:fldSimple>
                <w:r>
                  <w:rPr>
                    <w:b/>
                  </w:rPr>
                  <w:t>.</w:t>
                </w:r>
              </w:p>
              <w:p>
                <w:pPr>
                  <w:jc w:val="both"/>
                </w:pPr>
                <w:r>
                  <w:rPr>
                    <w:b/>
                  </w:rPr>
                  <w:t>5. Dokumentai saugomi Lietuvos Respublikos dokumentų ir archyvų įstatymo nustatyta tvarka.</w:t>
                </w:r>
              </w:p>
            </w:tc>
            <w:tc>
              <w:tcPr>
                <w:tcW w:w="1792" w:type="dxa"/>
              </w:tcPr>
              <w:p>
                <w:r>
                  <w:rPr>
                    <w:b/>
                    <w:bCs/>
                  </w:rPr>
                  <w:t>Visiškas</w:t>
                </w:r>
              </w:p>
            </w:tc>
          </w:tr>
          <w:tr>
            <w:tc>
              <w:tcPr>
                <w:tcW w:w="6371" w:type="dxa"/>
              </w:tcPr>
              <w:p>
                <w:pPr>
                  <w:shd w:val="clear" w:color="auto" w:fill="FFFFFF"/>
                  <w:jc w:val="both"/>
                  <w:rPr>
                    <w:b/>
                    <w:bCs/>
                    <w:color w:val="000000"/>
                    <w:lang w:eastAsia="lt-LT"/>
                  </w:rPr>
                </w:pPr>
                <w:r>
                  <w:rPr>
                    <w:b/>
                    <w:bCs/>
                    <w:color w:val="000000"/>
                    <w:lang w:eastAsia="lt-LT"/>
                  </w:rPr>
                  <w:t>22 straipsnis</w:t>
                </w:r>
              </w:p>
              <w:p>
                <w:pPr>
                  <w:shd w:val="clear" w:color="auto" w:fill="FFFFFF"/>
                  <w:jc w:val="both"/>
                  <w:rPr>
                    <w:b/>
                    <w:bCs/>
                    <w:color w:val="000000"/>
                    <w:lang w:eastAsia="lt-LT"/>
                  </w:rPr>
                </w:pPr>
                <w:r>
                  <w:rPr>
                    <w:b/>
                    <w:bCs/>
                    <w:color w:val="000000"/>
                    <w:lang w:eastAsia="lt-LT"/>
                  </w:rPr>
                  <w:t>Komiteto procedūra</w:t>
                </w:r>
              </w:p>
              <w:p>
                <w:pPr>
                  <w:shd w:val="clear" w:color="auto" w:fill="FFFFFF"/>
                  <w:jc w:val="both"/>
                  <w:rPr>
                    <w:color w:val="000000"/>
                    <w:lang w:eastAsia="lt-LT"/>
                  </w:rPr>
                </w:pPr>
                <w:r>
                  <w:rPr>
                    <w:color w:val="000000"/>
                    <w:lang w:eastAsia="lt-LT"/>
                  </w:rPr>
                  <w:t xml:space="preserve">1.   Komisijai padeda komitetas. Tas komitetas – tai komitetas, kaip tai suprantama Reglamente </w:t>
                </w:r>
                <w:fldSimple w:instr="HYPERLINK http://eur-lex.europa.eu/legal-content/LIT/TXT/?uri=CELEX:32011R0182&amp;locale=lt \t _blank">
                  <w:r>
                    <w:rPr>
                      <w:color w:val="0000FF" w:themeColor="hyperlink"/>
                      <w:lang w:eastAsia="lt-LT"/>
                      <w:u w:val="single"/>
                    </w:rPr>
                    <w:t>(ES) Nr. 182/2011</w:t>
                  </w:r>
                </w:fldSimple>
                <w:r>
                  <w:rPr>
                    <w:color w:val="000000"/>
                    <w:lang w:eastAsia="lt-LT"/>
                  </w:rPr>
                  <w:t>.</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 xml:space="preserve">2.   Kai daroma nuoroda į šią dalį, taikomas Reglamento </w:t>
                </w:r>
                <w:fldSimple w:instr="HYPERLINK http://eur-lex.europa.eu/legal-content/LIT/TXT/?uri=CELEX:32011R0182&amp;locale=lt \t _blank">
                  <w:r>
                    <w:rPr>
                      <w:color w:val="0000FF" w:themeColor="hyperlink"/>
                      <w:lang w:eastAsia="lt-LT"/>
                      <w:u w:val="single"/>
                    </w:rPr>
                    <w:t>(ES) Nr. 182/2011</w:t>
                  </w:r>
                </w:fldSimple>
                <w:r>
                  <w:rPr>
                    <w:color w:val="000000"/>
                    <w:lang w:eastAsia="lt-LT"/>
                  </w:rPr>
                  <w:t xml:space="preserve"> 5 straipsnis.</w:t>
                </w:r>
              </w:p>
              <w:p>
                <w:pPr>
                  <w:shd w:val="clear" w:color="auto" w:fill="FFFFFF"/>
                  <w:tabs>
                    <w:tab w:val="left" w:pos="1572"/>
                  </w:tabs>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23 straipsnis</w:t>
                </w:r>
              </w:p>
              <w:p>
                <w:pPr>
                  <w:shd w:val="clear" w:color="auto" w:fill="FFFFFF"/>
                  <w:jc w:val="both"/>
                  <w:rPr>
                    <w:b/>
                    <w:bCs/>
                    <w:color w:val="000000"/>
                    <w:lang w:eastAsia="lt-LT"/>
                  </w:rPr>
                </w:pPr>
                <w:r>
                  <w:rPr>
                    <w:b/>
                    <w:bCs/>
                    <w:color w:val="000000"/>
                    <w:lang w:eastAsia="lt-LT"/>
                  </w:rPr>
                  <w:t xml:space="preserve">Direktyvų </w:t>
                </w:r>
                <w:fldSimple w:instr="HYPERLINK http://eur-lex.europa.eu/legal-content/LIT/TXT/?uri=CELEX:32000L0043&amp;locale=lt \t _blank">
                  <w:r>
                    <w:rPr>
                      <w:b/>
                      <w:bCs/>
                      <w:color w:val="0000FF" w:themeColor="hyperlink"/>
                      <w:lang w:eastAsia="lt-LT"/>
                      <w:u w:val="single"/>
                    </w:rPr>
                    <w:t>2000/43/EB</w:t>
                  </w:r>
                </w:fldSimple>
                <w:r>
                  <w:rPr>
                    <w:b/>
                    <w:bCs/>
                    <w:color w:val="000000"/>
                    <w:lang w:eastAsia="lt-LT"/>
                  </w:rPr>
                  <w:t xml:space="preserve"> ir </w:t>
                </w:r>
                <w:fldSimple w:instr="HYPERLINK http://eur-lex.europa.eu/legal-content/LIT/TXT/?uri=CELEX:32004L0113&amp;locale=lt \t _blank">
                  <w:r>
                    <w:rPr>
                      <w:b/>
                      <w:bCs/>
                      <w:color w:val="0000FF" w:themeColor="hyperlink"/>
                      <w:lang w:eastAsia="lt-LT"/>
                      <w:u w:val="single"/>
                    </w:rPr>
                    <w:t>2004/113/EB</w:t>
                  </w:r>
                </w:fldSimple>
                <w:r>
                  <w:rPr>
                    <w:b/>
                    <w:bCs/>
                    <w:color w:val="000000"/>
                    <w:lang w:eastAsia="lt-LT"/>
                  </w:rPr>
                  <w:t xml:space="preserve"> pakeitimai</w:t>
                </w:r>
              </w:p>
              <w:p>
                <w:pPr>
                  <w:shd w:val="clear" w:color="auto" w:fill="FFFFFF"/>
                  <w:jc w:val="both"/>
                  <w:rPr>
                    <w:color w:val="000000"/>
                    <w:lang w:eastAsia="lt-LT"/>
                  </w:rPr>
                </w:pPr>
                <w:r>
                  <w:rPr>
                    <w:color w:val="000000"/>
                    <w:lang w:eastAsia="lt-LT"/>
                  </w:rPr>
                  <w:t xml:space="preserve">Direktyvos </w:t>
                </w:r>
                <w:fldSimple w:instr="HYPERLINK http://eur-lex.europa.eu/legal-content/LIT/TXT/?uri=CELEX:32000L0043&amp;locale=lt \t _blank">
                  <w:r>
                    <w:rPr>
                      <w:color w:val="0000FF" w:themeColor="hyperlink"/>
                      <w:lang w:eastAsia="lt-LT"/>
                      <w:u w:val="single"/>
                    </w:rPr>
                    <w:t>2000/43/EB</w:t>
                  </w:r>
                </w:fldSimple>
                <w:r>
                  <w:rPr>
                    <w:color w:val="000000"/>
                    <w:lang w:eastAsia="lt-LT"/>
                  </w:rPr>
                  <w:t xml:space="preserve"> III skyrius ir Direktyvos </w:t>
                </w:r>
                <w:fldSimple w:instr="HYPERLINK http://eur-lex.europa.eu/legal-content/LIT/TXT/?uri=CELEX:32004L0113&amp;locale=lt \t _blank">
                  <w:r>
                    <w:rPr>
                      <w:color w:val="0000FF" w:themeColor="hyperlink"/>
                      <w:lang w:eastAsia="lt-LT"/>
                      <w:u w:val="single"/>
                    </w:rPr>
                    <w:t>2004/113/EB</w:t>
                  </w:r>
                </w:fldSimple>
                <w:r>
                  <w:rPr>
                    <w:color w:val="000000"/>
                    <w:lang w:eastAsia="lt-LT"/>
                  </w:rPr>
                  <w:t xml:space="preserve"> III skyrius panaikinami. Nuorodos į tuose skyriuose nurodytas vienodą požiūrį skatinančias institucijas laikomos nuorodomis į šios direktyvos 2 straipsnio 1 dalyje nurodytas lygybės įstaigas.</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24 straipsnis</w:t>
                </w:r>
              </w:p>
              <w:p>
                <w:pPr>
                  <w:shd w:val="clear" w:color="auto" w:fill="FFFFFF"/>
                  <w:jc w:val="both"/>
                  <w:rPr>
                    <w:b/>
                    <w:bCs/>
                    <w:color w:val="000000"/>
                    <w:lang w:eastAsia="lt-LT"/>
                  </w:rPr>
                </w:pPr>
                <w:r>
                  <w:rPr>
                    <w:b/>
                    <w:bCs/>
                    <w:color w:val="000000"/>
                    <w:lang w:eastAsia="lt-LT"/>
                  </w:rPr>
                  <w:t>Perkėlimas į nacionalinę teisę</w:t>
                </w:r>
              </w:p>
              <w:p>
                <w:pPr>
                  <w:shd w:val="clear" w:color="auto" w:fill="FFFFFF"/>
                  <w:jc w:val="both"/>
                  <w:rPr>
                    <w:color w:val="000000"/>
                    <w:lang w:eastAsia="lt-LT"/>
                  </w:rPr>
                </w:pPr>
                <w:r>
                  <w:rPr>
                    <w:color w:val="000000"/>
                    <w:lang w:eastAsia="lt-LT"/>
                  </w:rPr>
                  <w:t>1.   Valstybės narės ne vėliau kaip 2026 m. birželio 19 d. užtikrina, kad įsigaliotų įstatymai ir kiti teisės aktai, būtini, kad būtų laikomasi šios direktyvos. Apie tai jos nedelsdamos praneša Komisijai.</w:t>
                </w:r>
              </w:p>
              <w:p>
                <w:pPr>
                  <w:shd w:val="clear" w:color="auto" w:fill="FFFFFF"/>
                  <w:jc w:val="both"/>
                  <w:rPr>
                    <w:color w:val="000000"/>
                    <w:lang w:eastAsia="lt-LT"/>
                  </w:rPr>
                </w:pPr>
                <w:r>
                  <w:rPr>
                    <w:color w:val="000000"/>
                    <w:lang w:eastAsia="lt-LT"/>
                  </w:rPr>
                  <w:t>Valstybės narės, priimdamos tas nuostatas, daro jose nuorodą į šią direktyvą arba tokia nuoroda daroma jas oficialiai skelbiant. Nuorodos darymo tvarką nustato valstybės narės.</w:t>
                </w:r>
              </w:p>
              <w:p>
                <w:pPr>
                  <w:shd w:val="clear" w:color="auto" w:fill="FFFFFF"/>
                  <w:jc w:val="both"/>
                  <w:rPr>
                    <w:color w:val="000000"/>
                    <w:lang w:eastAsia="lt-LT"/>
                  </w:rPr>
                </w:pPr>
              </w:p>
            </w:tc>
            <w:tc>
              <w:tcPr>
                <w:tcW w:w="5830" w:type="dxa"/>
              </w:tcPr>
              <w:p>
                <w:pPr>
                  <w:jc w:val="both"/>
                  <w:rPr>
                    <w:b/>
                  </w:rPr>
                </w:pPr>
                <w:r>
                  <w:rPr>
                    <w:b/>
                  </w:rPr>
                  <w:t>Projektas</w:t>
                </w:r>
              </w:p>
              <w:p>
                <w:pPr>
                  <w:jc w:val="right"/>
                  <w:rPr>
                    <w:b/>
                  </w:rPr>
                </w:pPr>
                <w:r>
                  <w:rPr>
                    <w:b/>
                  </w:rPr>
                  <w:t>Lietuvos Respublikos</w:t>
                </w:r>
              </w:p>
              <w:p>
                <w:pPr>
                  <w:jc w:val="right"/>
                  <w:rPr>
                    <w:b/>
                  </w:rPr>
                </w:pPr>
                <w:r>
                  <w:rPr>
                    <w:b/>
                  </w:rPr>
                  <w:t>lygių galimybių įstatymo</w:t>
                </w:r>
              </w:p>
              <w:p>
                <w:pPr>
                  <w:jc w:val="right"/>
                  <w:rPr>
                    <w:b/>
                  </w:rPr>
                </w:pPr>
                <w:r>
                  <w:rPr>
                    <w:b/>
                  </w:rPr>
                  <w:t>priedas</w:t>
                </w:r>
              </w:p>
              <w:p>
                <w:pPr>
                  <w:jc w:val="both"/>
                  <w:rPr>
                    <w:b/>
                  </w:rPr>
                </w:pPr>
              </w:p>
              <w:p>
                <w:pPr>
                  <w:jc w:val="center"/>
                  <w:rPr>
                    <w:b/>
                  </w:rPr>
                </w:pPr>
                <w:r>
                  <w:rPr>
                    <w:b/>
                  </w:rPr>
                  <w:t>ĮGYVENDINAMI EUROPOS SĄJUNGOS TEISĖS AKTAI</w:t>
                </w:r>
              </w:p>
              <w:p>
                <w:pPr>
                  <w:jc w:val="both"/>
                  <w:rPr>
                    <w:b/>
                  </w:rPr>
                </w:pPr>
              </w:p>
              <w:p>
                <w:pPr>
                  <w:jc w:val="both"/>
                  <w:rPr>
                    <w:b/>
                  </w:rPr>
                </w:pPr>
                <w:r>
                  <w:rPr>
                    <w:b/>
                  </w:rPr>
                  <w:t>&lt;...&gt;</w:t>
                </w:r>
              </w:p>
              <w:p>
                <w:pPr>
                  <w:jc w:val="both"/>
                  <w:rPr>
                    <w:b/>
                  </w:rPr>
                </w:pPr>
                <w:r>
                  <w:rPr>
                    <w:b/>
                  </w:rPr>
                  <w:t xml:space="preserve">9. 2024 m. gegužės 7 d. Tarybos direktyva </w:t>
                </w:r>
                <w:fldSimple w:instr="HYPERLINK http://eur-lex.europa.eu/legal-content/LIT/TXT/?uri=CELEX:32024L1499&amp;locale=lt \t _blank">
                  <w:r>
                    <w:rPr>
                      <w:b/>
                      <w:u w:val="single"/>
                      <w:color w:val="0000FF" w:themeColor="hyperlink"/>
                    </w:rPr>
                    <w:t>(ES) 2024/1499</w:t>
                  </w:r>
                </w:fldSimple>
                <w:r>
                  <w:rPr>
                    <w:b/>
                  </w:rPr>
                  <w:t xml:space="preserve"> dėl lygybės įstaigoms taikomų standartų vienodo požiūrio į asmenis, nepriklausomai nuo jų rasinės ar etninės kilmės, srityje, vienodo požiūrio į asmenis, nepriklausomai nuo jų religijos ar tikėjimo, negalios, amžiaus ar seksualinės orientacijos, užimtumo ir profesinėje srityje, vienodo požiūrio į moteris ir vyrus socialinės apsaugos srityje ir dėl galimybės naudotis prekėmis bei paslaugomis ir prekių tiekimo bei paslaugų teikimo, kuria iš dalies keičiamos direktyvos </w:t>
                </w:r>
                <w:fldSimple w:instr="HYPERLINK http://eur-lex.europa.eu/legal-content/LIT/TXT/?uri=CELEX:32000L0043&amp;locale=lt \t _blank">
                  <w:r>
                    <w:rPr>
                      <w:b/>
                      <w:u w:val="single"/>
                      <w:color w:val="0000FF" w:themeColor="hyperlink"/>
                    </w:rPr>
                    <w:t>2000/43/EB</w:t>
                  </w:r>
                </w:fldSimple>
                <w:r>
                  <w:rPr>
                    <w:b/>
                  </w:rPr>
                  <w:t xml:space="preserve"> ir </w:t>
                </w:r>
                <w:fldSimple w:instr="HYPERLINK http://eur-lex.europa.eu/legal-content/LIT/TXT/?uri=CELEX:32004L0113&amp;locale=lt \t _blank">
                  <w:r>
                    <w:rPr>
                      <w:b/>
                      <w:u w:val="single"/>
                      <w:color w:val="0000FF" w:themeColor="hyperlink"/>
                    </w:rPr>
                    <w:t>2004/113/EB</w:t>
                  </w:r>
                </w:fldSimple>
                <w:r>
                  <w:rPr>
                    <w:b/>
                  </w:rPr>
                  <w:t xml:space="preserve">. </w:t>
                </w:r>
              </w:p>
              <w:p>
                <w:pPr>
                  <w:jc w:val="both"/>
                  <w:rPr>
                    <w:b/>
                  </w:rPr>
                </w:pPr>
                <w:r>
                  <w:rPr>
                    <w:b/>
                  </w:rPr>
                  <w:t>&lt;...&gt;</w:t>
                </w:r>
              </w:p>
              <w:p>
                <w:pPr>
                  <w:jc w:val="center"/>
                  <w:rPr>
                    <w:b/>
                  </w:rPr>
                </w:pPr>
                <w:r>
                  <w:rPr>
                    <w:b/>
                  </w:rPr>
                  <w:t>________________</w:t>
                </w:r>
              </w:p>
              <w:p>
                <w:pPr>
                  <w:jc w:val="both"/>
                  <w:rPr>
                    <w:b/>
                  </w:rPr>
                </w:pPr>
              </w:p>
              <w:p>
                <w:pPr>
                  <w:jc w:val="both"/>
                  <w:rPr>
                    <w:b/>
                  </w:rPr>
                </w:pPr>
              </w:p>
              <w:p>
                <w:pPr>
                  <w:jc w:val="both"/>
                  <w:rPr>
                    <w:b/>
                  </w:rPr>
                </w:pPr>
                <w:r>
                  <w:rPr>
                    <w:b/>
                  </w:rPr>
                  <w:t xml:space="preserve">2 straipsnis. Įstatymo įsigaliojimas, įgyvendinimas ir taikymas </w:t>
                </w:r>
              </w:p>
              <w:p>
                <w:pPr>
                  <w:jc w:val="both"/>
                  <w:rPr>
                    <w:b/>
                  </w:rPr>
                </w:pPr>
                <w:r>
                  <w:rPr>
                    <w:b/>
                  </w:rPr>
                  <w:t xml:space="preserve">1. Šis įstatymas, išskyrus šio straipsnio 2 dalį, įsigalioja 2026 m. birželio 1 d. </w:t>
                </w:r>
              </w:p>
              <w:p>
                <w:pPr>
                  <w:jc w:val="both"/>
                  <w:rPr>
                    <w:b/>
                  </w:rPr>
                </w:pPr>
                <w:r>
                  <w:rPr>
                    <w:b/>
                  </w:rPr>
                  <w:t xml:space="preserve">2. Lietuvos Respublikos Seimas ir lygių galimybių kontrolierius iki 2026 m. gegužės 31 d. priima šio įstatymo įgyvendinamuosius teisės aktus. </w:t>
                </w:r>
              </w:p>
              <w:p>
                <w:pPr>
                  <w:jc w:val="both"/>
                </w:pPr>
                <w:r>
                  <w:t>&lt;...&gt;</w:t>
                </w:r>
              </w:p>
            </w:tc>
            <w:tc>
              <w:tcPr>
                <w:tcW w:w="1792" w:type="dxa"/>
              </w:tcPr>
              <w:p>
                <w:r>
                  <w:rPr>
                    <w:b/>
                    <w:bCs/>
                  </w:rPr>
                  <w:t>Visiškas</w:t>
                </w:r>
              </w:p>
            </w:tc>
          </w:tr>
          <w:tr>
            <w:tc>
              <w:tcPr>
                <w:tcW w:w="6371" w:type="dxa"/>
              </w:tcPr>
              <w:p>
                <w:pPr>
                  <w:shd w:val="clear" w:color="auto" w:fill="FFFFFF"/>
                  <w:jc w:val="both"/>
                  <w:rPr>
                    <w:color w:val="000000"/>
                    <w:lang w:eastAsia="lt-LT"/>
                  </w:rPr>
                </w:pPr>
                <w:r>
                  <w:rPr>
                    <w:color w:val="000000"/>
                    <w:lang w:eastAsia="lt-LT"/>
                  </w:rPr>
                  <w:t>2.   Valstybės narės pateikia Komisijai šios direktyvos taikymo srityje priimtų nacionalinės teisės aktų pagrindinių nuostatų tekstus.</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25 straipsnis</w:t>
                </w:r>
              </w:p>
              <w:p>
                <w:pPr>
                  <w:shd w:val="clear" w:color="auto" w:fill="FFFFFF"/>
                  <w:jc w:val="both"/>
                  <w:rPr>
                    <w:b/>
                    <w:bCs/>
                    <w:color w:val="000000"/>
                    <w:lang w:eastAsia="lt-LT"/>
                  </w:rPr>
                </w:pPr>
                <w:r>
                  <w:rPr>
                    <w:b/>
                    <w:bCs/>
                    <w:color w:val="000000"/>
                    <w:lang w:eastAsia="lt-LT"/>
                  </w:rPr>
                  <w:t>Įsigaliojimas</w:t>
                </w:r>
              </w:p>
              <w:p>
                <w:pPr>
                  <w:shd w:val="clear" w:color="auto" w:fill="FFFFFF"/>
                  <w:jc w:val="both"/>
                  <w:rPr>
                    <w:color w:val="000000"/>
                    <w:lang w:eastAsia="lt-LT"/>
                  </w:rPr>
                </w:pPr>
                <w:r>
                  <w:rPr>
                    <w:color w:val="000000"/>
                    <w:lang w:eastAsia="lt-LT"/>
                  </w:rPr>
                  <w:t>Ši direktyva įsigalioja dvidešimtą dieną po jos paskelbimo Europos Sąjungos oficialiajame leidinyje.</w:t>
                </w:r>
              </w:p>
              <w:p>
                <w:pPr>
                  <w:shd w:val="clear" w:color="auto" w:fill="FFFFFF"/>
                  <w:jc w:val="both"/>
                  <w:rPr>
                    <w:color w:val="000000"/>
                    <w:lang w:eastAsia="lt-LT"/>
                  </w:rPr>
                </w:pPr>
                <w:r>
                  <w:rPr>
                    <w:color w:val="000000"/>
                    <w:lang w:eastAsia="lt-LT"/>
                  </w:rPr>
                  <w:t>23 straipsnis taikomas nuo 2026 m. birželio 19 d</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26 straipsnis</w:t>
                </w:r>
              </w:p>
              <w:p>
                <w:pPr>
                  <w:shd w:val="clear" w:color="auto" w:fill="FFFFFF"/>
                  <w:jc w:val="both"/>
                  <w:rPr>
                    <w:b/>
                    <w:bCs/>
                    <w:color w:val="000000"/>
                    <w:lang w:eastAsia="lt-LT"/>
                  </w:rPr>
                </w:pPr>
                <w:r>
                  <w:rPr>
                    <w:b/>
                    <w:bCs/>
                    <w:color w:val="000000"/>
                    <w:lang w:eastAsia="lt-LT"/>
                  </w:rPr>
                  <w:t>Adresatai</w:t>
                </w:r>
              </w:p>
              <w:p>
                <w:pPr>
                  <w:shd w:val="clear" w:color="auto" w:fill="FFFFFF"/>
                  <w:jc w:val="both"/>
                  <w:rPr>
                    <w:color w:val="000000"/>
                    <w:lang w:eastAsia="lt-LT"/>
                  </w:rPr>
                </w:pPr>
                <w:r>
                  <w:rPr>
                    <w:color w:val="000000"/>
                    <w:lang w:eastAsia="lt-LT"/>
                  </w:rPr>
                  <w:t>Ši direktyva skirta valstybėms narėms.</w:t>
                </w:r>
              </w:p>
              <w:p>
                <w:pPr>
                  <w:shd w:val="clear" w:color="auto" w:fill="FFFFFF"/>
                  <w:tabs>
                    <w:tab w:val="left" w:pos="3948"/>
                  </w:tabs>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bl>
        <w:p>
          <w:pPr>
            <w:spacing w:line="278" w:lineRule="auto"/>
            <w:jc w:val="center"/>
            <w:rPr>
              <w:kern w:val="2"/>
              <w:szCs w:val="24"/>
            </w:rPr>
          </w:pPr>
        </w:p>
        <w:p>
          <w:pPr>
            <w:rPr>
              <w:sz w:val="14"/>
              <w:szCs w:val="14"/>
            </w:rPr>
          </w:pPr>
        </w:p>
      </w:sdtContent>
    </w:sdt>
    <w:sdt>
      <w:sdtPr>
        <w:alias w:val="pastraipa"/>
        <w:tag w:val="part_d219f44e89ef4893a1ec0a50f20fce4a"/>
        <w:lock w:val="sdtLocked"/>
        <w:richText/>
      </w:sdtPr>
      <w:sdtContent>
        <w:p>
          <w:pPr>
            <w:spacing w:line="278" w:lineRule="auto"/>
            <w:jc w:val="center"/>
            <w:rPr>
              <w:kern w:val="2"/>
              <w:szCs w:val="24"/>
            </w:rPr>
          </w:pPr>
          <w:r>
            <w:rPr>
              <w:kern w:val="2"/>
              <w:szCs w:val="24"/>
            </w:rPr>
            <w:t>__________________________</w:t>
          </w:r>
        </w:p>
      </w:sdtContent>
    </w:sdt>
    <w:sectPr>
      <w:headerReference w:type="default" r:id="rId7"/>
      <w:footerReference w:type="default" r:id="rId8"/>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B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8B3317-8F65-419D-9382-EAAA97AA15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5990033">
      <w:bodyDiv w:val="1"/>
      <w:marLeft w:val="0"/>
      <w:marRight w:val="0"/>
      <w:marTop w:val="0"/>
      <w:marBottom w:val="0"/>
      <w:divBdr>
        <w:top w:val="none" w:sz="0" w:space="0" w:color="auto"/>
        <w:left w:val="none" w:sz="0" w:space="0" w:color="auto"/>
        <w:bottom w:val="none" w:sz="0" w:space="0" w:color="auto"/>
        <w:right w:val="none" w:sz="0" w:space="0" w:color="auto"/>
      </w:divBdr>
      <w:divsChild>
        <w:div w:id="1200165775">
          <w:marLeft w:val="0"/>
          <w:marRight w:val="0"/>
          <w:marTop w:val="0"/>
          <w:marBottom w:val="0"/>
          <w:divBdr>
            <w:top w:val="none" w:sz="0" w:space="0" w:color="auto"/>
            <w:left w:val="none" w:sz="0" w:space="0" w:color="auto"/>
            <w:bottom w:val="none" w:sz="0" w:space="0" w:color="auto"/>
            <w:right w:val="none" w:sz="0" w:space="0" w:color="auto"/>
          </w:divBdr>
        </w:div>
        <w:div w:id="1321232770">
          <w:marLeft w:val="0"/>
          <w:marRight w:val="0"/>
          <w:marTop w:val="0"/>
          <w:marBottom w:val="0"/>
          <w:divBdr>
            <w:top w:val="none" w:sz="0" w:space="0" w:color="auto"/>
            <w:left w:val="none" w:sz="0" w:space="0" w:color="auto"/>
            <w:bottom w:val="none" w:sz="0" w:space="0" w:color="auto"/>
            <w:right w:val="none" w:sz="0" w:space="0" w:color="auto"/>
          </w:divBdr>
        </w:div>
        <w:div w:id="1355690038">
          <w:marLeft w:val="0"/>
          <w:marRight w:val="0"/>
          <w:marTop w:val="0"/>
          <w:marBottom w:val="0"/>
          <w:divBdr>
            <w:top w:val="none" w:sz="0" w:space="0" w:color="auto"/>
            <w:left w:val="none" w:sz="0" w:space="0" w:color="auto"/>
            <w:bottom w:val="none" w:sz="0" w:space="0" w:color="auto"/>
            <w:right w:val="none" w:sz="0" w:space="0" w:color="auto"/>
          </w:divBdr>
        </w:div>
        <w:div w:id="1746875271">
          <w:marLeft w:val="0"/>
          <w:marRight w:val="0"/>
          <w:marTop w:val="0"/>
          <w:marBottom w:val="0"/>
          <w:divBdr>
            <w:top w:val="none" w:sz="0" w:space="0" w:color="auto"/>
            <w:left w:val="none" w:sz="0" w:space="0" w:color="auto"/>
            <w:bottom w:val="none" w:sz="0" w:space="0" w:color="auto"/>
            <w:right w:val="none" w:sz="0" w:space="0" w:color="auto"/>
          </w:divBdr>
        </w:div>
      </w:divsChild>
    </w:div>
    <w:div w:id="1206480928">
      <w:bodyDiv w:val="1"/>
      <w:marLeft w:val="0"/>
      <w:marRight w:val="0"/>
      <w:marTop w:val="0"/>
      <w:marBottom w:val="0"/>
      <w:divBdr>
        <w:top w:val="none" w:sz="0" w:space="0" w:color="auto"/>
        <w:left w:val="none" w:sz="0" w:space="0" w:color="auto"/>
        <w:bottom w:val="none" w:sz="0" w:space="0" w:color="auto"/>
        <w:right w:val="none" w:sz="0" w:space="0" w:color="auto"/>
      </w:divBdr>
      <w:divsChild>
        <w:div w:id="598147080">
          <w:marLeft w:val="0"/>
          <w:marRight w:val="0"/>
          <w:marTop w:val="0"/>
          <w:marBottom w:val="0"/>
          <w:divBdr>
            <w:top w:val="none" w:sz="0" w:space="0" w:color="auto"/>
            <w:left w:val="none" w:sz="0" w:space="0" w:color="auto"/>
            <w:bottom w:val="none" w:sz="0" w:space="0" w:color="auto"/>
            <w:right w:val="none" w:sz="0" w:space="0" w:color="auto"/>
          </w:divBdr>
        </w:div>
        <w:div w:id="653293067">
          <w:marLeft w:val="0"/>
          <w:marRight w:val="0"/>
          <w:marTop w:val="0"/>
          <w:marBottom w:val="0"/>
          <w:divBdr>
            <w:top w:val="none" w:sz="0" w:space="0" w:color="auto"/>
            <w:left w:val="none" w:sz="0" w:space="0" w:color="auto"/>
            <w:bottom w:val="none" w:sz="0" w:space="0" w:color="auto"/>
            <w:right w:val="none" w:sz="0" w:space="0" w:color="auto"/>
          </w:divBdr>
        </w:div>
        <w:div w:id="758327471">
          <w:marLeft w:val="0"/>
          <w:marRight w:val="0"/>
          <w:marTop w:val="0"/>
          <w:marBottom w:val="0"/>
          <w:divBdr>
            <w:top w:val="none" w:sz="0" w:space="0" w:color="auto"/>
            <w:left w:val="none" w:sz="0" w:space="0" w:color="auto"/>
            <w:bottom w:val="none" w:sz="0" w:space="0" w:color="auto"/>
            <w:right w:val="none" w:sz="0" w:space="0" w:color="auto"/>
          </w:divBdr>
        </w:div>
        <w:div w:id="13787733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9faa9348e3f842b1bd61a3e940465e09" PartId="cbbc47f591ef42a4859a85dee703f58f"/>
  <Part Type="pastraipa" DocPartId="94ac3fc67f3e40f9b3bd953bb6e99479" PartId="d219f44e89ef4893a1ec0a50f20fce4a"/>
</Parts>
</file>

<file path=customXml/itemProps1.xml><?xml version="1.0" encoding="utf-8"?>
<ds:datastoreItem xmlns:ds="http://schemas.openxmlformats.org/officeDocument/2006/customXml" ds:itemID="{E2D7C929-D0B0-4D44-AC5E-B154449FB649}">
  <ds:schemaRefs>
    <ds:schemaRef ds:uri="http://schemas.openxmlformats.org/officeDocument/2006/bibliography"/>
  </ds:schemaRefs>
</ds:datastoreItem>
</file>

<file path=customXml/itemProps2.xml><?xml version="1.0" encoding="utf-8"?>
<ds:datastoreItem xmlns:ds="http://schemas.openxmlformats.org/officeDocument/2006/customXml" ds:itemID="{9392EE27-AB10-4365-BB50-ACF4AA306CAF}">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11313</Words>
  <Characters>80553</Characters>
  <Application>Microsoft Office Word</Application>
  <DocSecurity>4</DocSecurity>
  <Lines>2369</Lines>
  <Paragraphs>918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90948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Milda Janeikaitė</dc:creator>
  <lastModifiedBy>adlibuser</lastModifiedBy>
  <dcterms:modified xsi:type="dcterms:W3CDTF">2026-03-05T11:33:00Z</dcterms:modified>
  <revision>2</revision>
</coreProperties>
</file>