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Metadata/LabelInfo.xml" ContentType="application/vnd.ms-office.classificationlabel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microsoft.com/office/2020/02/relationships/classificationlabels" Target="docMetadata/LabelInfo.xml"/>
  <Relationship Id="rId6"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3f27bb3c4b694b83a445098aa97058fb"/>
        <w:lock w:val="sdtLocked"/>
        <w:richText/>
      </w:sdtPr>
      <w:sdtContent>
        <w:p w14:paraId="130287FB" w14:textId="68158B8E">
          <w:pPr>
            <w:jc w:val="center"/>
            <w:rPr>
              <w:b/>
              <w:szCs w:val="24"/>
              <w:lang w:eastAsia="x-none"/>
            </w:rPr>
          </w:pPr>
          <w:r>
            <w:rPr>
              <w:b/>
              <w:szCs w:val="24"/>
              <w:lang w:eastAsia="x-none"/>
            </w:rPr>
            <w:t>DIREKTYVOS 2010/41/ES IR NACIONALINIŲ TEISĖS AKTŲ ATITIKTIES LENTELĖ</w:t>
          </w:r>
        </w:p>
        <w:p w14:paraId="63275570" w14:textId="77777777">
          <w:pPr>
            <w:jc w:val="center"/>
            <w:rPr>
              <w:b/>
              <w:szCs w:val="24"/>
              <w:lang w:val="x-none" w:eastAsia="x-none"/>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813"/>
            <w:gridCol w:w="6454"/>
            <w:gridCol w:w="1889"/>
          </w:tblGrid>
          <w:tr w14:paraId="2F3C2AD6" w14:textId="77777777">
            <w:trPr>
              <w:jc w:val="center"/>
            </w:trPr>
            <w:tc>
              <w:tcPr>
                <w:tcW w:w="5813" w:type="dxa"/>
                <w:tcBorders>
                  <w:top w:val="single" w:sz="4" w:space="0" w:color="auto"/>
                  <w:left w:val="single" w:sz="4" w:space="0" w:color="auto"/>
                  <w:bottom w:val="single" w:sz="4" w:space="0" w:color="auto"/>
                  <w:right w:val="single" w:sz="4" w:space="0" w:color="auto"/>
                </w:tcBorders>
              </w:tcPr>
              <w:p w14:paraId="77059ECC" w14:textId="77777777">
                <w:pPr>
                  <w:tabs>
                    <w:tab w:val="left" w:pos="1296"/>
                    <w:tab w:val="center" w:pos="4153"/>
                    <w:tab w:val="right" w:pos="8306"/>
                  </w:tabs>
                  <w:rPr>
                    <w:b/>
                    <w:szCs w:val="24"/>
                    <w:lang w:eastAsia="lt-LT"/>
                  </w:rPr>
                </w:pPr>
                <w:r>
                  <w:rPr>
                    <w:b/>
                    <w:szCs w:val="24"/>
                    <w:lang w:eastAsia="lt-LT"/>
                  </w:rPr>
                  <w:t xml:space="preserve">2010 m. liepos 7 d. Europos Parlamento ir Tarybos direktyva </w:t>
                </w:r>
                <w:fldSimple w:instr="HYPERLINK http://eur-lex.europa.eu/legal-content/LIT/TXT/?uri=CELEX:32010L0041&amp;locale=lt \t _blank">
                  <w:r>
                    <w:rPr>
                      <w:b/>
                      <w:szCs w:val="24"/>
                      <w:lang w:eastAsia="lt-LT"/>
                      <w:u w:val="single"/>
                      <w:color w:val="0000FF" w:themeColor="hyperlink"/>
                    </w:rPr>
                    <w:t>2010/41/ES</w:t>
                  </w:r>
                </w:fldSimple>
                <w:r>
                  <w:rPr>
                    <w:b/>
                    <w:szCs w:val="24"/>
                    <w:lang w:eastAsia="lt-LT"/>
                  </w:rPr>
                  <w:t xml:space="preserve"> dėl vienodo požiūrio į savarankiškai dirbančius vyrus ir moteris principo taikymo, kuria panaikinama Tarybos direktyva </w:t>
                </w:r>
                <w:fldSimple w:instr="HYPERLINK http://eur-lex.europa.eu/legal-content/LIT/TXT/?uri=CELEX:31986L0613&amp;locale=lt \t _blank">
                  <w:r>
                    <w:rPr>
                      <w:b/>
                      <w:szCs w:val="24"/>
                      <w:lang w:eastAsia="lt-LT"/>
                      <w:u w:val="single"/>
                      <w:color w:val="0000FF" w:themeColor="hyperlink"/>
                    </w:rPr>
                    <w:t>86/613/EEB</w:t>
                  </w:r>
                </w:fldSimple>
              </w:p>
              <w:p w14:paraId="2DA9F4A4" w14:textId="77777777">
                <w:pPr>
                  <w:tabs>
                    <w:tab w:val="left" w:pos="1296"/>
                    <w:tab w:val="center" w:pos="4153"/>
                    <w:tab w:val="right" w:pos="8306"/>
                  </w:tabs>
                  <w:jc w:val="both"/>
                  <w:rPr>
                    <w:b/>
                    <w:szCs w:val="24"/>
                    <w:lang w:eastAsia="lt-LT"/>
                  </w:rPr>
                </w:pPr>
              </w:p>
            </w:tc>
            <w:tc>
              <w:tcPr>
                <w:tcW w:w="6454" w:type="dxa"/>
                <w:tcBorders>
                  <w:top w:val="single" w:sz="4" w:space="0" w:color="auto"/>
                  <w:left w:val="single" w:sz="4" w:space="0" w:color="auto"/>
                  <w:bottom w:val="single" w:sz="4" w:space="0" w:color="auto"/>
                  <w:right w:val="single" w:sz="4" w:space="0" w:color="auto"/>
                </w:tcBorders>
              </w:tcPr>
              <w:p w14:paraId="6C1B0D38" w14:textId="203E4CAC">
                <w:pPr>
                  <w:tabs>
                    <w:tab w:val="left" w:pos="313"/>
                    <w:tab w:val="center" w:pos="4153"/>
                    <w:tab w:val="right" w:pos="8306"/>
                  </w:tabs>
                  <w:ind w:left="172" w:hanging="172"/>
                  <w:rPr>
                    <w:b/>
                    <w:szCs w:val="24"/>
                    <w:lang w:eastAsia="lt-LT"/>
                  </w:rPr>
                </w:pPr>
                <w:r>
                  <w:rPr>
                    <w:b/>
                    <w:szCs w:val="24"/>
                    <w:lang w:eastAsia="lt-LT"/>
                  </w:rPr>
                  <w:t>1.</w:t>
                  <w:tab/>
                  <w:t>Lietuvos Respublikos lygių galimybių įstatymo Nr. IX-1826 pakeitimo įstatymo projektas (toliau - Projektas)</w:t>
                </w:r>
              </w:p>
              <w:p w14:paraId="64D70EC9" w14:textId="77777777">
                <w:pPr>
                  <w:tabs>
                    <w:tab w:val="left" w:pos="1296"/>
                    <w:tab w:val="center" w:pos="4153"/>
                    <w:tab w:val="right" w:pos="8306"/>
                  </w:tabs>
                  <w:rPr>
                    <w:b/>
                    <w:szCs w:val="24"/>
                    <w:lang w:eastAsia="lt-LT"/>
                  </w:rPr>
                </w:pPr>
              </w:p>
              <w:p w14:paraId="295F0F29" w14:textId="21F66443">
                <w:pPr>
                  <w:tabs>
                    <w:tab w:val="left" w:pos="1296"/>
                    <w:tab w:val="center" w:pos="4153"/>
                    <w:tab w:val="right" w:pos="8306"/>
                  </w:tabs>
                  <w:rPr>
                    <w:szCs w:val="24"/>
                    <w:lang w:eastAsia="lt-LT"/>
                  </w:rPr>
                </w:pPr>
                <w:r>
                  <w:rPr>
                    <w:szCs w:val="24"/>
                    <w:lang w:eastAsia="lt-LT"/>
                  </w:rPr>
                  <w:t>2. Lietuvos Respublikos moterų ir vyrų lygių galimybių įstatymo Nr. VIII-947 1, 2, 9 straipsnių, priedo pakeitimo ir Įstatymo papildymo 6-1, 11-1 ir 20 straipsniais įstatymas Nr. XIV-3011(toliau – MVLG Nr. XIV-3011)</w:t>
                </w:r>
              </w:p>
              <w:p w14:paraId="3ED55F14" w14:textId="77777777">
                <w:pPr>
                  <w:tabs>
                    <w:tab w:val="left" w:pos="1296"/>
                    <w:tab w:val="center" w:pos="4153"/>
                    <w:tab w:val="right" w:pos="8306"/>
                  </w:tabs>
                  <w:jc w:val="center"/>
                  <w:rPr>
                    <w:b/>
                    <w:szCs w:val="24"/>
                    <w:lang w:eastAsia="lt-LT"/>
                  </w:rPr>
                </w:pPr>
              </w:p>
              <w:p w14:paraId="1AAD4B2C" w14:textId="02FB9720">
                <w:pPr>
                  <w:jc w:val="both"/>
                  <w:rPr>
                    <w:szCs w:val="24"/>
                    <w:lang w:eastAsia="lt-LT"/>
                  </w:rPr>
                </w:pPr>
                <w:r>
                  <w:rPr>
                    <w:szCs w:val="24"/>
                    <w:lang w:eastAsia="lt-LT"/>
                  </w:rPr>
                  <w:t>3. Lietuvos Respublikos valstybinio socialinio draudimo įstatymo Nr. I-1336 2 straipsnio pakeitimo įstatymas Nr. XIV-1302 (toliau – Valstybinio socialinio draudimo įstatymas Nr. XI-1302)</w:t>
                </w:r>
              </w:p>
              <w:p w14:paraId="0529A6B6" w14:textId="77777777">
                <w:pPr>
                  <w:jc w:val="both"/>
                  <w:rPr>
                    <w:szCs w:val="24"/>
                    <w:lang w:eastAsia="lt-LT"/>
                  </w:rPr>
                </w:pPr>
              </w:p>
              <w:p w14:paraId="29ED51C9" w14:textId="0EDC20F5">
                <w:pPr>
                  <w:tabs>
                    <w:tab w:val="left" w:pos="1296"/>
                    <w:tab w:val="center" w:pos="4153"/>
                    <w:tab w:val="right" w:pos="8306"/>
                  </w:tabs>
                  <w:jc w:val="both"/>
                  <w:rPr>
                    <w:szCs w:val="24"/>
                    <w:lang w:eastAsia="lt-LT"/>
                  </w:rPr>
                </w:pPr>
                <w:r>
                  <w:rPr>
                    <w:szCs w:val="24"/>
                    <w:lang w:eastAsia="lt-LT"/>
                  </w:rPr>
                  <w:t>4. Lietuvos Respublikos ūkininko ūkio įstatymo 1, 2, 9 straipsnių pakeitimo ir papildymo, ketvirtojo skirsnio pavadinimo pakeitimo bei įstatymo papildymo 8</w:t>
                </w:r>
                <w:r>
                  <w:rPr>
                    <w:szCs w:val="24"/>
                    <w:vertAlign w:val="superscript"/>
                    <w:lang w:eastAsia="lt-LT"/>
                  </w:rPr>
                  <w:t>1</w:t>
                </w:r>
                <w:r>
                  <w:rPr>
                    <w:szCs w:val="24"/>
                    <w:lang w:eastAsia="lt-LT"/>
                  </w:rPr>
                  <w:t>, 11 straipsniais įstatymas X-1420 (toliau - Ūkininko ūkio įstatymas Nr. X-1420)</w:t>
                </w:r>
              </w:p>
              <w:p w14:paraId="1067524E" w14:textId="77777777">
                <w:pPr>
                  <w:jc w:val="both"/>
                  <w:rPr>
                    <w:szCs w:val="24"/>
                    <w:lang w:eastAsia="lt-LT"/>
                  </w:rPr>
                </w:pPr>
              </w:p>
              <w:p w14:paraId="66CD3C59" w14:textId="474A94A1">
                <w:pPr>
                  <w:jc w:val="both"/>
                  <w:rPr>
                    <w:szCs w:val="24"/>
                    <w:lang w:eastAsia="lt-LT"/>
                  </w:rPr>
                </w:pPr>
                <w:r>
                  <w:rPr>
                    <w:szCs w:val="24"/>
                    <w:lang w:eastAsia="lt-LT"/>
                  </w:rPr>
                  <w:t>5. Lietuvos Respublikos gyventojų pajamų mokesčio įstatymas Nr. IX-1007 (Suvestinė redakcija nuo 2025-01-02 iki 2025-12-31) (toliau – Įstatymas Nr. IX-1007)</w:t>
                </w:r>
              </w:p>
              <w:p w14:paraId="6A90FD25" w14:textId="77777777">
                <w:pPr>
                  <w:tabs>
                    <w:tab w:val="left" w:pos="1296"/>
                    <w:tab w:val="center" w:pos="4153"/>
                    <w:tab w:val="right" w:pos="8306"/>
                  </w:tabs>
                  <w:rPr>
                    <w:b/>
                    <w:szCs w:val="24"/>
                    <w:lang w:eastAsia="lt-LT"/>
                  </w:rPr>
                </w:pPr>
              </w:p>
              <w:p w14:paraId="574C53F9" w14:textId="1334C404">
                <w:pPr>
                  <w:jc w:val="both"/>
                  <w:rPr>
                    <w:rFonts w:eastAsia="Calibri"/>
                    <w:bCs/>
                    <w:szCs w:val="24"/>
                  </w:rPr>
                </w:pPr>
                <w:r>
                  <w:rPr>
                    <w:rFonts w:eastAsia="Calibri"/>
                    <w:bCs/>
                    <w:szCs w:val="24"/>
                  </w:rPr>
                  <w:t>6. Lietuvos Respublikos Civilinio kodekso patvirtinimo, įsigaliojimo ir įgyvendinimo įstatymas Nr. VIII-1864 (toliau – Civilinis kodeksas)</w:t>
                </w:r>
              </w:p>
              <w:p w14:paraId="263E6800" w14:textId="77777777">
                <w:pPr>
                  <w:jc w:val="both"/>
                  <w:rPr>
                    <w:rFonts w:eastAsia="Calibri"/>
                    <w:bCs/>
                    <w:szCs w:val="24"/>
                  </w:rPr>
                </w:pPr>
              </w:p>
              <w:p w14:paraId="43289B18" w14:textId="70C878AD">
                <w:pPr>
                  <w:jc w:val="both"/>
                  <w:rPr>
                    <w:rFonts w:eastAsia="Calibri"/>
                    <w:bCs/>
                    <w:szCs w:val="24"/>
                  </w:rPr>
                </w:pPr>
                <w:r>
                  <w:rPr>
                    <w:rFonts w:eastAsia="Calibri"/>
                    <w:bCs/>
                    <w:szCs w:val="24"/>
                  </w:rPr>
                  <w:t>7. Lietuvos Respublikos civilinio kodekso 1.134 straipsnio papildymo ir pakeitimo įstatymas Nr. XI-1441 (toliau - Civilinio kodekso pakeitimas)</w:t>
                </w:r>
              </w:p>
              <w:p w14:paraId="4D278C1B" w14:textId="77777777">
                <w:pPr>
                  <w:jc w:val="both"/>
                  <w:rPr>
                    <w:rFonts w:eastAsia="Calibri"/>
                    <w:bCs/>
                    <w:szCs w:val="24"/>
                  </w:rPr>
                </w:pPr>
              </w:p>
              <w:p w14:paraId="233486CA" w14:textId="6A4C2319">
                <w:pPr>
                  <w:jc w:val="both"/>
                  <w:rPr>
                    <w:rFonts w:eastAsia="Calibri"/>
                    <w:szCs w:val="24"/>
                  </w:rPr>
                </w:pPr>
                <w:r>
                  <w:rPr>
                    <w:rFonts w:eastAsia="Calibri"/>
                    <w:szCs w:val="24"/>
                  </w:rPr>
                  <w:t>8. Lietuvos Respublikos civilinio kodekso 1.125, 6.228-1, 6.228-12, 6.228-14, 6.363, 6.364, 6.419 straipsnių ir priedo pakeitimo ir Kodekso papildymo 6.228-17, 6.228-18, 6.228-19, 6.228-20, 6.228-21, 6.228-22, 6.228-23, 6.228-24, 6.350-1, 6.364-1, 6.364-2, 6.364-3, 6.364-4 straipsniais įstatymas (toliau - Įstatymas Nr. XIV-466)</w:t>
                </w:r>
              </w:p>
              <w:p w14:paraId="07D2D26C" w14:textId="77777777">
                <w:pPr>
                  <w:tabs>
                    <w:tab w:val="left" w:pos="1296"/>
                    <w:tab w:val="center" w:pos="4153"/>
                    <w:tab w:val="right" w:pos="8306"/>
                  </w:tabs>
                  <w:jc w:val="both"/>
                  <w:rPr>
                    <w:bCs/>
                    <w:szCs w:val="24"/>
                    <w:lang w:eastAsia="lt-LT"/>
                  </w:rPr>
                </w:pPr>
              </w:p>
              <w:p w14:paraId="452E4979" w14:textId="7F4261C6">
                <w:pPr>
                  <w:jc w:val="both"/>
                  <w:rPr>
                    <w:rFonts w:eastAsia="Calibri"/>
                    <w:bCs/>
                    <w:szCs w:val="24"/>
                  </w:rPr>
                </w:pPr>
                <w:r>
                  <w:rPr>
                    <w:rFonts w:eastAsia="Calibri"/>
                    <w:bCs/>
                    <w:szCs w:val="24"/>
                  </w:rPr>
                  <w:t>9. Lietuvos Respublikos Civilinio proceso kodekso patvirtinimo, įsigaliojimo ir įgyvendinimo įstatymas Nr. IX-743 (Suvestinė redakcija nuo 2025-09-01 iki 2025-12-31) (toliau – Civilinio proceso kodeksas)</w:t>
                </w:r>
              </w:p>
              <w:p w14:paraId="47723904" w14:textId="77777777">
                <w:pPr>
                  <w:jc w:val="both"/>
                  <w:rPr>
                    <w:rFonts w:eastAsia="Calibri"/>
                    <w:bCs/>
                    <w:szCs w:val="24"/>
                  </w:rPr>
                </w:pPr>
              </w:p>
              <w:p w14:paraId="04022779" w14:textId="3B0670EB">
                <w:pPr>
                  <w:jc w:val="both"/>
                  <w:rPr>
                    <w:rFonts w:eastAsia="Calibri"/>
                    <w:bCs/>
                    <w:szCs w:val="24"/>
                    <w:lang w:eastAsia="lt-LT"/>
                  </w:rPr>
                </w:pPr>
                <w:r>
                  <w:rPr>
                    <w:rFonts w:eastAsia="Calibri"/>
                    <w:bCs/>
                    <w:szCs w:val="24"/>
                  </w:rPr>
                  <w:t>10. Lietuvos Respublikos asociacijų įstatymas Nr. IX-1969</w:t>
                </w:r>
              </w:p>
              <w:p w14:paraId="61B0F857" w14:textId="77777777">
                <w:pPr>
                  <w:tabs>
                    <w:tab w:val="left" w:pos="1296"/>
                    <w:tab w:val="center" w:pos="4153"/>
                    <w:tab w:val="right" w:pos="8306"/>
                  </w:tabs>
                  <w:rPr>
                    <w:b/>
                    <w:szCs w:val="24"/>
                    <w:lang w:eastAsia="lt-LT"/>
                  </w:rPr>
                </w:pPr>
              </w:p>
            </w:tc>
            <w:tc>
              <w:tcPr>
                <w:tcW w:w="1889" w:type="dxa"/>
                <w:tcBorders>
                  <w:top w:val="single" w:sz="4" w:space="0" w:color="auto"/>
                  <w:left w:val="single" w:sz="4" w:space="0" w:color="auto"/>
                  <w:bottom w:val="single" w:sz="4" w:space="0" w:color="auto"/>
                  <w:right w:val="single" w:sz="4" w:space="0" w:color="auto"/>
                </w:tcBorders>
              </w:tcPr>
              <w:p w14:paraId="5D3401F6" w14:textId="0126B454">
                <w:pPr>
                  <w:tabs>
                    <w:tab w:val="left" w:pos="1296"/>
                    <w:tab w:val="center" w:pos="4153"/>
                    <w:tab w:val="right" w:pos="8306"/>
                  </w:tabs>
                  <w:jc w:val="both"/>
                  <w:rPr>
                    <w:b/>
                    <w:bCs/>
                    <w:szCs w:val="24"/>
                    <w:lang w:eastAsia="lt-LT"/>
                  </w:rPr>
                </w:pPr>
                <w:r>
                  <w:rPr>
                    <w:b/>
                    <w:bCs/>
                    <w:lang w:val="x-none" w:eastAsia="x-none"/>
                  </w:rPr>
                  <w:t xml:space="preserve">Europos Sąjungos teisės akto perkėlimo (įgyvendinimo) lygis </w:t>
                </w:r>
              </w:p>
            </w:tc>
          </w:tr>
          <w:tr w14:paraId="72D54C23" w14:textId="77777777">
            <w:trPr>
              <w:jc w:val="center"/>
            </w:trPr>
            <w:tc>
              <w:tcPr>
                <w:tcW w:w="5813" w:type="dxa"/>
                <w:tcBorders>
                  <w:top w:val="single" w:sz="4" w:space="0" w:color="auto"/>
                  <w:left w:val="single" w:sz="4" w:space="0" w:color="auto"/>
                  <w:bottom w:val="single" w:sz="4" w:space="0" w:color="auto"/>
                  <w:right w:val="single" w:sz="4" w:space="0" w:color="auto"/>
                </w:tcBorders>
              </w:tcPr>
              <w:p w14:paraId="10696D5F" w14:textId="77777777">
                <w:pPr>
                  <w:rPr>
                    <w:rFonts w:eastAsia="Calibri"/>
                    <w:b/>
                    <w:szCs w:val="24"/>
                  </w:rPr>
                </w:pPr>
                <w:r>
                  <w:rPr>
                    <w:rFonts w:eastAsia="Calibri"/>
                    <w:b/>
                    <w:bCs/>
                    <w:szCs w:val="24"/>
                  </w:rPr>
                  <w:t>9 straipsnis</w:t>
                </w:r>
              </w:p>
              <w:p w14:paraId="37958EAF" w14:textId="77777777">
                <w:pPr>
                  <w:ind w:firstLine="62"/>
                  <w:rPr>
                    <w:rFonts w:ascii="EUAlbertina" w:hAnsi="EUAlbertina" w:cs="EUAlbertina"/>
                    <w:color w:val="000000"/>
                    <w:sz w:val="19"/>
                    <w:szCs w:val="19"/>
                    <w:lang w:eastAsia="lt-LT"/>
                  </w:rPr>
                </w:pPr>
                <w:r>
                  <w:rPr>
                    <w:rFonts w:eastAsia="Calibri"/>
                    <w:b/>
                    <w:szCs w:val="24"/>
                  </w:rPr>
                  <w:t>Teisių gynimas</w:t>
                </w:r>
                <w:r>
                  <w:rPr>
                    <w:rFonts w:ascii="EUAlbertina" w:hAnsi="EUAlbertina" w:cs="EUAlbertina"/>
                    <w:b/>
                    <w:bCs/>
                    <w:color w:val="000000"/>
                    <w:sz w:val="19"/>
                    <w:szCs w:val="19"/>
                    <w:lang w:eastAsia="lt-LT"/>
                  </w:rPr>
                  <w:t xml:space="preserve"> </w:t>
                </w:r>
              </w:p>
              <w:p w14:paraId="7F8F99C0" w14:textId="77777777">
                <w:pPr>
                  <w:jc w:val="both"/>
                  <w:rPr>
                    <w:rFonts w:eastAsia="Calibri"/>
                    <w:szCs w:val="24"/>
                  </w:rPr>
                </w:pPr>
                <w:r>
                  <w:rPr>
                    <w:rFonts w:eastAsia="Calibri"/>
                    <w:szCs w:val="24"/>
                  </w:rPr>
                  <w:t>1. Valstybės narės užtikrina, kad siekiant vykdyti įpareigojimus pagal šią direktyvą visiems asmenims, manantiems, kad jie patyrė nuostolių ar žalos dėl vienodo požiūrio principo netaikymo jų atžvilgiu, net pasibaigus tariamai diskriminuojantiems santykiams, būtų prieinamos teisminės arba administracinės procedūros, įskaitant (kai valstybės narės mano, kad tai tinkama) taikinimo procedūras.</w:t>
                </w:r>
              </w:p>
              <w:p w14:paraId="430A5435" w14:textId="77777777">
                <w:pPr>
                  <w:ind w:firstLine="62"/>
                  <w:jc w:val="both"/>
                  <w:rPr>
                    <w:rFonts w:eastAsia="Calibri"/>
                    <w:szCs w:val="24"/>
                  </w:rPr>
                </w:pPr>
                <w:r>
                  <w:rPr>
                    <w:rFonts w:eastAsia="Calibri"/>
                    <w:szCs w:val="24"/>
                  </w:rPr>
                  <w:t xml:space="preserve">2. Valstybės narės užtikrina, kad asociacijos, organizacijos ir kiti teisės subjektai, kurie remiantis jų nacionalinėje teisėje nustatytais kriterijais yra teisėtai suinteresuoti užtikrinti šios direktyvos laikymąsi, galėtų nukentėjusio asmens vardu arba jį remdami, gavę to asmens sutikimą, dalyvauti visose teisminėse arba administracinėse procedūrose šioje direktyvoje nustatytiems įpareigojimams įgyvendinti. </w:t>
                </w:r>
              </w:p>
              <w:p w14:paraId="7E4D6006" w14:textId="77777777">
                <w:pPr>
                  <w:jc w:val="both"/>
                  <w:rPr>
                    <w:rFonts w:eastAsia="Calibri"/>
                    <w:i/>
                    <w:szCs w:val="22"/>
                  </w:rPr>
                </w:pPr>
                <w:r>
                  <w:rPr>
                    <w:rFonts w:eastAsia="Calibri"/>
                    <w:szCs w:val="24"/>
                  </w:rPr>
                  <w:t>3. 1 ir 2 dalys neturi poveikio nacionalinėms taisyklėms, kuriomis nustatomi terminai, per kuriuos turi būti pateikti ieškiniai, susiję su vienodo požiūrio principu.</w:t>
                </w:r>
              </w:p>
            </w:tc>
            <w:tc>
              <w:tcPr>
                <w:tcW w:w="6454" w:type="dxa"/>
                <w:tcBorders>
                  <w:top w:val="single" w:sz="4" w:space="0" w:color="auto"/>
                  <w:left w:val="single" w:sz="4" w:space="0" w:color="auto"/>
                  <w:bottom w:val="single" w:sz="4" w:space="0" w:color="auto"/>
                  <w:right w:val="single" w:sz="4" w:space="0" w:color="auto"/>
                </w:tcBorders>
              </w:tcPr>
              <w:p w14:paraId="1E93533C" w14:textId="77777777">
                <w:pPr>
                  <w:jc w:val="both"/>
                  <w:rPr>
                    <w:rFonts w:eastAsia="Calibri"/>
                    <w:b/>
                    <w:szCs w:val="24"/>
                  </w:rPr>
                </w:pPr>
                <w:r>
                  <w:rPr>
                    <w:rFonts w:eastAsia="Calibri"/>
                    <w:b/>
                    <w:szCs w:val="24"/>
                  </w:rPr>
                  <w:t>Projektas</w:t>
                </w:r>
              </w:p>
              <w:p w14:paraId="6E144700" w14:textId="77777777">
                <w:pPr>
                  <w:jc w:val="both"/>
                  <w:rPr>
                    <w:rFonts w:eastAsia="Calibri"/>
                    <w:b/>
                    <w:szCs w:val="24"/>
                  </w:rPr>
                </w:pPr>
                <w:r>
                  <w:rPr>
                    <w:rFonts w:eastAsia="Calibri"/>
                    <w:b/>
                    <w:szCs w:val="24"/>
                  </w:rPr>
                  <w:t xml:space="preserve">23 straipsnis. Asmens, kurio lygios galimybės galimai pažeistos, teisės </w:t>
                </w:r>
              </w:p>
              <w:p w14:paraId="1AF4ABCF" w14:textId="77777777">
                <w:pPr>
                  <w:jc w:val="both"/>
                  <w:rPr>
                    <w:rFonts w:eastAsia="Calibri"/>
                    <w:b/>
                    <w:szCs w:val="24"/>
                  </w:rPr>
                </w:pPr>
                <w:r>
                  <w:rPr>
                    <w:rFonts w:eastAsia="Calibri"/>
                    <w:b/>
                    <w:szCs w:val="24"/>
                  </w:rPr>
                  <w:t xml:space="preserve">1. Asmuo, manantis, kad yra pažeistos jo lygios galimybės, turi teisę kreiptis į lygių galimybių kontrolierių ir šio įstatymo VI skyriuje nustatyta tvarka pateikti skundą. </w:t>
                </w:r>
              </w:p>
              <w:p w14:paraId="376FF1C0" w14:textId="77777777">
                <w:pPr>
                  <w:jc w:val="both"/>
                  <w:rPr>
                    <w:rFonts w:eastAsia="Calibri"/>
                    <w:b/>
                    <w:szCs w:val="24"/>
                  </w:rPr>
                </w:pPr>
                <w:r>
                  <w:rPr>
                    <w:rFonts w:eastAsia="Calibri"/>
                    <w:b/>
                    <w:szCs w:val="24"/>
                  </w:rPr>
                  <w:t xml:space="preserve">2. Asmens, manančio, kad pažeistos jo lygios galimybės, prašymu Lygių galimybių kontrolieriaus tarnyba lygių galimybių kontrolieriaus nustatyta tvarka asmeniui prieinamu bendravimo būdu turi suteikti informaciją apie teisinę ir institucinę sistemą lygių galimybių užtikrinimo srityje, lygių galimybių kontrolieriaus ir Lygių galimybių kontrolierius tarnybos funkcijas, galimas asmens teisių gynimo priemones, įskaitant teisę kreiptis į teismą ir ginti savo teises teisme, reikalauti iš kaltų asmenų atlyginti turtinę ir neturtinę žalą įstatymų nustatyta tvarka, taip pat informaciją apie įstaigas ir organizacijas, teikiančias psichologinę ir kitokią pagalbą, taikomas konfidencialumo ir asmens duomenų apsaugos nuostatas.  </w:t>
                </w:r>
              </w:p>
              <w:p w14:paraId="21AA8EA9" w14:textId="1AE017CC">
                <w:pPr>
                  <w:jc w:val="both"/>
                  <w:rPr>
                    <w:rFonts w:eastAsia="Calibri"/>
                    <w:b/>
                    <w:szCs w:val="24"/>
                  </w:rPr>
                </w:pPr>
                <w:r>
                  <w:rPr>
                    <w:rFonts w:eastAsia="Calibri"/>
                    <w:b/>
                    <w:szCs w:val="24"/>
                  </w:rPr>
                  <w:t>3. Lygių galimybių kontrolieriaus tarnyba informaciją apie skundo pateikimo ir nagrinėjimo tvarką skelbia savo interneto svetainėje.4. Asmens kreipimasis į lygių galimybių kontrolierių neatima iš asmens teisės kreiptis į teismą ir ginti savo teises jame, taip pat reikalauti iš kaltų asmenų atlyginti turtinę ir neturtinę žalą įstatymų nustatyta tvarka.</w:t>
                </w:r>
              </w:p>
              <w:p w14:paraId="003BC98D" w14:textId="6104F4E8">
                <w:pPr>
                  <w:jc w:val="both"/>
                  <w:rPr>
                    <w:rFonts w:eastAsia="Calibri"/>
                    <w:b/>
                    <w:szCs w:val="24"/>
                  </w:rPr>
                </w:pPr>
              </w:p>
              <w:p w14:paraId="41E29F9B" w14:textId="77777777">
                <w:pPr>
                  <w:jc w:val="both"/>
                  <w:rPr>
                    <w:rFonts w:eastAsia="Calibri"/>
                    <w:b/>
                    <w:bCs/>
                    <w:szCs w:val="24"/>
                  </w:rPr>
                </w:pPr>
              </w:p>
              <w:p w14:paraId="10AFC924" w14:textId="71C251AA">
                <w:pPr>
                  <w:jc w:val="both"/>
                  <w:rPr>
                    <w:rFonts w:eastAsia="Calibri"/>
                    <w:b/>
                    <w:bCs/>
                    <w:szCs w:val="24"/>
                  </w:rPr>
                </w:pPr>
                <w:r>
                  <w:rPr>
                    <w:rFonts w:eastAsia="Calibri"/>
                    <w:b/>
                    <w:bCs/>
                    <w:szCs w:val="24"/>
                  </w:rPr>
                  <w:t>29 straipsnis. Lygių galimybių kontrolieriaus sprendimai</w:t>
                </w:r>
              </w:p>
              <w:p w14:paraId="42C43648" w14:textId="462D3B11">
                <w:pPr>
                  <w:jc w:val="both"/>
                  <w:rPr>
                    <w:rFonts w:eastAsia="Calibri"/>
                    <w:b/>
                    <w:bCs/>
                    <w:szCs w:val="24"/>
                  </w:rPr>
                </w:pPr>
                <w:r>
                  <w:rPr>
                    <w:rFonts w:eastAsia="Calibri"/>
                    <w:b/>
                    <w:bCs/>
                    <w:szCs w:val="24"/>
                  </w:rPr>
                  <w:t>&lt;...&gt;</w:t>
                </w:r>
              </w:p>
              <w:p w14:paraId="7C6345F2" w14:textId="77777777">
                <w:pPr>
                  <w:jc w:val="both"/>
                  <w:rPr>
                    <w:rFonts w:eastAsia="Calibri"/>
                    <w:b/>
                    <w:szCs w:val="24"/>
                  </w:rPr>
                </w:pPr>
                <w:r>
                  <w:rPr>
                    <w:rFonts w:eastAsia="Calibri"/>
                    <w:b/>
                    <w:szCs w:val="24"/>
                  </w:rPr>
                  <w:t xml:space="preserve">3. Lygių galimybių pažeidimo tyrimas gali būti nutrauktas, jei: </w:t>
                </w:r>
              </w:p>
              <w:p w14:paraId="077F4682" w14:textId="77777777">
                <w:pPr>
                  <w:jc w:val="both"/>
                  <w:rPr>
                    <w:rFonts w:eastAsia="Calibri"/>
                    <w:b/>
                    <w:szCs w:val="24"/>
                  </w:rPr>
                </w:pPr>
                <w:r>
                  <w:rPr>
                    <w:rFonts w:eastAsia="Calibri"/>
                    <w:b/>
                    <w:szCs w:val="24"/>
                  </w:rPr>
                  <w:t>1) pareiškėjas skundą atsiima;</w:t>
                </w:r>
              </w:p>
              <w:p w14:paraId="38C0AACA" w14:textId="77777777">
                <w:pPr>
                  <w:jc w:val="both"/>
                  <w:rPr>
                    <w:rFonts w:eastAsia="Calibri"/>
                    <w:b/>
                    <w:szCs w:val="24"/>
                  </w:rPr>
                </w:pPr>
                <w:r>
                  <w:rPr>
                    <w:rFonts w:eastAsia="Calibri"/>
                    <w:b/>
                    <w:szCs w:val="24"/>
                  </w:rPr>
                  <w:t xml:space="preserve">2) trūksta duomenų, kad būtų galima nustatyti pažeidėją ar ištirti padarytą lygių galimybių pažeidimą; </w:t>
                </w:r>
              </w:p>
              <w:p w14:paraId="5264DEC0" w14:textId="77777777">
                <w:pPr>
                  <w:jc w:val="both"/>
                  <w:rPr>
                    <w:rFonts w:eastAsia="Calibri"/>
                    <w:b/>
                    <w:szCs w:val="24"/>
                  </w:rPr>
                </w:pPr>
                <w:r>
                  <w:rPr>
                    <w:rFonts w:eastAsia="Calibri"/>
                    <w:b/>
                    <w:szCs w:val="24"/>
                  </w:rPr>
                  <w:t>3) lygias galimybes pažeidžiantys veiksmai ar neveikimas nutraukiami;</w:t>
                </w:r>
              </w:p>
              <w:p w14:paraId="02C23DA7" w14:textId="77777777">
                <w:pPr>
                  <w:jc w:val="both"/>
                  <w:rPr>
                    <w:rFonts w:eastAsia="Calibri"/>
                    <w:b/>
                    <w:szCs w:val="24"/>
                  </w:rPr>
                </w:pPr>
                <w:r>
                  <w:rPr>
                    <w:rFonts w:eastAsia="Calibri"/>
                    <w:b/>
                    <w:szCs w:val="24"/>
                  </w:rPr>
                  <w:t>4) lygias galimybes pažeidžiantis norminis administracinis aktas (jo dalis) arba administracinis sprendimas (jo dalis) pakeičiamas ar pripažįstamas netekusiu galios.</w:t>
                </w:r>
              </w:p>
              <w:p w14:paraId="70C3D13C" w14:textId="77777777">
                <w:pPr>
                  <w:jc w:val="both"/>
                  <w:rPr>
                    <w:rFonts w:eastAsia="Calibri"/>
                    <w:b/>
                    <w:szCs w:val="24"/>
                  </w:rPr>
                </w:pPr>
                <w:r>
                  <w:rPr>
                    <w:rFonts w:eastAsia="Calibri"/>
                    <w:b/>
                    <w:szCs w:val="24"/>
                  </w:rPr>
                  <w:t xml:space="preserve">(jo dalis) pakeičiamas ar pripažįstamas netekusiu galios. </w:t>
                </w:r>
              </w:p>
              <w:p w14:paraId="233ED307" w14:textId="3BCA8CE7">
                <w:pPr>
                  <w:jc w:val="both"/>
                  <w:rPr>
                    <w:rFonts w:eastAsia="Calibri"/>
                    <w:b/>
                    <w:bCs/>
                    <w:szCs w:val="24"/>
                  </w:rPr>
                </w:pPr>
                <w:r>
                  <w:rPr>
                    <w:rFonts w:eastAsia="Calibri"/>
                    <w:b/>
                    <w:bCs/>
                    <w:szCs w:val="24"/>
                  </w:rPr>
                  <w:t>&lt;...&gt;</w:t>
                </w:r>
              </w:p>
              <w:p w14:paraId="3C32710F" w14:textId="77777777">
                <w:pPr>
                  <w:jc w:val="both"/>
                  <w:rPr>
                    <w:rFonts w:eastAsia="Calibri"/>
                    <w:b/>
                    <w:szCs w:val="24"/>
                  </w:rPr>
                </w:pPr>
              </w:p>
              <w:p w14:paraId="54363C01" w14:textId="77777777">
                <w:pPr>
                  <w:jc w:val="both"/>
                  <w:rPr>
                    <w:rFonts w:eastAsia="Calibri"/>
                    <w:b/>
                    <w:szCs w:val="24"/>
                  </w:rPr>
                </w:pPr>
                <w:r>
                  <w:rPr>
                    <w:rFonts w:eastAsia="Calibri"/>
                    <w:b/>
                    <w:szCs w:val="24"/>
                  </w:rPr>
                  <w:t xml:space="preserve">Civilinio proceso kodeksas </w:t>
                </w:r>
              </w:p>
              <w:p w14:paraId="3FA8DCC3" w14:textId="77777777">
                <w:pPr>
                  <w:jc w:val="both"/>
                  <w:rPr>
                    <w:b/>
                    <w:bCs/>
                    <w:color w:val="000000"/>
                    <w:szCs w:val="24"/>
                    <w:lang w:eastAsia="lt-LT"/>
                  </w:rPr>
                </w:pPr>
                <w:r>
                  <w:rPr>
                    <w:b/>
                    <w:bCs/>
                    <w:color w:val="000000"/>
                    <w:szCs w:val="24"/>
                    <w:lang w:eastAsia="lt-LT"/>
                  </w:rPr>
                  <w:t>5 straipsnis. Teisė kreiptis į teismą teisminės gynybos</w:t>
                </w:r>
              </w:p>
              <w:p w14:paraId="4C29FBFB" w14:textId="77777777">
                <w:pPr>
                  <w:jc w:val="both"/>
                  <w:rPr>
                    <w:rFonts w:eastAsia="Calibri"/>
                    <w:b/>
                    <w:szCs w:val="24"/>
                  </w:rPr>
                </w:pPr>
                <w:r>
                  <w:rPr>
                    <w:szCs w:val="24"/>
                    <w:lang w:eastAsia="lt-LT"/>
                  </w:rPr>
                  <w:t>1. Kiekvienas suinteresuotas asmuo turi teisę įstatymų nustatyta tvarka kreiptis į teismą, kad būtų apginta pažeista ar ginčijama jo teisė arba įstatymų saugomas interesas.</w:t>
                </w:r>
              </w:p>
              <w:p w14:paraId="01B4AF8B" w14:textId="77777777">
                <w:pPr>
                  <w:jc w:val="both"/>
                  <w:rPr>
                    <w:rFonts w:eastAsia="Calibri"/>
                    <w:szCs w:val="24"/>
                    <w:lang w:eastAsia="lt-LT"/>
                  </w:rPr>
                </w:pPr>
              </w:p>
              <w:p w14:paraId="0BBF156E" w14:textId="77777777">
                <w:pPr>
                  <w:jc w:val="both"/>
                  <w:rPr>
                    <w:rFonts w:eastAsia="Calibri"/>
                    <w:b/>
                    <w:szCs w:val="24"/>
                  </w:rPr>
                </w:pPr>
                <w:r>
                  <w:rPr>
                    <w:rFonts w:eastAsia="Calibri"/>
                    <w:b/>
                    <w:szCs w:val="24"/>
                  </w:rPr>
                  <w:t>Civilinis kodeksas</w:t>
                </w:r>
              </w:p>
              <w:p w14:paraId="3CA5DDB4" w14:textId="77777777">
                <w:pPr>
                  <w:jc w:val="both"/>
                  <w:rPr>
                    <w:rFonts w:eastAsia="Calibri"/>
                    <w:b/>
                    <w:szCs w:val="24"/>
                  </w:rPr>
                </w:pPr>
                <w:r>
                  <w:rPr>
                    <w:rFonts w:eastAsia="Calibri"/>
                    <w:b/>
                    <w:szCs w:val="24"/>
                  </w:rPr>
                  <w:t>1.114 straipsnis. Asmeninės neturtinės teisės ir vertybės</w:t>
                </w:r>
              </w:p>
              <w:p w14:paraId="42370A76" w14:textId="77777777">
                <w:pPr>
                  <w:jc w:val="both"/>
                  <w:rPr>
                    <w:rFonts w:eastAsia="Calibri"/>
                    <w:szCs w:val="24"/>
                  </w:rPr>
                </w:pPr>
                <w:r>
                  <w:rPr>
                    <w:rFonts w:eastAsia="Calibri"/>
                    <w:szCs w:val="24"/>
                  </w:rPr>
                  <w:t>1. Civilinė teisė saugo asmenines neturtines teises ir vertybes, t. y. vardą, gyvybę, sveikatą, kūno neliečiamybę, garbę, orumą, žmogaus privatų gyvenimą, autoriaus vardą, dalykinę reputaciją, juridinio asmens pavadinimą, prekių (paslaugų) ženklus ir kitas vertybes, su kuriomis įstatymai sieja tam tikrų teisinių pasekmių atsiradimą.</w:t>
                </w:r>
              </w:p>
              <w:p w14:paraId="549937BE" w14:textId="77777777">
                <w:pPr>
                  <w:jc w:val="both"/>
                  <w:rPr>
                    <w:rFonts w:eastAsia="Calibri"/>
                    <w:b/>
                    <w:szCs w:val="24"/>
                  </w:rPr>
                </w:pPr>
                <w:r>
                  <w:rPr>
                    <w:rFonts w:eastAsia="Calibri"/>
                    <w:b/>
                    <w:szCs w:val="24"/>
                  </w:rPr>
                  <w:t>1.115 straipsnis. Asmeninės neturtinės teisės</w:t>
                </w:r>
              </w:p>
              <w:p w14:paraId="14FC5CED" w14:textId="77777777">
                <w:pPr>
                  <w:jc w:val="both"/>
                  <w:rPr>
                    <w:rFonts w:eastAsia="Calibri"/>
                    <w:szCs w:val="24"/>
                  </w:rPr>
                </w:pPr>
                <w:r>
                  <w:rPr>
                    <w:rFonts w:eastAsia="Calibri"/>
                    <w:szCs w:val="24"/>
                  </w:rPr>
                  <w:t>1. Civilinės teisės saugomi objektai yra asmeninės neturtinės teisės, t. y. ekonominio turinio neturinčios ir neatskiriamai susijusios su jų turėtoju teisės.</w:t>
                </w:r>
              </w:p>
              <w:p w14:paraId="3085AEF7" w14:textId="77777777">
                <w:pPr>
                  <w:jc w:val="both"/>
                  <w:rPr>
                    <w:rFonts w:eastAsia="Calibri"/>
                    <w:b/>
                    <w:szCs w:val="24"/>
                  </w:rPr>
                </w:pPr>
                <w:r>
                  <w:rPr>
                    <w:rFonts w:eastAsia="Calibri"/>
                    <w:b/>
                    <w:szCs w:val="24"/>
                  </w:rPr>
                  <w:t>1.125 straipsnis. Ieškinio senaties terminai</w:t>
                </w:r>
              </w:p>
              <w:p w14:paraId="1395FC6B" w14:textId="77777777">
                <w:pPr>
                  <w:jc w:val="both"/>
                  <w:rPr>
                    <w:rFonts w:eastAsia="Calibri"/>
                    <w:szCs w:val="24"/>
                  </w:rPr>
                </w:pPr>
                <w:r>
                  <w:rPr>
                    <w:rFonts w:eastAsia="Calibri"/>
                    <w:szCs w:val="24"/>
                  </w:rPr>
                  <w:t>1. Bendrasis ieškinio senaties terminas yra dešimt metų.</w:t>
                </w:r>
              </w:p>
              <w:p w14:paraId="0C074956" w14:textId="77777777">
                <w:pPr>
                  <w:jc w:val="both"/>
                  <w:rPr>
                    <w:rFonts w:eastAsia="Calibri"/>
                    <w:szCs w:val="24"/>
                  </w:rPr>
                </w:pPr>
              </w:p>
              <w:p w14:paraId="0A37C840" w14:textId="70745ADD">
                <w:pPr>
                  <w:jc w:val="both"/>
                  <w:rPr>
                    <w:rFonts w:eastAsia="Calibri"/>
                    <w:b/>
                    <w:bCs/>
                    <w:szCs w:val="24"/>
                  </w:rPr>
                </w:pPr>
                <w:r>
                  <w:rPr>
                    <w:rFonts w:eastAsia="Calibri"/>
                    <w:b/>
                    <w:bCs/>
                    <w:szCs w:val="24"/>
                  </w:rPr>
                  <w:t>Įstatymas Nr. XIV-466</w:t>
                </w:r>
              </w:p>
              <w:p w14:paraId="1C8F2ADB" w14:textId="1A831BEE">
                <w:pPr>
                  <w:jc w:val="both"/>
                  <w:rPr>
                    <w:rFonts w:eastAsia="Calibri"/>
                    <w:szCs w:val="24"/>
                  </w:rPr>
                </w:pPr>
                <w:r>
                  <w:rPr>
                    <w:rFonts w:eastAsia="Calibri"/>
                    <w:szCs w:val="24"/>
                  </w:rPr>
                  <w:t>1 straipsnis. 1.125 straipsnio pakeitimas</w:t>
                </w:r>
              </w:p>
              <w:p w14:paraId="5942368F" w14:textId="77777777">
                <w:pPr>
                  <w:jc w:val="both"/>
                  <w:rPr>
                    <w:rFonts w:eastAsia="Calibri"/>
                    <w:szCs w:val="24"/>
                  </w:rPr>
                </w:pPr>
                <w:r>
                  <w:rPr>
                    <w:rFonts w:eastAsia="Calibri"/>
                    <w:szCs w:val="24"/>
                  </w:rPr>
                  <w:t>2. Papildyti 1.125 straipsnį nauja 8 dalimi:</w:t>
                </w:r>
              </w:p>
              <w:p w14:paraId="5C33F299" w14:textId="77777777">
                <w:pPr>
                  <w:jc w:val="both"/>
                  <w:rPr>
                    <w:rFonts w:eastAsia="Calibri"/>
                    <w:szCs w:val="24"/>
                  </w:rPr>
                </w:pPr>
                <w:r>
                  <w:rPr>
                    <w:rFonts w:eastAsia="Calibri"/>
                    <w:szCs w:val="24"/>
                  </w:rPr>
                  <w:t>„8. Sutrumpintas dvejų metų ieškinio senaties terminas taikomas reikalavimams dėl prekių, paslaugų ar skaitmeninio turinio trūkumų (netinkamos kokybės).“</w:t>
                </w:r>
              </w:p>
              <w:p w14:paraId="5C0CE44A" w14:textId="77777777">
                <w:pPr>
                  <w:jc w:val="both"/>
                  <w:rPr>
                    <w:rFonts w:eastAsia="Calibri"/>
                    <w:b/>
                    <w:szCs w:val="24"/>
                  </w:rPr>
                </w:pPr>
                <w:r>
                  <w:rPr>
                    <w:rFonts w:eastAsia="Calibri"/>
                    <w:b/>
                    <w:szCs w:val="24"/>
                  </w:rPr>
                  <w:t>1.127 straipsnis. Ieškinio senaties termino pradžia</w:t>
                </w:r>
              </w:p>
              <w:p w14:paraId="759EDECB" w14:textId="77777777">
                <w:pPr>
                  <w:jc w:val="both"/>
                  <w:rPr>
                    <w:rFonts w:eastAsia="Calibri"/>
                    <w:szCs w:val="24"/>
                  </w:rPr>
                </w:pPr>
                <w:r>
                  <w:rPr>
                    <w:rFonts w:eastAsia="Calibri"/>
                    <w:szCs w:val="24"/>
                  </w:rPr>
                  <w:t>1. Ieškinio senaties terminas prasideda nuo teisės į ieškinį atsiradimo dienos. Teisė į ieškinį atsiranda nuo tos dienos, kurią asmuo sužinojo arba turėjo sužinoti apie savo teisės pažeidimą. Šios taisyklės išimtis nustato šis kodeksas ir kiti Lietuvos Respublikos įstatymai.</w:t>
                </w:r>
              </w:p>
              <w:p w14:paraId="6AD611DF" w14:textId="77777777">
                <w:pPr>
                  <w:jc w:val="both"/>
                  <w:rPr>
                    <w:rFonts w:eastAsia="Calibri"/>
                    <w:szCs w:val="24"/>
                  </w:rPr>
                </w:pPr>
                <w:r>
                  <w:rPr>
                    <w:rFonts w:eastAsia="Calibri"/>
                    <w:szCs w:val="24"/>
                  </w:rPr>
                  <w:t>5. Jeigu pažeidimas yra tęstinis, t. y. jis vyksta kiekvieną dieną (asmuo neatlieka veiksmų, kuriuos privalo atlikti, ar atlieka veiksmus, kurių neturi teisės atlikti, ar nenutraukia kitokio pažeidimo), ieškinio senaties terminas ieškiniams dėl veiksmų ar neveikimo, atliktų tą dieną, prasideda tą kiekvieną dieną.</w:t>
                </w:r>
              </w:p>
              <w:p w14:paraId="3178893B" w14:textId="77777777">
                <w:pPr>
                  <w:jc w:val="both"/>
                  <w:rPr>
                    <w:rFonts w:eastAsia="Calibri"/>
                    <w:b/>
                    <w:szCs w:val="24"/>
                  </w:rPr>
                </w:pPr>
              </w:p>
              <w:p w14:paraId="78356197" w14:textId="77777777">
                <w:pPr>
                  <w:jc w:val="both"/>
                  <w:rPr>
                    <w:rFonts w:eastAsia="Calibri"/>
                    <w:b/>
                    <w:szCs w:val="24"/>
                  </w:rPr>
                </w:pPr>
                <w:r>
                  <w:rPr>
                    <w:rFonts w:eastAsia="Calibri"/>
                    <w:b/>
                    <w:szCs w:val="24"/>
                  </w:rPr>
                  <w:t xml:space="preserve">Civilinio kodekso pakeitimas </w:t>
                </w:r>
              </w:p>
              <w:p w14:paraId="32EDD0CC" w14:textId="77777777">
                <w:pPr>
                  <w:jc w:val="both"/>
                  <w:rPr>
                    <w:rFonts w:eastAsia="Calibri"/>
                    <w:b/>
                    <w:szCs w:val="24"/>
                  </w:rPr>
                </w:pPr>
                <w:r>
                  <w:rPr>
                    <w:rFonts w:eastAsia="Calibri"/>
                    <w:b/>
                    <w:bCs/>
                    <w:szCs w:val="24"/>
                  </w:rPr>
                  <w:t>1 straipsnis. 1.134 straipsnio papildymas ir pakeitimas</w:t>
                </w:r>
              </w:p>
              <w:p w14:paraId="686FEE29" w14:textId="77777777">
                <w:pPr>
                  <w:jc w:val="both"/>
                  <w:rPr>
                    <w:rFonts w:eastAsia="Calibri"/>
                    <w:b/>
                    <w:szCs w:val="24"/>
                  </w:rPr>
                </w:pPr>
                <w:r>
                  <w:rPr>
                    <w:rFonts w:eastAsia="Calibri"/>
                    <w:b/>
                    <w:szCs w:val="24"/>
                  </w:rPr>
                  <w:t>Papildyti 1.134 straipsnį nauju 3 punktu, 3 punktą laikyti 4 punktu ir šį straipsnį išdėstyti taip:</w:t>
                </w:r>
              </w:p>
              <w:p w14:paraId="291082BF" w14:textId="77777777">
                <w:pPr>
                  <w:jc w:val="both"/>
                  <w:rPr>
                    <w:rFonts w:eastAsia="Calibri"/>
                    <w:szCs w:val="24"/>
                  </w:rPr>
                </w:pPr>
                <w:r>
                  <w:rPr>
                    <w:rFonts w:eastAsia="Calibri"/>
                    <w:szCs w:val="24"/>
                  </w:rPr>
                  <w:t>„</w:t>
                </w:r>
                <w:r>
                  <w:rPr>
                    <w:rFonts w:eastAsia="Calibri"/>
                    <w:bCs/>
                    <w:szCs w:val="24"/>
                  </w:rPr>
                  <w:t>1.134 straipsnis. Reikalavimai, kuriems ieškinio senatis netaikoma</w:t>
                </w:r>
              </w:p>
              <w:p w14:paraId="7974A9C8" w14:textId="77777777">
                <w:pPr>
                  <w:jc w:val="both"/>
                  <w:rPr>
                    <w:rFonts w:eastAsia="Calibri"/>
                    <w:szCs w:val="24"/>
                  </w:rPr>
                </w:pPr>
                <w:r>
                  <w:rPr>
                    <w:rFonts w:eastAsia="Calibri"/>
                    <w:szCs w:val="24"/>
                  </w:rPr>
                  <w:t>Ieškinio senatis netaikoma:</w:t>
                </w:r>
              </w:p>
              <w:p w14:paraId="0BA25A0A" w14:textId="77777777">
                <w:pPr>
                  <w:jc w:val="both"/>
                  <w:rPr>
                    <w:rFonts w:eastAsia="Calibri"/>
                    <w:szCs w:val="24"/>
                  </w:rPr>
                </w:pPr>
                <w:r>
                  <w:rPr>
                    <w:rFonts w:eastAsia="Calibri"/>
                    <w:szCs w:val="24"/>
                  </w:rPr>
                  <w:t>1) iš asmeninių neturtinių teisių pažeidimų atsirandantiems reikalavimams, išskyrus įstatymų numatytus atvejus;</w:t>
                </w:r>
              </w:p>
              <w:p w14:paraId="6E64F930" w14:textId="77777777">
                <w:pPr>
                  <w:jc w:val="both"/>
                  <w:rPr>
                    <w:rFonts w:eastAsia="Calibri"/>
                    <w:b/>
                    <w:szCs w:val="24"/>
                  </w:rPr>
                </w:pPr>
              </w:p>
              <w:p w14:paraId="32B8922F" w14:textId="77777777">
                <w:pPr>
                  <w:jc w:val="both"/>
                  <w:rPr>
                    <w:rFonts w:eastAsia="Calibri"/>
                    <w:b/>
                    <w:szCs w:val="24"/>
                    <w:lang w:eastAsia="lt-LT"/>
                  </w:rPr>
                </w:pPr>
                <w:r>
                  <w:rPr>
                    <w:rFonts w:eastAsia="Calibri"/>
                    <w:b/>
                    <w:szCs w:val="24"/>
                  </w:rPr>
                  <w:t>Civilinio proceso kodeksas</w:t>
                </w:r>
              </w:p>
              <w:p w14:paraId="6DCCF6B4" w14:textId="77777777">
                <w:pPr>
                  <w:jc w:val="both"/>
                  <w:rPr>
                    <w:rFonts w:eastAsia="Calibri"/>
                    <w:b/>
                    <w:szCs w:val="24"/>
                    <w:lang w:eastAsia="lt-LT"/>
                  </w:rPr>
                </w:pPr>
                <w:r>
                  <w:rPr>
                    <w:rFonts w:eastAsia="Calibri"/>
                    <w:b/>
                    <w:szCs w:val="24"/>
                    <w:lang w:eastAsia="lt-LT"/>
                  </w:rPr>
                  <w:t>37 straipsnis. Dalyvaujantys byloje asmenys</w:t>
                </w:r>
              </w:p>
              <w:p w14:paraId="6B214B3A" w14:textId="77777777">
                <w:pPr>
                  <w:jc w:val="both"/>
                  <w:rPr>
                    <w:rFonts w:eastAsia="Calibri"/>
                    <w:szCs w:val="24"/>
                    <w:lang w:eastAsia="lt-LT"/>
                  </w:rPr>
                </w:pPr>
                <w:r>
                  <w:rPr>
                    <w:rFonts w:eastAsia="Calibri"/>
                    <w:szCs w:val="24"/>
                    <w:lang w:eastAsia="lt-LT"/>
                  </w:rPr>
                  <w:t>1. Dalyvaujančiais byloje asmenimis laikomi proceso dalyviai, turintys teisinį suinteresuotumą bylos baigtimi.</w:t>
                </w:r>
              </w:p>
              <w:p w14:paraId="774FE960" w14:textId="77777777">
                <w:pPr>
                  <w:jc w:val="both"/>
                  <w:rPr>
                    <w:rFonts w:eastAsia="Calibri"/>
                    <w:bCs/>
                    <w:szCs w:val="24"/>
                    <w:lang w:eastAsia="lt-LT"/>
                  </w:rPr>
                </w:pPr>
                <w:r>
                  <w:rPr>
                    <w:rFonts w:eastAsia="Calibri"/>
                    <w:b/>
                    <w:bCs/>
                    <w:szCs w:val="24"/>
                    <w:lang w:eastAsia="lt-LT"/>
                  </w:rPr>
                  <w:t xml:space="preserve">2. </w:t>
                </w:r>
                <w:r>
                  <w:rPr>
                    <w:rFonts w:eastAsia="Calibri"/>
                    <w:bCs/>
                    <w:szCs w:val="24"/>
                    <w:lang w:eastAsia="lt-LT"/>
                  </w:rPr>
                  <w:t>Dalyvaujančiais byloje asmenimis yra šalys, tretieji asmenys, asmenys, pareiškę ieškinį šio Kodekso 49 straipsnio nustatyta tvarka, pareiškėjai, suinteresuoti asmenys šio Kodekso 442 straipsnyje išvardytose bylose, šio Kodekso 431 straipsnyje numatyti kreditoriai ir skolininkai, taip pat šių asmenų atstovai.</w:t>
                </w:r>
              </w:p>
              <w:p w14:paraId="4FB90B13" w14:textId="77777777">
                <w:pPr>
                  <w:jc w:val="both"/>
                  <w:rPr>
                    <w:rFonts w:eastAsia="Calibri"/>
                    <w:b/>
                    <w:szCs w:val="24"/>
                    <w:lang w:eastAsia="lt-LT"/>
                  </w:rPr>
                </w:pPr>
                <w:r>
                  <w:rPr>
                    <w:rFonts w:eastAsia="Calibri"/>
                    <w:b/>
                    <w:szCs w:val="24"/>
                    <w:lang w:eastAsia="lt-LT"/>
                  </w:rPr>
                  <w:t>51 straipsnis. Atstovavimas teisme</w:t>
                </w:r>
              </w:p>
              <w:p w14:paraId="08EAB3D8" w14:textId="77777777">
                <w:pPr>
                  <w:jc w:val="both"/>
                  <w:rPr>
                    <w:rFonts w:eastAsia="Calibri"/>
                    <w:szCs w:val="24"/>
                    <w:lang w:eastAsia="lt-LT"/>
                  </w:rPr>
                </w:pPr>
                <w:r>
                  <w:rPr>
                    <w:rFonts w:eastAsia="Calibri"/>
                    <w:szCs w:val="24"/>
                    <w:lang w:eastAsia="lt-LT"/>
                  </w:rPr>
                  <w:t>1. Asmenys gali vesti savo bylas teisme patys arba per atstovus. Paties asmens dalyvavimas byloje neatima iš jo teisės turėti šioje byloje atstovą.</w:t>
                </w:r>
              </w:p>
              <w:p w14:paraId="2F021413" w14:textId="77777777">
                <w:pPr>
                  <w:jc w:val="both"/>
                  <w:rPr>
                    <w:rFonts w:eastAsia="Calibri"/>
                    <w:b/>
                    <w:szCs w:val="24"/>
                    <w:lang w:eastAsia="lt-LT"/>
                  </w:rPr>
                </w:pPr>
                <w:r>
                  <w:rPr>
                    <w:rFonts w:eastAsia="Calibri"/>
                    <w:b/>
                    <w:szCs w:val="24"/>
                    <w:lang w:eastAsia="lt-LT"/>
                  </w:rPr>
                  <w:t>54 straipsnis. Atstovų pagal įstatymą teisės</w:t>
                </w:r>
              </w:p>
              <w:p w14:paraId="7DC8F5FD" w14:textId="77777777">
                <w:pPr>
                  <w:jc w:val="both"/>
                  <w:rPr>
                    <w:rFonts w:eastAsia="Calibri"/>
                    <w:szCs w:val="24"/>
                    <w:lang w:eastAsia="lt-LT"/>
                  </w:rPr>
                </w:pPr>
                <w:r>
                  <w:rPr>
                    <w:rFonts w:eastAsia="Calibri"/>
                    <w:szCs w:val="24"/>
                    <w:lang w:eastAsia="lt-LT"/>
                  </w:rPr>
                  <w:t>1. Atstovai pagal įstatymą atstovaujamųjų vardu atlieka visus procesinius veiksmus, kuriuos atlikti teisė priklauso atstovaujamiesiems, išskyrus įstatymų numatytas išimtis.</w:t>
                </w:r>
              </w:p>
              <w:p w14:paraId="2191E9FE" w14:textId="77777777">
                <w:pPr>
                  <w:jc w:val="both"/>
                  <w:rPr>
                    <w:rFonts w:eastAsia="Calibri"/>
                    <w:szCs w:val="24"/>
                    <w:lang w:eastAsia="lt-LT"/>
                  </w:rPr>
                </w:pPr>
                <w:r>
                  <w:rPr>
                    <w:rFonts w:eastAsia="Calibri"/>
                    <w:szCs w:val="24"/>
                    <w:lang w:eastAsia="lt-LT"/>
                  </w:rPr>
                  <w:t>2. Atstovai pagal įstatymą gali pavesti bylą vesti teisme kitam jų pasirinktam atstovui.</w:t>
                </w:r>
              </w:p>
              <w:p w14:paraId="75CA6B25" w14:textId="77777777">
                <w:pPr>
                  <w:jc w:val="both"/>
                  <w:rPr>
                    <w:rFonts w:eastAsia="Calibri"/>
                    <w:szCs w:val="24"/>
                  </w:rPr>
                </w:pPr>
              </w:p>
              <w:p w14:paraId="6363B2FB" w14:textId="46F2E0AD">
                <w:pPr>
                  <w:rPr>
                    <w:rFonts w:eastAsia="Calibri"/>
                    <w:b/>
                    <w:szCs w:val="24"/>
                  </w:rPr>
                </w:pPr>
                <w:r>
                  <w:rPr>
                    <w:rFonts w:eastAsia="Calibri"/>
                    <w:b/>
                    <w:bCs/>
                    <w:szCs w:val="24"/>
                  </w:rPr>
                  <w:t>56 straipsnis. Asmenys, kurie gali būti teisme atstovais pagal pavedimą</w:t>
                </w:r>
              </w:p>
              <w:p w14:paraId="02D635EF" w14:textId="77777777">
                <w:pPr>
                  <w:jc w:val="both"/>
                  <w:rPr>
                    <w:rFonts w:eastAsia="Calibri"/>
                    <w:szCs w:val="24"/>
                  </w:rPr>
                </w:pPr>
                <w:r>
                  <w:rPr>
                    <w:rFonts w:eastAsia="Calibri"/>
                    <w:szCs w:val="24"/>
                  </w:rPr>
                  <w:t>1. Fizinių asmenų atstovais</w:t>
                </w:r>
                <w:r>
                  <w:rPr>
                    <w:rFonts w:eastAsia="Calibri"/>
                    <w:bCs/>
                    <w:szCs w:val="24"/>
                  </w:rPr>
                  <w:t xml:space="preserve"> </w:t>
                </w:r>
                <w:r>
                  <w:rPr>
                    <w:rFonts w:eastAsia="Calibri"/>
                    <w:szCs w:val="24"/>
                  </w:rPr>
                  <w:t>pagal pavedimą teisme gali būti:</w:t>
                </w:r>
              </w:p>
              <w:p w14:paraId="6EDFB0C4" w14:textId="77777777">
                <w:pPr>
                  <w:jc w:val="both"/>
                  <w:rPr>
                    <w:rFonts w:eastAsia="Calibri"/>
                    <w:szCs w:val="24"/>
                  </w:rPr>
                </w:pPr>
                <w:r>
                  <w:rPr>
                    <w:rFonts w:eastAsia="Calibri"/>
                    <w:szCs w:val="24"/>
                  </w:rPr>
                  <w:t>1) advokatai;</w:t>
                </w:r>
              </w:p>
              <w:p w14:paraId="168D5016" w14:textId="77777777">
                <w:pPr>
                  <w:jc w:val="both"/>
                  <w:rPr>
                    <w:rFonts w:eastAsia="Calibri"/>
                    <w:szCs w:val="24"/>
                  </w:rPr>
                </w:pPr>
                <w:r>
                  <w:rPr>
                    <w:rFonts w:eastAsia="Calibri"/>
                    <w:szCs w:val="24"/>
                  </w:rPr>
                  <w:t>2) advokatų padėjėjai, turintys jų praktikai vadovaujančio advokato rašytinį leidimą atstovauti konkrečioje byloje;</w:t>
                </w:r>
              </w:p>
              <w:p w14:paraId="4646105E" w14:textId="77777777">
                <w:pPr>
                  <w:jc w:val="both"/>
                  <w:rPr>
                    <w:rFonts w:eastAsia="Calibri"/>
                    <w:szCs w:val="24"/>
                  </w:rPr>
                </w:pPr>
                <w:r>
                  <w:rPr>
                    <w:rFonts w:eastAsia="Calibri"/>
                    <w:szCs w:val="24"/>
                  </w:rPr>
                  <w:t>3) vienas iš bendrininkų kitų bendrininkų pavedimu;</w:t>
                </w:r>
              </w:p>
              <w:p w14:paraId="08EEBEB8" w14:textId="77777777">
                <w:pPr>
                  <w:jc w:val="both"/>
                  <w:rPr>
                    <w:rFonts w:eastAsia="Calibri"/>
                    <w:szCs w:val="24"/>
                  </w:rPr>
                </w:pPr>
                <w:r>
                  <w:rPr>
                    <w:rFonts w:eastAsia="Calibri"/>
                    <w:szCs w:val="24"/>
                  </w:rPr>
                  <w:t>4) asmenys, turintys aukštąjį universitetinį teisinį išsilavinimą, kai</w:t>
                </w:r>
                <w:r>
                  <w:rPr>
                    <w:rFonts w:eastAsia="Calibri"/>
                    <w:bCs/>
                    <w:szCs w:val="24"/>
                  </w:rPr>
                  <w:t xml:space="preserve"> </w:t>
                </w:r>
                <w:r>
                  <w:rPr>
                    <w:rFonts w:eastAsia="Calibri"/>
                    <w:szCs w:val="24"/>
                  </w:rPr>
                  <w:t>jie atstovauja savo artimiesiems giminaičiams ar sutuoktiniui (sugyventiniui);</w:t>
                </w:r>
              </w:p>
              <w:p w14:paraId="4A1740C8" w14:textId="77777777">
                <w:pPr>
                  <w:jc w:val="both"/>
                  <w:rPr>
                    <w:rFonts w:eastAsia="Calibri"/>
                    <w:szCs w:val="24"/>
                  </w:rPr>
                </w:pPr>
                <w:r>
                  <w:rPr>
                    <w:rFonts w:eastAsia="Calibri"/>
                    <w:szCs w:val="24"/>
                  </w:rPr>
                  <w:t>5) profesinės sąjungos, jeigu jos</w:t>
                </w:r>
                <w:r>
                  <w:rPr>
                    <w:rFonts w:eastAsia="Calibri"/>
                    <w:bCs/>
                    <w:szCs w:val="24"/>
                  </w:rPr>
                  <w:t xml:space="preserve"> </w:t>
                </w:r>
                <w:r>
                  <w:rPr>
                    <w:rFonts w:eastAsia="Calibri"/>
                    <w:szCs w:val="24"/>
                  </w:rPr>
                  <w:t>atstovauja profesinės sąjungos nariams darbo teisinių santykių bylose. Šiuo atveju bylą teisme veda profesinės sąjungos vienasmenis valdymo organas, įstatymų ar steigimo dokumentų nustatyta tvarka įgalioti kolegialių valdymo organų nariai arba atstovai pagal pavedimą – darbuotojai, turintys aukštąjį universitetinį teisinį išsilavinimą, ir (ar) advokatai (advokatų padėjėjai);</w:t>
                </w:r>
              </w:p>
              <w:p w14:paraId="791D0B60" w14:textId="77777777">
                <w:pPr>
                  <w:jc w:val="both"/>
                  <w:rPr>
                    <w:rFonts w:eastAsia="Calibri"/>
                    <w:szCs w:val="24"/>
                  </w:rPr>
                </w:pPr>
                <w:r>
                  <w:rPr>
                    <w:rFonts w:eastAsia="Calibri"/>
                    <w:szCs w:val="24"/>
                  </w:rPr>
                  <w:t>6) asociacijos arba kiti viešieji juridiniai asmenys, kurių steigimo dokumentuose kaip vienas iš veiklos tikslų yra nurodytas tam tikros grupės asmenų gynimas ir jų atstovavimas teisme, jeigu jie atstovauja asociacijos arba kito viešojo juridinio asmens dalyviams bylose pagal šių juridinių asmenų steigimo dokumentuose numatytus veiklos tikslus. Šiuo atveju bylą teisme veda atitinkamo juridinio asmens vienasmenis valdymo organas, įstatymų ar steigimo dokumentų nustatyta tvarka įgalioti kolegialių valdymo organų nariai arba atstovai pagal pavedimą – darbuotojai, turintys aukštąjį universitetinį teisinį išsilavinimą, ir (ar) advokatai (advokatų padėjėjai);</w:t>
                </w:r>
              </w:p>
              <w:p w14:paraId="6A4A5018" w14:textId="77777777">
                <w:pPr>
                  <w:jc w:val="both"/>
                  <w:rPr>
                    <w:rFonts w:eastAsia="Calibri"/>
                    <w:szCs w:val="24"/>
                  </w:rPr>
                </w:pPr>
                <w:r>
                  <w:rPr>
                    <w:rFonts w:eastAsia="Calibri"/>
                    <w:szCs w:val="24"/>
                  </w:rPr>
                  <w:t>7) antstolių padėjėjai, turintys aukštąjį universitetinį teisinį išsilavinimą ir antstolio įgaliojimą atstovauti antstoliui bylose dėl antstolio vykdomų funkcijų.</w:t>
                </w:r>
              </w:p>
              <w:p w14:paraId="7A396A7D" w14:textId="77777777">
                <w:pPr>
                  <w:jc w:val="both"/>
                  <w:rPr>
                    <w:rFonts w:eastAsia="Calibri"/>
                    <w:szCs w:val="24"/>
                  </w:rPr>
                </w:pPr>
              </w:p>
              <w:p w14:paraId="0769DC93" w14:textId="77777777">
                <w:pPr>
                  <w:jc w:val="both"/>
                  <w:rPr>
                    <w:rFonts w:eastAsia="Calibri"/>
                    <w:szCs w:val="24"/>
                    <w:lang w:val="x-none"/>
                  </w:rPr>
                </w:pPr>
                <w:r>
                  <w:rPr>
                    <w:rFonts w:eastAsia="Calibri"/>
                    <w:szCs w:val="24"/>
                    <w:lang w:val="x-none"/>
                  </w:rPr>
                  <w:t>2. Juridinių asmenų atstovais pagal pavedimą teisme gali būti:</w:t>
                </w:r>
              </w:p>
              <w:p w14:paraId="033FB9FD" w14:textId="77777777">
                <w:pPr>
                  <w:jc w:val="both"/>
                  <w:rPr>
                    <w:rFonts w:eastAsia="Calibri"/>
                    <w:szCs w:val="24"/>
                    <w:lang w:val="x-none"/>
                  </w:rPr>
                </w:pPr>
                <w:r>
                  <w:rPr>
                    <w:rFonts w:eastAsia="Calibri"/>
                    <w:szCs w:val="24"/>
                    <w:lang w:val="x-none"/>
                  </w:rPr>
                  <w:t>1) šio straipsnio 1 dalies 1, 2, 3, 6 punktuose nurodyti asmenys;</w:t>
                </w:r>
              </w:p>
              <w:p w14:paraId="3ECED66F" w14:textId="77777777">
                <w:pPr>
                  <w:jc w:val="both"/>
                  <w:rPr>
                    <w:rFonts w:eastAsia="Calibri"/>
                    <w:szCs w:val="24"/>
                    <w:lang w:val="x-none"/>
                  </w:rPr>
                </w:pPr>
                <w:r>
                  <w:rPr>
                    <w:rFonts w:eastAsia="Calibri"/>
                    <w:i/>
                    <w:iCs/>
                    <w:szCs w:val="24"/>
                    <w:lang w:val="x-none"/>
                  </w:rPr>
                  <w:t>Straipsnio punkto pakeitimai:</w:t>
                </w:r>
              </w:p>
              <w:p w14:paraId="20052AA8" w14:textId="77777777">
                <w:pPr>
                  <w:jc w:val="both"/>
                  <w:rPr>
                    <w:rFonts w:eastAsia="Calibri"/>
                    <w:szCs w:val="24"/>
                    <w:lang w:val="x-none"/>
                  </w:rPr>
                </w:pPr>
                <w:r>
                  <w:rPr>
                    <w:rFonts w:eastAsia="Calibri"/>
                    <w:i/>
                    <w:iCs/>
                    <w:szCs w:val="24"/>
                    <w:lang w:val="x-none"/>
                  </w:rPr>
                  <w:t>Nr. </w:t>
                </w:r>
                <w:hyperlink r:id="rId7" w:tgtFrame="_parent" w:history="1">
                  <w:r>
                    <w:rPr>
                      <w:rFonts w:eastAsia="Calibri"/>
                      <w:i/>
                      <w:iCs/>
                      <w:color w:val="0000FF"/>
                      <w:szCs w:val="24"/>
                      <w:u w:val="single"/>
                      <w:lang w:val="x-none"/>
                    </w:rPr>
                    <w:t>XIII-2778</w:t>
                  </w:r>
                </w:hyperlink>
                <w:r>
                  <w:rPr>
                    <w:rFonts w:eastAsia="Calibri"/>
                    <w:i/>
                    <w:iCs/>
                    <w:szCs w:val="24"/>
                    <w:lang w:val="x-none"/>
                  </w:rPr>
                  <w:t>, 2020-01-14, paskelbta TAR 2020-01-29, i. k. 2020-02013</w:t>
                </w:r>
              </w:p>
              <w:p w14:paraId="014240B5" w14:textId="77777777">
                <w:pPr>
                  <w:ind w:firstLine="62"/>
                  <w:jc w:val="both"/>
                  <w:rPr>
                    <w:rFonts w:eastAsia="Calibri"/>
                    <w:szCs w:val="24"/>
                    <w:lang w:val="x-none"/>
                  </w:rPr>
                </w:pPr>
              </w:p>
              <w:p w14:paraId="65B912C7" w14:textId="77777777">
                <w:pPr>
                  <w:jc w:val="both"/>
                  <w:rPr>
                    <w:rFonts w:eastAsia="Calibri"/>
                    <w:szCs w:val="24"/>
                    <w:lang w:val="x-none"/>
                  </w:rPr>
                </w:pPr>
                <w:r>
                  <w:rPr>
                    <w:rFonts w:eastAsia="Calibri"/>
                    <w:szCs w:val="24"/>
                    <w:lang w:val="x-none"/>
                  </w:rPr>
                  <w:t>2) aukštąjį universitetinį teisinį išsilavinimą turintys juridinių asmenų darbuotojai ar valstybės tarnautojai;</w:t>
                </w:r>
              </w:p>
              <w:p w14:paraId="081250E3" w14:textId="77777777">
                <w:pPr>
                  <w:jc w:val="both"/>
                  <w:rPr>
                    <w:rFonts w:eastAsia="Calibri"/>
                    <w:szCs w:val="24"/>
                    <w:lang w:val="x-none"/>
                  </w:rPr>
                </w:pPr>
                <w:r>
                  <w:rPr>
                    <w:rFonts w:eastAsia="Calibri"/>
                    <w:szCs w:val="24"/>
                    <w:lang w:val="x-none"/>
                  </w:rPr>
                  <w:t>3) jų patronuojančio juridinio asmens, patronuojamo juridinio asmens arba patronuojančio juridinio asmens patronuojamo juridinio asmens darbuotojai (išskyrus valdymo organų narius), turintys aukštąjį universitetinį teisinį išsilavinimą. Šiame punkte patronuojančiu laikomas juridinis asmuo, turintis daugiau kaip 50 procentų kito juridinio asmens (patronuojamo juridinio asmens) akcijų, dalyvio teisių, pajų;</w:t>
                </w:r>
              </w:p>
              <w:p w14:paraId="41B5C551" w14:textId="77777777">
                <w:pPr>
                  <w:jc w:val="both"/>
                  <w:rPr>
                    <w:rFonts w:eastAsia="Calibri"/>
                    <w:szCs w:val="24"/>
                    <w:lang w:val="x-none"/>
                  </w:rPr>
                </w:pPr>
                <w:r>
                  <w:rPr>
                    <w:rFonts w:eastAsia="Calibri"/>
                    <w:szCs w:val="24"/>
                    <w:lang w:val="x-none"/>
                  </w:rPr>
                  <w:t>4) suinteresuotos aukštesnės valstybės institucijos ar įstaigos valstybės tarnautojai ar darbuotojai, turintys aukštąjį universitetinį teisinį išsilavinimą.</w:t>
                </w:r>
              </w:p>
              <w:p w14:paraId="755F9EBF" w14:textId="77777777">
                <w:pPr>
                  <w:jc w:val="both"/>
                  <w:rPr>
                    <w:rFonts w:eastAsia="Calibri"/>
                    <w:szCs w:val="24"/>
                    <w:lang w:val="x-none"/>
                  </w:rPr>
                </w:pPr>
                <w:r>
                  <w:rPr>
                    <w:rFonts w:eastAsia="Calibri"/>
                    <w:szCs w:val="24"/>
                    <w:lang w:val="x-none"/>
                  </w:rPr>
                  <w:t>3. Kai reikia specialių žinių, susijusių su bylos dalyku, kartu su šio straipsnio 1 dalies 1 ir 2 punktuose nurodytais asmenimis, taip pat su šio straipsnio 2 dalyje nurodytais asmenimis ir šio Kodekso 55 straipsnyje nurodytais asmenimis (kai atstovaujama juridiniam asmeniui) atstovais pagal pavedimą gali būti ir kiti asmenys – neteisinių sričių specialistai (auditoriai, buhalteriai, mokesčių konsultantai, patentiniai patikėtiniai ir kt.). Į teismo posėdį neatvykus šio straipsnio 1 dalies 1 ir 2 punktuose nurodytiems asmenims, taip pat šio straipsnio 2 dalyje nurodytiems asmenims ir šio Kodekso 55 straipsnyje nurodytiems asmenims (kai atstovaujama juridiniam asmeniui), kiti asmenys byloje atstovauti pagal pavedimą savarankiškai negali.</w:t>
                </w:r>
              </w:p>
              <w:p w14:paraId="7059FBEC" w14:textId="77777777">
                <w:pPr>
                  <w:jc w:val="both"/>
                  <w:rPr>
                    <w:rFonts w:eastAsia="Calibri"/>
                    <w:szCs w:val="24"/>
                    <w:lang w:val="x-none"/>
                  </w:rPr>
                </w:pPr>
                <w:r>
                  <w:rPr>
                    <w:rFonts w:eastAsia="Calibri"/>
                    <w:szCs w:val="24"/>
                    <w:lang w:val="x-none"/>
                  </w:rPr>
                  <w:t>4. Neleisti atstovauti pagal pavedimą teismas gali tik tada, kai atstovas pagal įstatymus negali būti įgaliotojo atstovu.</w:t>
                </w:r>
              </w:p>
              <w:p w14:paraId="4722745C" w14:textId="77777777">
                <w:pPr>
                  <w:jc w:val="both"/>
                  <w:rPr>
                    <w:rFonts w:eastAsia="Calibri"/>
                    <w:szCs w:val="24"/>
                    <w:lang w:val="x-none"/>
                  </w:rPr>
                </w:pPr>
                <w:r>
                  <w:rPr>
                    <w:rFonts w:eastAsia="Calibri"/>
                    <w:i/>
                    <w:iCs/>
                    <w:szCs w:val="24"/>
                    <w:lang w:val="x-none"/>
                  </w:rPr>
                  <w:t>Straipsnio pakeitimai:</w:t>
                </w:r>
              </w:p>
              <w:p w14:paraId="0FD6CF5B" w14:textId="77777777">
                <w:pPr>
                  <w:jc w:val="both"/>
                  <w:rPr>
                    <w:rFonts w:eastAsia="Calibri"/>
                    <w:szCs w:val="24"/>
                    <w:lang w:val="x-none"/>
                  </w:rPr>
                </w:pPr>
                <w:r>
                  <w:rPr>
                    <w:rFonts w:eastAsia="Calibri"/>
                    <w:i/>
                    <w:iCs/>
                    <w:szCs w:val="24"/>
                    <w:lang w:val="x-none"/>
                  </w:rPr>
                  <w:t>Nr. </w:t>
                </w:r>
                <w:hyperlink r:id="rId8" w:tgtFrame="_parent" w:history="1">
                  <w:r>
                    <w:rPr>
                      <w:rFonts w:eastAsia="Calibri"/>
                      <w:i/>
                      <w:iCs/>
                      <w:color w:val="0000FF"/>
                      <w:szCs w:val="24"/>
                      <w:u w:val="single"/>
                      <w:lang w:val="x-none"/>
                    </w:rPr>
                    <w:t>XI-1480</w:t>
                  </w:r>
                </w:hyperlink>
                <w:r>
                  <w:rPr>
                    <w:rFonts w:eastAsia="Calibri"/>
                    <w:i/>
                    <w:iCs/>
                    <w:szCs w:val="24"/>
                    <w:lang w:val="x-none"/>
                  </w:rPr>
                  <w:t xml:space="preserve">, 2011-06-21, Žin., 2011, Nr. </w:t>
                </w:r>
                <w:fldSimple w:instr="HYPERLINK https://www.e-tar.lt/portal/legalAct.html?documentId=TAIS.403087 \t _blank">
                  <w:r>
                    <w:rPr>
                      <w:rFonts w:eastAsia="Calibri"/>
                      <w:i/>
                      <w:iCs/>
                      <w:szCs w:val="24"/>
                      <w:lang w:val="x-none"/>
                      <w:u w:val="single"/>
                      <w:color w:val="0000FF" w:themeColor="hyperlink"/>
                    </w:rPr>
                    <w:t>85-4126</w:t>
                  </w:r>
                </w:fldSimple>
                <w:r>
                  <w:rPr>
                    <w:rFonts w:eastAsia="Calibri"/>
                    <w:i/>
                    <w:iCs/>
                    <w:szCs w:val="24"/>
                    <w:lang w:val="x-none"/>
                  </w:rPr>
                  <w:t xml:space="preserve"> (2011-07-13)</w:t>
                </w:r>
              </w:p>
              <w:p w14:paraId="3EDD990B" w14:textId="77777777">
                <w:pPr>
                  <w:jc w:val="both"/>
                  <w:rPr>
                    <w:rFonts w:eastAsia="Calibri"/>
                    <w:szCs w:val="24"/>
                    <w:lang w:val="x-none"/>
                  </w:rPr>
                </w:pPr>
                <w:r>
                  <w:rPr>
                    <w:rFonts w:eastAsia="Calibri"/>
                    <w:i/>
                    <w:iCs/>
                    <w:szCs w:val="24"/>
                    <w:lang w:val="x-none"/>
                  </w:rPr>
                  <w:t>Straipsnio pakeitimai:</w:t>
                </w:r>
              </w:p>
              <w:p w14:paraId="564523AB" w14:textId="77777777">
                <w:pPr>
                  <w:jc w:val="both"/>
                  <w:rPr>
                    <w:rFonts w:eastAsia="Calibri"/>
                    <w:szCs w:val="24"/>
                    <w:lang w:val="x-none"/>
                  </w:rPr>
                </w:pPr>
                <w:r>
                  <w:rPr>
                    <w:rFonts w:eastAsia="Calibri"/>
                    <w:i/>
                    <w:iCs/>
                    <w:szCs w:val="24"/>
                    <w:lang w:val="x-none"/>
                  </w:rPr>
                  <w:t>Nr. </w:t>
                </w:r>
                <w:hyperlink r:id="rId9" w:tgtFrame="_parent" w:history="1">
                  <w:r>
                    <w:rPr>
                      <w:rFonts w:eastAsia="Calibri"/>
                      <w:i/>
                      <w:iCs/>
                      <w:color w:val="0000FF"/>
                      <w:szCs w:val="24"/>
                      <w:u w:val="single"/>
                      <w:lang w:val="x-none"/>
                    </w:rPr>
                    <w:t>XII-2751</w:t>
                  </w:r>
                </w:hyperlink>
                <w:r>
                  <w:rPr>
                    <w:rFonts w:eastAsia="Calibri"/>
                    <w:i/>
                    <w:iCs/>
                    <w:szCs w:val="24"/>
                    <w:lang w:val="x-none"/>
                  </w:rPr>
                  <w:t>, 2016-11-08, paskelbta TAR 2016-11-17, i. k. 2016-26956</w:t>
                </w:r>
              </w:p>
              <w:p w14:paraId="4D86D4AB" w14:textId="77777777">
                <w:pPr>
                  <w:jc w:val="both"/>
                  <w:rPr>
                    <w:rFonts w:eastAsia="Calibri"/>
                    <w:b/>
                    <w:szCs w:val="24"/>
                  </w:rPr>
                </w:pPr>
              </w:p>
              <w:p w14:paraId="48998F58" w14:textId="77777777">
                <w:pPr>
                  <w:jc w:val="both"/>
                  <w:rPr>
                    <w:rFonts w:eastAsia="Calibri"/>
                    <w:b/>
                    <w:szCs w:val="24"/>
                    <w:lang w:eastAsia="lt-LT"/>
                  </w:rPr>
                </w:pPr>
                <w:r>
                  <w:rPr>
                    <w:rFonts w:eastAsia="Calibri"/>
                    <w:b/>
                    <w:szCs w:val="24"/>
                  </w:rPr>
                  <w:t xml:space="preserve">Lietuvos Respublikos asociacijų įstatymas Nr. IX-1969 </w:t>
                </w:r>
              </w:p>
              <w:p w14:paraId="461CFA09" w14:textId="77777777">
                <w:pPr>
                  <w:jc w:val="both"/>
                  <w:rPr>
                    <w:rFonts w:eastAsia="Calibri"/>
                    <w:b/>
                    <w:szCs w:val="24"/>
                    <w:lang w:eastAsia="lt-LT"/>
                  </w:rPr>
                </w:pPr>
                <w:r>
                  <w:rPr>
                    <w:rFonts w:eastAsia="Calibri"/>
                    <w:b/>
                    <w:szCs w:val="24"/>
                    <w:lang w:eastAsia="lt-LT"/>
                  </w:rPr>
                  <w:t xml:space="preserve">2 straipsnis. Asociacijos samprata </w:t>
                </w:r>
              </w:p>
              <w:p w14:paraId="60B107A8" w14:textId="77777777">
                <w:pPr>
                  <w:jc w:val="both"/>
                  <w:rPr>
                    <w:rFonts w:eastAsia="Calibri"/>
                    <w:szCs w:val="24"/>
                    <w:lang w:eastAsia="lt-LT"/>
                  </w:rPr>
                </w:pPr>
                <w:r>
                  <w:rPr>
                    <w:rFonts w:eastAsia="Calibri"/>
                    <w:szCs w:val="24"/>
                    <w:lang w:eastAsia="lt-LT"/>
                  </w:rPr>
                  <w:t>1. Asociacija – savo pavadinimą turintis ribotos civilinės atsakomybės viešasis juridinis asmuo, kurio tikslas – koordinuoti asociacijos narių veiklą, atstovauti asociacijos narių interesams ir juos ginti ar tenkinti kitus viešuosius interesus.</w:t>
                </w:r>
              </w:p>
            </w:tc>
            <w:tc>
              <w:tcPr>
                <w:tcW w:w="1889" w:type="dxa"/>
                <w:tcBorders>
                  <w:top w:val="single" w:sz="4" w:space="0" w:color="auto"/>
                  <w:left w:val="single" w:sz="4" w:space="0" w:color="auto"/>
                  <w:bottom w:val="single" w:sz="4" w:space="0" w:color="auto"/>
                  <w:right w:val="single" w:sz="4" w:space="0" w:color="auto"/>
                </w:tcBorders>
              </w:tcPr>
              <w:p w14:paraId="027F9073" w14:textId="77777777">
                <w:pPr>
                  <w:tabs>
                    <w:tab w:val="left" w:pos="1296"/>
                    <w:tab w:val="center" w:pos="4153"/>
                    <w:tab w:val="right" w:pos="8306"/>
                  </w:tabs>
                  <w:jc w:val="both"/>
                  <w:rPr>
                    <w:szCs w:val="24"/>
                    <w:lang w:eastAsia="lt-LT"/>
                  </w:rPr>
                </w:pPr>
                <w:r>
                  <w:rPr>
                    <w:b/>
                    <w:bCs/>
                    <w:szCs w:val="24"/>
                    <w:lang w:eastAsia="lt-LT"/>
                  </w:rPr>
                  <w:t>Visiškas</w:t>
                </w:r>
              </w:p>
            </w:tc>
          </w:tr>
          <w:tr w14:paraId="7A2C3D4E" w14:textId="77777777">
            <w:trPr>
              <w:jc w:val="center"/>
            </w:trPr>
            <w:tc>
              <w:tcPr>
                <w:tcW w:w="5813" w:type="dxa"/>
                <w:tcBorders>
                  <w:top w:val="single" w:sz="4" w:space="0" w:color="auto"/>
                  <w:left w:val="single" w:sz="4" w:space="0" w:color="auto"/>
                  <w:bottom w:val="single" w:sz="4" w:space="0" w:color="auto"/>
                  <w:right w:val="single" w:sz="4" w:space="0" w:color="auto"/>
                </w:tcBorders>
              </w:tcPr>
              <w:p w14:paraId="7BD6DC0A" w14:textId="77777777">
                <w:pPr>
                  <w:jc w:val="both"/>
                  <w:rPr>
                    <w:lang w:eastAsia="lt-LT"/>
                  </w:rPr>
                </w:pPr>
                <w:r>
                  <w:rPr>
                    <w:b/>
                    <w:bCs/>
                    <w:lang w:eastAsia="lt-LT"/>
                  </w:rPr>
                  <w:t>11 straipsnis</w:t>
                </w:r>
              </w:p>
              <w:p w14:paraId="7CC4702D" w14:textId="77777777">
                <w:pPr>
                  <w:jc w:val="both"/>
                  <w:rPr>
                    <w:lang w:eastAsia="lt-LT"/>
                  </w:rPr>
                </w:pPr>
                <w:r>
                  <w:rPr>
                    <w:b/>
                    <w:lang w:eastAsia="lt-LT"/>
                  </w:rPr>
                  <w:t>Lygybės įstaigos</w:t>
                </w:r>
                <w:r>
                  <w:rPr>
                    <w:lang w:eastAsia="lt-LT"/>
                  </w:rPr>
                  <w:t xml:space="preserve"> </w:t>
                </w:r>
              </w:p>
              <w:p w14:paraId="17107AFE" w14:textId="77777777">
                <w:pPr>
                  <w:jc w:val="both"/>
                  <w:rPr>
                    <w:lang w:eastAsia="lt-LT"/>
                  </w:rPr>
                </w:pPr>
                <w:r>
                  <w:rPr>
                    <w:lang w:eastAsia="lt-LT"/>
                  </w:rPr>
                  <w:t xml:space="preserve">1. Valstybės narės imasi būtinų priemonių siekdamos užtikrinti, kad pagal Direktyvos </w:t>
                </w:r>
                <w:fldSimple w:instr="HYPERLINK http://eur-lex.europa.eu/legal-content/LIT/TXT/?uri=CELEX:32006L0054&amp;locale=lt \t _blank">
                  <w:r>
                    <w:rPr>
                      <w:lang w:eastAsia="lt-LT"/>
                      <w:u w:val="single"/>
                      <w:color w:val="0000FF" w:themeColor="hyperlink"/>
                    </w:rPr>
                    <w:t>2006/54/EB</w:t>
                  </w:r>
                </w:fldSimple>
                <w:r>
                  <w:rPr>
                    <w:lang w:eastAsia="lt-LT"/>
                  </w:rPr>
                  <w:t xml:space="preserve"> 20 straipsnį paskirta įstaiga arba įstaigos taip pat būtų kompetentingos skatinti, analizuoti, stebėti ir remti vienodą požiūrį į visus asmenis, kuriems taikoma ši direktyva, nediskriminuojant dėl lyties. </w:t>
                </w:r>
              </w:p>
              <w:p w14:paraId="6E4B1380" w14:textId="77777777">
                <w:pPr>
                  <w:jc w:val="both"/>
                  <w:rPr>
                    <w:lang w:eastAsia="lt-LT"/>
                  </w:rPr>
                </w:pPr>
              </w:p>
              <w:p w14:paraId="5137FC4D" w14:textId="77777777">
                <w:pPr>
                  <w:jc w:val="both"/>
                  <w:rPr>
                    <w:lang w:eastAsia="lt-LT"/>
                  </w:rPr>
                </w:pPr>
                <w:r>
                  <w:rPr>
                    <w:lang w:eastAsia="lt-LT"/>
                  </w:rPr>
                  <w:t xml:space="preserve">2. Valstybės narės užtikrina, kad 1 dalyje nurodytos įstaigos, be kitų, įgyvendintų šiuos uždavinius: </w:t>
                </w:r>
              </w:p>
              <w:p w14:paraId="6BD6F7E7" w14:textId="77777777">
                <w:pPr>
                  <w:jc w:val="both"/>
                  <w:rPr>
                    <w:lang w:eastAsia="lt-LT"/>
                  </w:rPr>
                </w:pPr>
                <w:r>
                  <w:rPr>
                    <w:lang w:eastAsia="lt-LT"/>
                  </w:rPr>
                  <w:t xml:space="preserve">a) nedarydamos poveikio nukentėjusių asmenų ir 9 straipsnio 2 dalyje nurodytų asociacijų, organizacijų ir kitų teisės subjektų teisėms, teiktų nepriklausomą pagalbą diskriminacijos aukoms nagrinėdamos jų skundus dėl diskriminacijos; </w:t>
                </w:r>
              </w:p>
              <w:p w14:paraId="30F14245" w14:textId="77777777">
                <w:pPr>
                  <w:jc w:val="both"/>
                  <w:rPr>
                    <w:lang w:eastAsia="lt-LT"/>
                  </w:rPr>
                </w:pPr>
                <w:r>
                  <w:rPr>
                    <w:lang w:eastAsia="lt-LT"/>
                  </w:rPr>
                  <w:t xml:space="preserve">b) atliktų nepriklausomus tyrimus dėl diskriminacijos; </w:t>
                </w:r>
              </w:p>
              <w:p w14:paraId="32881387" w14:textId="77777777">
                <w:pPr>
                  <w:jc w:val="both"/>
                  <w:rPr>
                    <w:lang w:eastAsia="lt-LT"/>
                  </w:rPr>
                </w:pPr>
                <w:r>
                  <w:rPr>
                    <w:lang w:eastAsia="lt-LT"/>
                  </w:rPr>
                  <w:t xml:space="preserve">c) skelbtų nepriklausomas ataskaitas ir teiktų rekomendacijas visais su tokia diskriminacija susijusiais klausimais; </w:t>
                </w:r>
              </w:p>
              <w:p w14:paraId="2962004E" w14:textId="77777777">
                <w:pPr>
                  <w:jc w:val="both"/>
                  <w:rPr>
                    <w:rFonts w:eastAsia="Calibri"/>
                    <w:szCs w:val="24"/>
                  </w:rPr>
                </w:pPr>
                <w:r>
                  <w:rPr>
                    <w:lang w:eastAsia="lt-LT"/>
                  </w:rPr>
                  <w:t>d) atitinkamu lygiu keistųsi turima informacija su atitinkamomis Europos įstaigomis, pvz., Europos lyčių lygybės institutu</w:t>
                </w:r>
              </w:p>
            </w:tc>
            <w:tc>
              <w:tcPr>
                <w:tcW w:w="6454" w:type="dxa"/>
                <w:tcBorders>
                  <w:top w:val="single" w:sz="4" w:space="0" w:color="auto"/>
                  <w:left w:val="single" w:sz="4" w:space="0" w:color="auto"/>
                  <w:bottom w:val="single" w:sz="4" w:space="0" w:color="auto"/>
                  <w:right w:val="single" w:sz="4" w:space="0" w:color="auto"/>
                </w:tcBorders>
              </w:tcPr>
              <w:p w14:paraId="179A0A4A" w14:textId="61EDFACE">
                <w:pPr>
                  <w:jc w:val="both"/>
                  <w:rPr>
                    <w:rFonts w:eastAsia="Calibri"/>
                    <w:b/>
                    <w:bCs/>
                    <w:szCs w:val="24"/>
                  </w:rPr>
                </w:pPr>
                <w:r>
                  <w:rPr>
                    <w:rFonts w:eastAsia="Calibri"/>
                    <w:b/>
                    <w:bCs/>
                    <w:szCs w:val="24"/>
                  </w:rPr>
                  <w:t>20 straipsnis. Lygių galimybių kontrolieriaus tarnyba</w:t>
                </w:r>
              </w:p>
              <w:p w14:paraId="0B897581" w14:textId="77777777">
                <w:pPr>
                  <w:jc w:val="both"/>
                  <w:rPr>
                    <w:rFonts w:eastAsia="Calibri"/>
                    <w:b/>
                    <w:bCs/>
                    <w:szCs w:val="24"/>
                  </w:rPr>
                </w:pPr>
                <w:r>
                  <w:rPr>
                    <w:rFonts w:eastAsia="Calibri"/>
                    <w:b/>
                    <w:bCs/>
                    <w:szCs w:val="24"/>
                  </w:rPr>
                  <w:t>1. Lygių galimybių kontrolieriaus tarnyba yra iš valstybės biudžeto išlaikoma biudžetinė įstaiga, kurios steigimo tikslas – užtikrinti lygių galimybių kontrolieriaus darbą. Lygių galimybių kontrolieriaus tarnybos savininko teises ir pareigas įgyvendina Seimas.</w:t>
                </w:r>
              </w:p>
              <w:p w14:paraId="336D8751" w14:textId="23358859">
                <w:pPr>
                  <w:jc w:val="both"/>
                  <w:rPr>
                    <w:rFonts w:eastAsia="Calibri"/>
                    <w:b/>
                    <w:bCs/>
                    <w:szCs w:val="24"/>
                  </w:rPr>
                </w:pPr>
                <w:r>
                  <w:rPr>
                    <w:rFonts w:eastAsia="Calibri"/>
                    <w:b/>
                    <w:bCs/>
                    <w:szCs w:val="24"/>
                  </w:rPr>
                  <w:t>&lt;...&gt;</w:t>
                </w:r>
              </w:p>
              <w:p w14:paraId="0BED03C6" w14:textId="763EBDB0">
                <w:pPr>
                  <w:jc w:val="both"/>
                  <w:rPr>
                    <w:rFonts w:eastAsia="Calibri"/>
                    <w:b/>
                    <w:bCs/>
                    <w:szCs w:val="24"/>
                  </w:rPr>
                </w:pPr>
                <w:r>
                  <w:rPr>
                    <w:rFonts w:eastAsia="Calibri"/>
                    <w:b/>
                    <w:bCs/>
                    <w:szCs w:val="24"/>
                  </w:rPr>
                  <w:t xml:space="preserve">13 straipsnis. Lygių galimybių kontrolierius </w:t>
                </w:r>
              </w:p>
              <w:p w14:paraId="1EB67223" w14:textId="77777777">
                <w:pPr>
                  <w:jc w:val="both"/>
                  <w:rPr>
                    <w:rFonts w:eastAsia="Calibri"/>
                    <w:b/>
                    <w:bCs/>
                    <w:szCs w:val="24"/>
                  </w:rPr>
                </w:pPr>
                <w:r>
                  <w:rPr>
                    <w:rFonts w:eastAsia="Calibri"/>
                    <w:b/>
                    <w:bCs/>
                    <w:szCs w:val="24"/>
                  </w:rPr>
                  <w:t xml:space="preserve">1. Lygių galimybių kontrolierius yra nepriklausomas nuo valstybės ir savivaldybių institucijų bei įstaigų, pareigūnų ar kitų asmenų ir pagal kompetenciją veikia savarankiškai. Lygių galimybių kontrolieriui negali būti daromas joks politinis, ekonominis, psichologinis, socialinis spaudimas ar kitoks neteisėtas poveikis, kuris galėtų turėti įtakos jo sprendimams. </w:t>
                </w:r>
              </w:p>
              <w:p w14:paraId="58456CD3" w14:textId="73D13F15">
                <w:pPr>
                  <w:jc w:val="both"/>
                  <w:rPr>
                    <w:rFonts w:eastAsia="Calibri"/>
                    <w:b/>
                    <w:bCs/>
                    <w:szCs w:val="24"/>
                  </w:rPr>
                </w:pPr>
                <w:r>
                  <w:rPr>
                    <w:rFonts w:eastAsia="Calibri"/>
                    <w:b/>
                    <w:bCs/>
                    <w:szCs w:val="24"/>
                  </w:rPr>
                  <w:t>&lt;...&gt;</w:t>
                </w:r>
              </w:p>
              <w:p w14:paraId="7A6CB8C2" w14:textId="77777777">
                <w:pPr>
                  <w:jc w:val="both"/>
                  <w:rPr>
                    <w:rFonts w:eastAsia="Calibri"/>
                    <w:b/>
                    <w:bCs/>
                    <w:szCs w:val="24"/>
                  </w:rPr>
                </w:pPr>
                <w:r>
                  <w:rPr>
                    <w:rFonts w:eastAsia="Calibri"/>
                    <w:b/>
                    <w:bCs/>
                    <w:szCs w:val="24"/>
                  </w:rPr>
                  <w:t xml:space="preserve">3. Lygių galimybių kontrolierius savo veikloje yra objektyvus ir, spręsdamas jo kompetencijai priskirtus klausimus, vienodai (lygiai teisingai) priima sprendimus, užtikrindamas lygias galimybes. </w:t>
                </w:r>
              </w:p>
              <w:p w14:paraId="641EDDA5" w14:textId="49E5DC71">
                <w:pPr>
                  <w:jc w:val="both"/>
                  <w:rPr>
                    <w:rFonts w:eastAsia="Calibri"/>
                    <w:b/>
                    <w:bCs/>
                    <w:szCs w:val="24"/>
                  </w:rPr>
                </w:pPr>
                <w:r>
                  <w:rPr>
                    <w:rFonts w:eastAsia="Calibri"/>
                    <w:b/>
                    <w:bCs/>
                    <w:szCs w:val="24"/>
                  </w:rPr>
                  <w:t>4. Lygių galimybių kontrolierius:</w:t>
                </w:r>
              </w:p>
              <w:p w14:paraId="0F29ED7E" w14:textId="77777777">
                <w:pPr>
                  <w:jc w:val="both"/>
                  <w:rPr>
                    <w:rFonts w:eastAsia="Calibri"/>
                    <w:b/>
                    <w:bCs/>
                    <w:szCs w:val="24"/>
                  </w:rPr>
                </w:pPr>
                <w:r>
                  <w:rPr>
                    <w:rFonts w:eastAsia="Calibri"/>
                    <w:b/>
                    <w:bCs/>
                    <w:szCs w:val="24"/>
                  </w:rPr>
                  <w:t xml:space="preserve">1)sprendžia jo kompetencijai priskirtus klausimus ir atsako už Lygių galimybių kontrolieriaus tarnybos veiklą: jai nustatytų veiklos tikslų pasiekimą, veiklos planavimą ir organizavimą bei funkcijų atlikimą, laikantis įstatymų ir kitų teisės aktų; </w:t>
                </w:r>
              </w:p>
              <w:p w14:paraId="5688B97D" w14:textId="376BD4F6">
                <w:pPr>
                  <w:jc w:val="both"/>
                  <w:rPr>
                    <w:rFonts w:eastAsia="Calibri"/>
                    <w:b/>
                    <w:bCs/>
                    <w:szCs w:val="24"/>
                  </w:rPr>
                </w:pPr>
                <w:r>
                  <w:rPr>
                    <w:rFonts w:eastAsia="Calibri"/>
                    <w:b/>
                    <w:bCs/>
                    <w:szCs w:val="24"/>
                  </w:rPr>
                  <w:t>&lt;...&gt;</w:t>
                </w:r>
              </w:p>
              <w:p w14:paraId="64598C6E" w14:textId="4CF27138">
                <w:pPr>
                  <w:jc w:val="both"/>
                  <w:rPr>
                    <w:rFonts w:eastAsia="Calibri"/>
                    <w:b/>
                    <w:bCs/>
                    <w:szCs w:val="24"/>
                  </w:rPr>
                </w:pPr>
                <w:r>
                  <w:rPr>
                    <w:rFonts w:eastAsia="Calibri"/>
                    <w:b/>
                    <w:bCs/>
                    <w:szCs w:val="24"/>
                  </w:rPr>
                  <w:t>3) vykdo šio įstatymo įgyvendinimo priežiūrą ir Jungtinių Tautų asmenų su negalia teisių konvencijos įgyvendinimo kontrolę;</w:t>
                </w:r>
              </w:p>
              <w:p w14:paraId="4FA77D2B" w14:textId="2CB54E23">
                <w:pPr>
                  <w:jc w:val="both"/>
                  <w:rPr>
                    <w:rFonts w:eastAsia="Calibri"/>
                    <w:b/>
                    <w:bCs/>
                    <w:szCs w:val="24"/>
                  </w:rPr>
                </w:pPr>
                <w:r>
                  <w:rPr>
                    <w:rFonts w:eastAsia="Calibri"/>
                    <w:b/>
                    <w:bCs/>
                    <w:szCs w:val="24"/>
                  </w:rPr>
                  <w:t>&lt;...&gt;</w:t>
                </w:r>
              </w:p>
              <w:p w14:paraId="5640CB86" w14:textId="296E9E91">
                <w:pPr>
                  <w:jc w:val="both"/>
                  <w:rPr>
                    <w:rFonts w:eastAsia="Calibri"/>
                    <w:b/>
                    <w:bCs/>
                    <w:szCs w:val="24"/>
                  </w:rPr>
                </w:pPr>
                <w:r>
                  <w:rPr>
                    <w:rFonts w:eastAsia="Calibri"/>
                    <w:b/>
                    <w:bCs/>
                    <w:szCs w:val="24"/>
                  </w:rPr>
                  <w:t xml:space="preserve">9) nagrinėja asmenų skundus; </w:t>
                </w:r>
              </w:p>
              <w:p w14:paraId="0ECCA8BA" w14:textId="288A1148">
                <w:pPr>
                  <w:jc w:val="both"/>
                  <w:rPr>
                    <w:rFonts w:eastAsia="Calibri"/>
                    <w:b/>
                    <w:bCs/>
                    <w:szCs w:val="24"/>
                  </w:rPr>
                </w:pPr>
                <w:r>
                  <w:rPr>
                    <w:rFonts w:eastAsia="Calibri"/>
                    <w:b/>
                    <w:bCs/>
                    <w:szCs w:val="24"/>
                  </w:rPr>
                  <w:t>&lt;...&gt;</w:t>
                </w:r>
              </w:p>
              <w:p w14:paraId="5C71A144" w14:textId="296E1690">
                <w:pPr>
                  <w:jc w:val="both"/>
                  <w:rPr>
                    <w:rFonts w:eastAsia="Calibri"/>
                    <w:b/>
                    <w:bCs/>
                    <w:szCs w:val="24"/>
                  </w:rPr>
                </w:pPr>
                <w:r>
                  <w:rPr>
                    <w:rFonts w:eastAsia="Calibri"/>
                    <w:b/>
                    <w:bCs/>
                    <w:szCs w:val="24"/>
                  </w:rPr>
                  <w:t>13) vykdo informacinę, prevencinę ir švietėjišką veiklą lygių galimybių srityje;</w:t>
                </w:r>
              </w:p>
              <w:p w14:paraId="0E44824D" w14:textId="48963CDC">
                <w:pPr>
                  <w:jc w:val="both"/>
                  <w:rPr>
                    <w:rFonts w:eastAsia="Calibri"/>
                    <w:b/>
                    <w:bCs/>
                    <w:szCs w:val="24"/>
                  </w:rPr>
                </w:pPr>
                <w:r>
                  <w:rPr>
                    <w:rFonts w:eastAsia="Calibri"/>
                    <w:b/>
                    <w:bCs/>
                    <w:szCs w:val="24"/>
                  </w:rPr>
                  <w:t>14) savo iniciatyva atlieka nepriklausomus socialinius, visuomenės nuostatų tyrimus, rengia diskriminacijos apraiškų ir lygių galimybių užtikrinimo apžvalgas;</w:t>
                </w:r>
              </w:p>
              <w:p w14:paraId="75477A38" w14:textId="74B70C44">
                <w:pPr>
                  <w:jc w:val="both"/>
                  <w:rPr>
                    <w:rFonts w:eastAsia="Calibri"/>
                    <w:b/>
                    <w:bCs/>
                    <w:szCs w:val="24"/>
                  </w:rPr>
                </w:pPr>
                <w:r>
                  <w:rPr>
                    <w:rFonts w:eastAsia="Calibri"/>
                    <w:b/>
                    <w:bCs/>
                    <w:szCs w:val="24"/>
                  </w:rPr>
                  <w:t>15) rengia ir skelbia nepriklausomas diskriminacijos apraiškų Lietuvos Respublikoje apžvalgas, ataskaitas dėl lygių galimybių ir diskriminacijos padėties, įskaitant ne rečiau kaip kas 4 metus skelbiamą vieną ar kelias ataskaitas dėl lygių galimybių ir diskriminacijos, kurioje (kuriose) pateikiamos rekomendacijos, kaip gerinti padėtį, susijusią su žmonių teise į lygybę ir vienodą požiūrį į juos be diskriminacijos visoje Lietuvos Respublikos teritorijoje;</w:t>
                </w:r>
              </w:p>
              <w:p w14:paraId="5228A3AA" w14:textId="63C7DCA6">
                <w:pPr>
                  <w:jc w:val="both"/>
                  <w:rPr>
                    <w:rFonts w:eastAsia="Calibri"/>
                    <w:b/>
                    <w:bCs/>
                    <w:szCs w:val="24"/>
                  </w:rPr>
                </w:pPr>
                <w:r>
                  <w:rPr>
                    <w:rFonts w:eastAsia="Calibri"/>
                    <w:b/>
                    <w:bCs/>
                    <w:szCs w:val="24"/>
                  </w:rPr>
                  <w:t>&lt;...&gt;</w:t>
                </w:r>
              </w:p>
              <w:p w14:paraId="7C1B8B31" w14:textId="77777777">
                <w:pPr>
                  <w:jc w:val="both"/>
                  <w:rPr>
                    <w:rFonts w:eastAsia="Calibri"/>
                    <w:b/>
                    <w:bCs/>
                    <w:szCs w:val="24"/>
                  </w:rPr>
                </w:pPr>
              </w:p>
              <w:p w14:paraId="47B7E038" w14:textId="46B0D535">
                <w:pPr>
                  <w:jc w:val="both"/>
                  <w:rPr>
                    <w:rFonts w:eastAsia="Calibri"/>
                    <w:b/>
                    <w:bCs/>
                    <w:szCs w:val="24"/>
                  </w:rPr>
                </w:pPr>
                <w:r>
                  <w:rPr>
                    <w:rFonts w:eastAsia="Calibri"/>
                    <w:b/>
                    <w:bCs/>
                    <w:szCs w:val="24"/>
                  </w:rPr>
                  <w:t>20 straipsnis. Lygių galimybių kontrolieriaus tarnyba</w:t>
                </w:r>
              </w:p>
              <w:p w14:paraId="7421A346" w14:textId="77777777">
                <w:pPr>
                  <w:jc w:val="both"/>
                  <w:rPr>
                    <w:rFonts w:eastAsia="Calibri"/>
                    <w:b/>
                    <w:bCs/>
                    <w:szCs w:val="24"/>
                  </w:rPr>
                </w:pPr>
                <w:r>
                  <w:rPr>
                    <w:rFonts w:eastAsia="Calibri"/>
                    <w:b/>
                    <w:bCs/>
                    <w:szCs w:val="24"/>
                  </w:rPr>
                  <w:t>[..]</w:t>
                </w:r>
              </w:p>
              <w:p w14:paraId="4981B9F4" w14:textId="77777777">
                <w:pPr>
                  <w:jc w:val="both"/>
                  <w:rPr>
                    <w:rFonts w:eastAsia="Calibri"/>
                    <w:b/>
                    <w:bCs/>
                    <w:szCs w:val="24"/>
                  </w:rPr>
                </w:pPr>
                <w:r>
                  <w:rPr>
                    <w:rFonts w:eastAsia="Calibri"/>
                    <w:b/>
                    <w:bCs/>
                    <w:szCs w:val="24"/>
                  </w:rPr>
                  <w:t>3. Lygių galimybių kontrolieriaus tarnybai vadovauja lygių galimybių kontrolierius.</w:t>
                </w:r>
              </w:p>
              <w:p w14:paraId="10C7937F" w14:textId="1BBA7F9B">
                <w:pPr>
                  <w:jc w:val="both"/>
                  <w:rPr>
                    <w:rFonts w:eastAsia="Calibri"/>
                    <w:b/>
                    <w:bCs/>
                    <w:szCs w:val="24"/>
                  </w:rPr>
                </w:pPr>
                <w:r>
                  <w:rPr>
                    <w:rFonts w:eastAsia="Calibri"/>
                    <w:b/>
                    <w:bCs/>
                    <w:szCs w:val="24"/>
                  </w:rPr>
                  <w:t>&lt;...&gt;</w:t>
                </w:r>
              </w:p>
              <w:p w14:paraId="5372180C" w14:textId="77777777">
                <w:pPr>
                  <w:jc w:val="both"/>
                  <w:rPr>
                    <w:rFonts w:eastAsia="Calibri"/>
                    <w:b/>
                    <w:bCs/>
                    <w:szCs w:val="24"/>
                  </w:rPr>
                </w:pPr>
              </w:p>
              <w:p w14:paraId="5B1164F1" w14:textId="0070EB0D">
                <w:pPr>
                  <w:jc w:val="both"/>
                  <w:rPr>
                    <w:rFonts w:eastAsia="Calibri"/>
                    <w:b/>
                    <w:bCs/>
                    <w:szCs w:val="24"/>
                  </w:rPr>
                </w:pPr>
                <w:r>
                  <w:rPr>
                    <w:rFonts w:eastAsia="Calibri"/>
                    <w:b/>
                    <w:bCs/>
                    <w:szCs w:val="24"/>
                  </w:rPr>
                  <w:t xml:space="preserve">23 straipsnis. Asmens, kurio lygios galimybės galimai pažeistos, teisės </w:t>
                </w:r>
              </w:p>
              <w:p w14:paraId="455A508F" w14:textId="77777777">
                <w:pPr>
                  <w:jc w:val="both"/>
                  <w:rPr>
                    <w:rFonts w:eastAsia="Calibri"/>
                    <w:b/>
                    <w:bCs/>
                    <w:szCs w:val="24"/>
                  </w:rPr>
                </w:pPr>
                <w:r>
                  <w:rPr>
                    <w:rFonts w:eastAsia="Calibri"/>
                    <w:b/>
                    <w:bCs/>
                    <w:szCs w:val="24"/>
                  </w:rPr>
                  <w:t xml:space="preserve">1.Asmuo, manantis, kad yra pažeistos jo lygios galimybės, turi teisę kreiptis į lygių galimybių kontrolierių ir šio įstatymo VI skyriuje nustatyta tvarka pateikti skundą. </w:t>
                </w:r>
              </w:p>
              <w:p w14:paraId="34D16414" w14:textId="050C445F">
                <w:pPr>
                  <w:jc w:val="both"/>
                  <w:rPr>
                    <w:rFonts w:eastAsia="Calibri"/>
                    <w:b/>
                    <w:bCs/>
                    <w:szCs w:val="24"/>
                  </w:rPr>
                </w:pPr>
                <w:r>
                  <w:rPr>
                    <w:rFonts w:eastAsia="Calibri"/>
                    <w:b/>
                    <w:bCs/>
                    <w:szCs w:val="24"/>
                  </w:rPr>
                  <w:t>&lt;...&gt;</w:t>
                </w:r>
              </w:p>
              <w:p w14:paraId="5FF91CD8" w14:textId="77777777">
                <w:pPr>
                  <w:jc w:val="both"/>
                  <w:rPr>
                    <w:rFonts w:eastAsia="Calibri"/>
                    <w:b/>
                    <w:bCs/>
                    <w:szCs w:val="24"/>
                  </w:rPr>
                </w:pPr>
              </w:p>
              <w:p w14:paraId="72D4728B" w14:textId="265D90C6">
                <w:pPr>
                  <w:jc w:val="both"/>
                  <w:rPr>
                    <w:rFonts w:eastAsia="Calibri"/>
                    <w:b/>
                    <w:bCs/>
                    <w:iCs/>
                    <w:szCs w:val="24"/>
                  </w:rPr>
                </w:pPr>
                <w:r>
                  <w:rPr>
                    <w:rFonts w:eastAsia="Calibri"/>
                    <w:b/>
                    <w:bCs/>
                    <w:iCs/>
                    <w:szCs w:val="24"/>
                  </w:rPr>
                  <w:t>18 straipsnis. Lygių galimybių kontrolieriaus veiklos viešumas</w:t>
                </w:r>
              </w:p>
              <w:p w14:paraId="5B3B23CC" w14:textId="36F433EF">
                <w:pPr>
                  <w:jc w:val="both"/>
                  <w:rPr>
                    <w:rFonts w:eastAsia="Calibri"/>
                    <w:b/>
                    <w:bCs/>
                    <w:iCs/>
                    <w:szCs w:val="24"/>
                  </w:rPr>
                </w:pPr>
                <w:r>
                  <w:rPr>
                    <w:rFonts w:eastAsia="Calibri"/>
                    <w:b/>
                    <w:bCs/>
                    <w:iCs/>
                    <w:szCs w:val="24"/>
                  </w:rPr>
                  <w:t>&lt;...&gt;</w:t>
                </w:r>
              </w:p>
              <w:p w14:paraId="06D93922" w14:textId="77777777">
                <w:pPr>
                  <w:jc w:val="both"/>
                  <w:rPr>
                    <w:rFonts w:eastAsia="Calibri"/>
                    <w:b/>
                    <w:bCs/>
                    <w:iCs/>
                    <w:szCs w:val="24"/>
                  </w:rPr>
                </w:pPr>
                <w:r>
                  <w:rPr>
                    <w:rFonts w:eastAsia="Calibri"/>
                    <w:b/>
                    <w:bCs/>
                    <w:iCs/>
                    <w:szCs w:val="24"/>
                  </w:rPr>
                  <w:t>2. Lygių galimybių kontrolierius visuomenę informuoja apie savo veiklą, skelbia savo nuomonę lygių galimybių klausimais ir (ar) informaciją apie priimtus nuasmenintus sprendimus (jų santraukas) (pašalinęs fizinio asmens vardą, pavardę bei kitus duomenis, pagal kuriuos būtų galima tiesiogiai ar netiesiogiai nustatyti asmens tapatybę), išskyrus atvejus, kai net ir nuasmeninus sprendimą (jo santrauką) nebūtų tinkamai užtikrinta asmens duomenų apsauga.</w:t>
                </w:r>
              </w:p>
              <w:p w14:paraId="56716FAB" w14:textId="77777777">
                <w:pPr>
                  <w:jc w:val="both"/>
                  <w:rPr>
                    <w:rFonts w:eastAsia="Calibri"/>
                    <w:b/>
                    <w:bCs/>
                    <w:szCs w:val="24"/>
                  </w:rPr>
                </w:pPr>
              </w:p>
              <w:p w14:paraId="58D5D44D" w14:textId="434E6934">
                <w:pPr>
                  <w:jc w:val="both"/>
                  <w:rPr>
                    <w:rFonts w:eastAsia="Calibri"/>
                    <w:b/>
                    <w:bCs/>
                    <w:szCs w:val="24"/>
                  </w:rPr>
                </w:pPr>
                <w:r>
                  <w:rPr>
                    <w:rFonts w:eastAsia="Calibri"/>
                    <w:b/>
                    <w:bCs/>
                    <w:szCs w:val="24"/>
                  </w:rPr>
                  <w:t>19 straipsnis. Lygių galimybių kontrolieriaus metinė veiklos ataskaita</w:t>
                </w:r>
              </w:p>
              <w:p w14:paraId="1E3E7E5E" w14:textId="77777777">
                <w:pPr>
                  <w:jc w:val="both"/>
                  <w:rPr>
                    <w:rFonts w:eastAsia="Calibri"/>
                    <w:b/>
                    <w:bCs/>
                    <w:szCs w:val="24"/>
                  </w:rPr>
                </w:pPr>
                <w:r>
                  <w:rPr>
                    <w:rFonts w:eastAsia="Calibri"/>
                    <w:b/>
                    <w:bCs/>
                    <w:szCs w:val="24"/>
                  </w:rPr>
                  <w:t xml:space="preserve">Lygių galimybių kontrolierius kiekvienais metais, ne vėliau kaip iki kovo 15 dienos, Seimui raštu pateikia nepriklausomą lygių galimybių kontrolieriaus praėjusių kalendorinių metų veiklos ataskaitą, kurioje pateikiama informacija apie lygių galimybių kontrolieriaus veiklą, lygių galimybių padėties Lietuvos Respublikoje apžvalgą, valstybės biudžeto lėšų panaudojimą, Lygių galimybių kontrolieriaus tarnybos valstybės tarnautojų ir darbuotojų, dirbančių pagal darbo sutartis, skaičių, lygių galimybių kontrolieriaus pateiktas išvadas ir (ar) rekomendacijas. </w:t>
                </w:r>
              </w:p>
              <w:p w14:paraId="2888782E" w14:textId="77777777">
                <w:pPr>
                  <w:jc w:val="both"/>
                  <w:rPr>
                    <w:rFonts w:eastAsia="Calibri"/>
                    <w:szCs w:val="24"/>
                  </w:rPr>
                </w:pPr>
              </w:p>
            </w:tc>
            <w:tc>
              <w:tcPr>
                <w:tcW w:w="1889" w:type="dxa"/>
                <w:tcBorders>
                  <w:top w:val="single" w:sz="4" w:space="0" w:color="auto"/>
                  <w:left w:val="single" w:sz="4" w:space="0" w:color="auto"/>
                  <w:bottom w:val="single" w:sz="4" w:space="0" w:color="auto"/>
                  <w:right w:val="single" w:sz="4" w:space="0" w:color="auto"/>
                </w:tcBorders>
              </w:tcPr>
              <w:p w14:paraId="16774F5C" w14:textId="77777777">
                <w:pPr>
                  <w:tabs>
                    <w:tab w:val="left" w:pos="1296"/>
                    <w:tab w:val="center" w:pos="4153"/>
                    <w:tab w:val="right" w:pos="8306"/>
                  </w:tabs>
                  <w:jc w:val="both"/>
                  <w:rPr>
                    <w:b/>
                    <w:bCs/>
                    <w:szCs w:val="24"/>
                    <w:lang w:eastAsia="lt-LT"/>
                  </w:rPr>
                </w:pPr>
                <w:r>
                  <w:rPr>
                    <w:b/>
                    <w:bCs/>
                    <w:szCs w:val="24"/>
                    <w:lang w:eastAsia="lt-LT"/>
                  </w:rPr>
                  <w:t>Visiškas</w:t>
                </w:r>
              </w:p>
            </w:tc>
          </w:tr>
          <w:tr w14:paraId="2C9E1A6B" w14:textId="77777777">
            <w:trPr>
              <w:jc w:val="center"/>
            </w:trPr>
            <w:tc>
              <w:tcPr>
                <w:tcW w:w="5813" w:type="dxa"/>
                <w:tcBorders>
                  <w:top w:val="single" w:sz="4" w:space="0" w:color="auto"/>
                  <w:left w:val="single" w:sz="4" w:space="0" w:color="auto"/>
                  <w:bottom w:val="single" w:sz="4" w:space="0" w:color="auto"/>
                  <w:right w:val="single" w:sz="4" w:space="0" w:color="auto"/>
                </w:tcBorders>
              </w:tcPr>
              <w:p w14:paraId="0E38E515" w14:textId="77777777">
                <w:pPr>
                  <w:rPr>
                    <w:b/>
                    <w:bCs/>
                    <w:lang w:eastAsia="lt-LT"/>
                  </w:rPr>
                </w:pPr>
                <w:r>
                  <w:rPr>
                    <w:b/>
                    <w:bCs/>
                    <w:lang w:eastAsia="lt-LT"/>
                  </w:rPr>
                  <w:t>16 straipsnis</w:t>
                </w:r>
              </w:p>
              <w:p w14:paraId="37B900F7" w14:textId="77777777">
                <w:pPr>
                  <w:rPr>
                    <w:lang w:eastAsia="lt-LT"/>
                  </w:rPr>
                </w:pPr>
                <w:r>
                  <w:rPr>
                    <w:b/>
                    <w:lang w:eastAsia="lt-LT"/>
                  </w:rPr>
                  <w:t>Įgyvendinimas</w:t>
                </w:r>
                <w:r>
                  <w:rPr>
                    <w:lang w:eastAsia="lt-LT"/>
                  </w:rPr>
                  <w:t xml:space="preserve"> </w:t>
                </w:r>
              </w:p>
              <w:p w14:paraId="4F66CF42" w14:textId="77777777">
                <w:pPr>
                  <w:jc w:val="both"/>
                  <w:rPr>
                    <w:lang w:eastAsia="lt-LT"/>
                  </w:rPr>
                </w:pPr>
                <w:r>
                  <w:rPr>
                    <w:lang w:eastAsia="lt-LT"/>
                  </w:rPr>
                  <w:t>1. Valstybės narės užtikrina, kad įsigaliotų įstatymai ir kiti teisės aktai, būtini šiai direktyvai įgyvendinti ne vėliau kaip 2012 m. rugpjūčio 5 d. Jos nedelsdamos pateikia Komisijai tų nuostatų tekstus.</w:t>
                </w:r>
              </w:p>
              <w:p w14:paraId="3629F46A" w14:textId="77777777">
                <w:pPr>
                  <w:jc w:val="both"/>
                  <w:rPr>
                    <w:lang w:eastAsia="lt-LT"/>
                  </w:rPr>
                </w:pPr>
                <w:r>
                  <w:rPr>
                    <w:lang w:eastAsia="lt-LT"/>
                  </w:rPr>
                  <w:t>Valstybės narės, priimdamos tas nuostatas, daro jose nuorodą į šią direktyvą arba tokia nuoroda daroma jas oficialiai skelbiant. Nuorodos darymo tvarką nustato valstybės narės.</w:t>
                </w:r>
              </w:p>
              <w:p w14:paraId="02924D65" w14:textId="77777777">
                <w:pPr>
                  <w:jc w:val="both"/>
                  <w:rPr>
                    <w:lang w:eastAsia="lt-LT"/>
                  </w:rPr>
                </w:pPr>
              </w:p>
              <w:p w14:paraId="41AFC8B9" w14:textId="77777777">
                <w:pPr>
                  <w:jc w:val="both"/>
                  <w:rPr>
                    <w:lang w:eastAsia="lt-LT"/>
                  </w:rPr>
                </w:pPr>
                <w:r>
                  <w:rPr>
                    <w:lang w:eastAsia="lt-LT"/>
                  </w:rPr>
                  <w:t>2. Kai tai būtina siekiant atsižvelgti į tam tikrus sunkumus, valstybėms narėms prireikus gali būti suteiktas papildomas dvejų metų laikotarpis iki 2014 m. rugpjūčio 5 d. 7 straipsniui įgyvendinti ir 8 straipsniui dėl 2 straipsnio b punkte nurodytų moterų sutuoktinių ir sugyventinių įgyvendinti.</w:t>
                </w:r>
              </w:p>
              <w:p w14:paraId="0FB4416C" w14:textId="77777777">
                <w:pPr>
                  <w:jc w:val="both"/>
                  <w:rPr>
                    <w:lang w:eastAsia="lt-LT"/>
                  </w:rPr>
                </w:pPr>
                <w:r>
                  <w:rPr>
                    <w:lang w:eastAsia="lt-LT"/>
                  </w:rPr>
                  <w:t>3. Valstybės narės pateikia Komisijai šios direktyvos taikymo srityje priimtų nacionalinės teisės aktų pagrindinių nuostatų tekstus.</w:t>
                </w:r>
              </w:p>
            </w:tc>
            <w:tc>
              <w:tcPr>
                <w:tcW w:w="6454" w:type="dxa"/>
                <w:tcBorders>
                  <w:top w:val="single" w:sz="4" w:space="0" w:color="auto"/>
                  <w:left w:val="single" w:sz="4" w:space="0" w:color="auto"/>
                  <w:bottom w:val="single" w:sz="4" w:space="0" w:color="auto"/>
                  <w:right w:val="single" w:sz="4" w:space="0" w:color="auto"/>
                </w:tcBorders>
              </w:tcPr>
              <w:p w14:paraId="113E790B" w14:textId="77777777">
                <w:pPr>
                  <w:rPr>
                    <w:rFonts w:eastAsia="Calibri"/>
                    <w:b/>
                    <w:szCs w:val="24"/>
                  </w:rPr>
                </w:pPr>
                <w:r>
                  <w:rPr>
                    <w:rFonts w:eastAsia="Calibri"/>
                    <w:b/>
                    <w:szCs w:val="24"/>
                  </w:rPr>
                  <w:t>Projektas</w:t>
                </w:r>
              </w:p>
              <w:p w14:paraId="24B6664D" w14:textId="77777777">
                <w:pPr>
                  <w:jc w:val="right"/>
                  <w:rPr>
                    <w:rFonts w:eastAsia="Calibri"/>
                    <w:b/>
                    <w:szCs w:val="24"/>
                  </w:rPr>
                </w:pPr>
                <w:r>
                  <w:rPr>
                    <w:rFonts w:eastAsia="Calibri"/>
                    <w:b/>
                    <w:szCs w:val="24"/>
                  </w:rPr>
                  <w:t>Lietuvos Respublikos</w:t>
                </w:r>
              </w:p>
              <w:p w14:paraId="047F6082" w14:textId="77777777">
                <w:pPr>
                  <w:jc w:val="right"/>
                  <w:rPr>
                    <w:rFonts w:eastAsia="Calibri"/>
                    <w:b/>
                    <w:szCs w:val="24"/>
                  </w:rPr>
                </w:pPr>
                <w:r>
                  <w:rPr>
                    <w:rFonts w:eastAsia="Calibri"/>
                    <w:b/>
                    <w:szCs w:val="24"/>
                  </w:rPr>
                  <w:t>lygių galimybių įstatymo</w:t>
                </w:r>
              </w:p>
              <w:p w14:paraId="25A6081C" w14:textId="77777777">
                <w:pPr>
                  <w:jc w:val="right"/>
                  <w:rPr>
                    <w:rFonts w:eastAsia="Calibri"/>
                    <w:b/>
                    <w:szCs w:val="24"/>
                  </w:rPr>
                </w:pPr>
                <w:r>
                  <w:rPr>
                    <w:rFonts w:eastAsia="Calibri"/>
                    <w:b/>
                    <w:szCs w:val="24"/>
                  </w:rPr>
                  <w:t>priedas</w:t>
                </w:r>
              </w:p>
              <w:p w14:paraId="6D91EC71" w14:textId="77777777">
                <w:pPr>
                  <w:ind w:firstLine="62"/>
                  <w:jc w:val="both"/>
                  <w:rPr>
                    <w:rFonts w:eastAsia="Calibri"/>
                    <w:b/>
                    <w:szCs w:val="24"/>
                  </w:rPr>
                </w:pPr>
              </w:p>
              <w:p w14:paraId="122895D4" w14:textId="77777777">
                <w:pPr>
                  <w:jc w:val="both"/>
                  <w:rPr>
                    <w:rFonts w:eastAsia="Calibri"/>
                    <w:b/>
                    <w:szCs w:val="24"/>
                  </w:rPr>
                </w:pPr>
                <w:r>
                  <w:rPr>
                    <w:rFonts w:eastAsia="Calibri"/>
                    <w:b/>
                    <w:szCs w:val="24"/>
                  </w:rPr>
                  <w:t>ĮGYVENDINAMI EUROPOS SĄJUNGOS TEISĖS AKTAI</w:t>
                </w:r>
              </w:p>
              <w:p w14:paraId="3A089359" w14:textId="77777777">
                <w:pPr>
                  <w:jc w:val="both"/>
                  <w:rPr>
                    <w:rFonts w:eastAsia="Calibri"/>
                    <w:b/>
                    <w:szCs w:val="24"/>
                  </w:rPr>
                </w:pPr>
              </w:p>
              <w:p w14:paraId="7609930C" w14:textId="3C074984">
                <w:pPr>
                  <w:jc w:val="both"/>
                  <w:rPr>
                    <w:rFonts w:eastAsia="Calibri"/>
                    <w:b/>
                    <w:szCs w:val="24"/>
                  </w:rPr>
                </w:pPr>
                <w:r>
                  <w:rPr>
                    <w:rFonts w:eastAsia="Calibri"/>
                    <w:b/>
                    <w:szCs w:val="24"/>
                  </w:rPr>
                  <w:t>&lt;...&gt;</w:t>
                </w:r>
              </w:p>
              <w:p w14:paraId="685B2BC4" w14:textId="3226C6E2">
                <w:pPr>
                  <w:jc w:val="both"/>
                  <w:rPr>
                    <w:rFonts w:eastAsia="Calibri"/>
                    <w:b/>
                    <w:szCs w:val="24"/>
                  </w:rPr>
                </w:pPr>
                <w:r>
                  <w:rPr>
                    <w:rFonts w:eastAsia="Calibri"/>
                    <w:b/>
                    <w:szCs w:val="24"/>
                  </w:rPr>
                  <w:t xml:space="preserve">4. 2010 m. liepos 7 d. Europos Parlamento ir Tarybos direktyva </w:t>
                </w:r>
                <w:fldSimple w:instr="HYPERLINK http://eur-lex.europa.eu/legal-content/LIT/TXT/?uri=CELEX:32010L0041&amp;locale=lt \t _blank">
                  <w:r>
                    <w:rPr>
                      <w:rFonts w:eastAsia="Calibri"/>
                      <w:b/>
                      <w:szCs w:val="24"/>
                      <w:u w:val="single"/>
                      <w:color w:val="0000FF" w:themeColor="hyperlink"/>
                    </w:rPr>
                    <w:t>2010/41/ES</w:t>
                  </w:r>
                </w:fldSimple>
                <w:r>
                  <w:rPr>
                    <w:rFonts w:eastAsia="Calibri"/>
                    <w:b/>
                    <w:szCs w:val="24"/>
                  </w:rPr>
                  <w:t xml:space="preserve"> dėl vienodo požiūrio į savarankiškai dirbančius vyrus ir moteris principo taikymo, kuria panaikinama Tarybos direktyva </w:t>
                </w:r>
                <w:fldSimple w:instr="HYPERLINK http://eur-lex.europa.eu/legal-content/LIT/TXT/?uri=CELEX:31986L0613&amp;locale=lt \t _blank">
                  <w:r>
                    <w:rPr>
                      <w:rFonts w:eastAsia="Calibri"/>
                      <w:b/>
                      <w:szCs w:val="24"/>
                      <w:u w:val="single"/>
                      <w:color w:val="0000FF" w:themeColor="hyperlink"/>
                    </w:rPr>
                    <w:t>86/613/EEB</w:t>
                  </w:r>
                </w:fldSimple>
                <w:r>
                  <w:rPr>
                    <w:rFonts w:eastAsia="Calibri"/>
                    <w:b/>
                    <w:szCs w:val="24"/>
                  </w:rPr>
                  <w:t xml:space="preserve">, su pakeitimais, padarytais 2024 m. gegužės 14 d. Europos Parlamento ir Tarybos direktyva </w:t>
                </w:r>
                <w:fldSimple w:instr="HYPERLINK http://eur-lex.europa.eu/legal-content/LIT/TXT/?uri=CELEX:32024L1500&amp;locale=lt \t _blank">
                  <w:r>
                    <w:rPr>
                      <w:rFonts w:eastAsia="Calibri"/>
                      <w:b/>
                      <w:szCs w:val="24"/>
                      <w:u w:val="single"/>
                      <w:color w:val="0000FF" w:themeColor="hyperlink"/>
                    </w:rPr>
                    <w:t>(ES) 2024/1500</w:t>
                  </w:r>
                </w:fldSimple>
                <w:r>
                  <w:rPr>
                    <w:rFonts w:eastAsia="Calibri"/>
                    <w:b/>
                    <w:szCs w:val="24"/>
                  </w:rPr>
                  <w:t>.</w:t>
                </w:r>
              </w:p>
              <w:p w14:paraId="0CAAFA83" w14:textId="1800E7A3">
                <w:pPr>
                  <w:jc w:val="both"/>
                  <w:rPr>
                    <w:rFonts w:eastAsia="Calibri"/>
                    <w:b/>
                    <w:szCs w:val="24"/>
                  </w:rPr>
                </w:pPr>
              </w:p>
              <w:p w14:paraId="1659342E" w14:textId="77777777">
                <w:pPr>
                  <w:jc w:val="both"/>
                  <w:rPr>
                    <w:rFonts w:eastAsia="Calibri"/>
                    <w:b/>
                    <w:szCs w:val="24"/>
                  </w:rPr>
                </w:pPr>
              </w:p>
            </w:tc>
            <w:tc>
              <w:tcPr>
                <w:tcW w:w="1889" w:type="dxa"/>
                <w:tcBorders>
                  <w:top w:val="single" w:sz="4" w:space="0" w:color="auto"/>
                  <w:left w:val="single" w:sz="4" w:space="0" w:color="auto"/>
                  <w:bottom w:val="single" w:sz="4" w:space="0" w:color="auto"/>
                  <w:right w:val="single" w:sz="4" w:space="0" w:color="auto"/>
                </w:tcBorders>
              </w:tcPr>
              <w:p w14:paraId="77339236" w14:textId="77777777">
                <w:pPr>
                  <w:tabs>
                    <w:tab w:val="left" w:pos="1296"/>
                    <w:tab w:val="center" w:pos="4153"/>
                    <w:tab w:val="right" w:pos="8306"/>
                  </w:tabs>
                  <w:jc w:val="both"/>
                  <w:rPr>
                    <w:b/>
                    <w:bCs/>
                    <w:szCs w:val="24"/>
                    <w:lang w:eastAsia="lt-LT"/>
                  </w:rPr>
                </w:pPr>
                <w:r>
                  <w:rPr>
                    <w:b/>
                    <w:bCs/>
                    <w:szCs w:val="24"/>
                    <w:lang w:eastAsia="lt-LT"/>
                  </w:rPr>
                  <w:t>Visiškas</w:t>
                </w:r>
              </w:p>
              <w:p w14:paraId="107D2917" w14:textId="77777777">
                <w:pPr>
                  <w:tabs>
                    <w:tab w:val="left" w:pos="1296"/>
                    <w:tab w:val="center" w:pos="4153"/>
                    <w:tab w:val="right" w:pos="8306"/>
                  </w:tabs>
                  <w:jc w:val="both"/>
                  <w:rPr>
                    <w:szCs w:val="24"/>
                    <w:lang w:eastAsia="lt-LT"/>
                  </w:rPr>
                </w:pPr>
              </w:p>
            </w:tc>
          </w:tr>
        </w:tbl>
        <w:p w14:paraId="48684427" w14:textId="77777777">
          <w:pPr>
            <w:jc w:val="both"/>
            <w:rPr>
              <w:rFonts w:eastAsia="Calibri"/>
              <w:szCs w:val="24"/>
            </w:rPr>
          </w:pPr>
        </w:p>
      </w:sdtContent>
    </w:sdt>
    <w:sdt>
      <w:sdtPr>
        <w:alias w:val="pastraipa"/>
        <w:tag w:val="part_4454171c8fde40a6b9e1c97d25cb3421"/>
        <w:lock w:val="sdtLocked"/>
        <w:richText/>
      </w:sdtPr>
      <w:sdtContent>
        <w:p w14:paraId="630B585E" w14:textId="77777777">
          <w:pPr>
            <w:jc w:val="center"/>
            <w:rPr>
              <w:rFonts w:eastAsia="Calibri"/>
              <w:szCs w:val="24"/>
            </w:rPr>
          </w:pPr>
          <w:r>
            <w:rPr>
              <w:rFonts w:eastAsia="Calibri"/>
              <w:szCs w:val="24"/>
            </w:rPr>
            <w:t>_______________________</w:t>
          </w:r>
        </w:p>
      </w:sdtContent>
    </w:sdt>
    <w:sectPr>
      <w:headerReference w:type="even" r:id="rId10"/>
      <w:headerReference w:type="default" r:id="rId11"/>
      <w:footerReference w:type="even" r:id="rId12"/>
      <w:footerReference w:type="default" r:id="rId13"/>
      <w:footerReference w:type="first" r:id="rId14"/>
      <w:pgSz w:w="16838" w:h="11906" w:orient="landscape"/>
      <w:pgMar w:top="1701"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15D6C0B" w14:textId="77777777">
      <w:pPr>
        <w:spacing w:after="200" w:line="276" w:lineRule="auto"/>
        <w:rPr>
          <w:rFonts w:eastAsia="Calibri"/>
          <w:szCs w:val="22"/>
        </w:rPr>
      </w:pPr>
      <w:r>
        <w:rPr>
          <w:rFonts w:eastAsia="Calibri"/>
          <w:szCs w:val="22"/>
        </w:rPr>
        <w:separator/>
      </w:r>
    </w:p>
  </w:endnote>
  <w:endnote w:type="continuationSeparator" w:id="0">
    <w:p w14:paraId="723BF69F" w14:textId="77777777">
      <w:pPr>
        <w:spacing w:after="200" w:line="276" w:lineRule="auto"/>
        <w:rPr>
          <w:rFonts w:eastAsia="Calibri"/>
          <w:szCs w:val="22"/>
        </w:rPr>
      </w:pPr>
      <w:r>
        <w:rPr>
          <w:rFonts w:eastAsia="Calibri"/>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EUAlbertina">
    <w:altName w:val="Cambria"/>
    <w:panose1 w:val="00000000000000000000"/>
    <w:charset w:val="00"/>
    <w:family w:val="roman"/>
    <w:notTrueType/>
    <w:pitch w:val="default"/>
    <w:sig w:usb0="00000003" w:usb1="00000000" w:usb2="00000000" w:usb3="00000000" w:csb0="00000001" w:csb1="00000000"/>
  </w:font>
  <w:font w:name="Aptos">
    <w:altName w:val="Arial"/>
    <w:charset w:val="00"/>
    <w:family w:val="swiss"/>
    <w:pitch w:val="variable"/>
    <w:sig w:usb0="20000287" w:usb1="00000003" w:usb2="00000000" w:usb3="00000000" w:csb0="0000019F" w:csb1="00000000"/>
  </w:font>
  <w:font w:name="Aptos Display">
    <w:altName w:val="Arial"/>
    <w:charset w:val="00"/>
    <w:family w:val="swiss"/>
    <w:pitch w:val="variable"/>
    <w:sig w:usb0="20000287" w:usb1="00000003"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03EA5A" w14:textId="10AD015C">
    <w:pPr>
      <w:tabs>
        <w:tab w:val="center" w:pos="4153"/>
        <w:tab w:val="right" w:pos="8306"/>
      </w:tabs>
      <w:jc w:val="both"/>
      <w:rPr>
        <w:szCs w:val="24"/>
      </w:rPr>
    </w:pPr>
    <w:r>
      <w:rPr>
        <w:szCs w:val="24"/>
        <w:lang w:val="en-US"/>
      </w:rPr>
      <mc:AlternateContent>
        <mc:Choice Requires="wps">
          <w:drawing>
            <wp:anchor distT="0" distB="0" distL="0" distR="0" simplePos="0" relativeHeight="251659264" behindDoc="0" locked="0" layoutInCell="1" allowOverlap="1" wp14:anchorId="5819EB94" wp14:editId="15358A56">
              <wp:simplePos x="635" y="635"/>
              <wp:positionH relativeFrom="page">
                <wp:align>left</wp:align>
              </wp:positionH>
              <wp:positionV relativeFrom="page">
                <wp:align>bottom</wp:align>
              </wp:positionV>
              <wp:extent cx="4829175" cy="368935"/>
              <wp:effectExtent l="0" t="0" r="9525" b="0"/>
              <wp:wrapNone/>
              <wp:docPr id="1885180365" name="Teksto laukas 5" descr="Socialinės apsaugos ir darbo ministerija bei pavaldžios įstaigos | Viešam naudojimui">
                <a:extLst xmlns:a="http://schemas.openxmlformats.org/drawingml/2006/main">
                  <a:ext uri="{5AE41FA2-C0FF-4470-9BD4-5FADCA87CBE2}">
                    <aclsh:classification xmlns:aclsh="http://schemas.microsoft.com/office/drawing/2020/classificationShape"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classificationOutcomeType="ftr"/>
                  </a:ext>
                </a:extLst>
              </wp:docPr>
              <wp:cNvGraphicFramePr/>
              <a:graphic xmlns:a="http://schemas.openxmlformats.org/drawingml/2006/main">
                <a:graphicData uri="http://schemas.microsoft.com/office/word/2010/wordprocessingShape">
                  <wps:wsp>
                    <wps:cNvSpPr txBox="1"/>
                    <wps:spPr>
                      <a:xfrm>
                        <a:off x="0" y="0"/>
                        <a:ext cx="4829175" cy="368935"/>
                      </a:xfrm>
                      <a:prstGeom prst="rect">
                        <a:avLst/>
                      </a:prstGeom>
                      <a:noFill/>
                      <a:ln>
                        <a:noFill/>
                      </a:ln>
                    </wps:spPr>
                    <wps:txbx>
                      <w:txbxContent>
                        <w:p w14:paraId="51830EA8" w14:textId="2BD61D06">
                          <w:pPr>
                            <w:spacing w:line="276" w:lineRule="auto"/>
                            <w:rPr>
                              <w:rFonts w:ascii="Aptos" w:eastAsia="Aptos" w:hAnsi="Aptos" w:cs="Aptos"/>
                              <w:color w:val="000000"/>
                              <w:sz w:val="20"/>
                            </w:rPr>
                          </w:pPr>
                          <w:r>
                            <w:rPr>
                              <w:rFonts w:ascii="Aptos" w:eastAsia="Aptos" w:hAnsi="Aptos" w:cs="Aptos"/>
                              <w:color w:val="000000"/>
                              <w:sz w:val="20"/>
                            </w:rPr>
                            <w:t>Socialinės apsaugos ir darbo ministerija bei pavaldžios įstaigos | Viešam naudojimui</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5819EB94" id="_x0000_t202" coordsize="21600,21600" o:spt="202" path="m,l,21600r21600,l21600,xe">
              <v:stroke joinstyle="miter"/>
              <v:path gradientshapeok="t" o:connecttype="rect"/>
            </v:shapetype>
            <v:shape id="Teksto laukas 5" o:spid="_x0000_s1026" type="#_x0000_t202" alt="Socialinės apsaugos ir darbo ministerija bei pavaldžios įstaigos | Viešam naudojimui" style="position:absolute;left:0;text-align:left;margin-left:0;margin-top:0;width:380.25pt;height:29.05pt;z-index:251659264;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pjBtwugIAAAQFAAAOAAAAZHJzL2Uyb0RvYy54bWysVEtu2zAQ3RfoHQjuHcmOnchG5ECx46JA kARw2qzHFGUzET8gaVvp5xxd9wS9QVfJvTqk7LRNuyq6oYYzw/m8maeT00bWZMOtE1rltHuQUsIV 06VQy5y+u5l1MkqcB1VCrRXP6QN39HT8+tXJ1ox4T690XXJLMIhyo63J6cp7M0oSx1ZcgjvQhis0 VtpK8Hi1y6S0sMXosk56aXqUbLUtjdWMO4faaWuk4xi/qjjzV1XluCd1TrE2H08bz0U4k/EJjJYW zEqwXRnwD1VIEAqTPoeaggeytuKPUFIwq52u/AHTMtFVJRiPPWA33fRFN/MVGB57QXCceYbJ/b+w 7HJzbYkocXZZNuhm6eHRgBIFEmd1w++d16SG9T04guqSO4bYzTUTUAv1+MURMA7WS+2IsKQEu9BE CiWc51bcAVlwQQxsoC6fvgt0evyGuyCC+yfyXvCnryAx17rUd0KuRQSQN/7C+QAlSi2EHwfFeb87 K3qdSTqbdfr947QzPJv2O4NZMZ0U2fHk7Lz3OYwyia/i+2Rr3Ch2F3YhinODrfrmTDfYbXAPeofK kK2prAxfHAlBO+7Kw/N+hEoYKvtZb9g9RiAY2g6PsuHhYJd1/9pY599wLUkQcmpx/2JXsMGi2gL3 LiGZ0jNR13EHa/WbAjsJmthFW2Io1jeLZlf3QpcP2I7V7Uo7w2YCc16A89dgcYexA+Slv8KjqvU2 p3onUbLS9sPf9MEfVwutlGyREzlVSFpK6rcKV6436Kdp4FC8oWD3wiIK3WE6CHa1lhONdOsi8w2L YnD29V6srJa3SNsiZEMTKIY5c7rYixPfMhRpz3hRRCekiwF/oeaGhdABrIDkTXML1uzg9jioS71n DYxeoN76hpfOFGuP2MeRBGBbNHd4I9XiKu1+C4HLv96j18+f1/gHAAAA//8DAFBLAwQUAAYACAAA ACEA5AnB89sAAAAEAQAADwAAAGRycy9kb3ducmV2LnhtbEyPzW7CMBCE75V4B2uReisOSKQojYMQ /VGvDUj06MRLHBHvhthA+vZ1e2kvK41mNPNtvh5dJ644+JZJwXyWgECq2bTUKNjvXh9WIHzQZHTH hAq+0MO6mNzlOjN8ow+8lqERsYR8phXYEPpMSl9bdNrPuEeK3pEHp0OUQyPNoG+x3HVykSSpdLql uGB1j1uL9am8OAXp89vG9of083xc+Hdf8SmU/KLU/XTcPIEIOIa/MPzgR3QoIlPFFzJedAriI+H3 Ru8xTZYgKgXL1Rxkkcv/8MU3AAAA//8DAFBLAQItABQABgAIAAAAIQC2gziS/gAAAOEBAAATAAAA AAAAAAAAAAAAAAAAAABbQ29udGVudF9UeXBlc10ueG1sUEsBAi0AFAAGAAgAAAAhADj9If/WAAAA lAEAAAsAAAAAAAAAAAAAAAAALwEAAF9yZWxzLy5yZWxzUEsBAi0AFAAGAAgAAAAhAGmMG3C6AgAA BAUAAA4AAAAAAAAAAAAAAAAALgIAAGRycy9lMm9Eb2MueG1sUEsBAi0AFAAGAAgAAAAhAOQJwfPb AAAABAEAAA8AAAAAAAAAAAAAAAAAFAUAAGRycy9kb3ducmV2LnhtbFBLBQYAAAAABAAEAPMAAAAc BgAAAAA= " filled="f" stroked="f">
              <v:textbox style="mso-fit-shape-to-text:t" inset="20pt,0,0,15pt">
                <w:txbxContent>
                  <w:p w14:paraId="51830EA8" w14:textId="2BD61D06">
                    <w:pPr>
                      <w:spacing w:line="276"/>
                      <w:rPr>
                        <w:rFonts w:ascii="Aptos" w:hAnsi="Aptos" w:eastAsia="Aptos" w:cs="Aptos"/>
                        <w:color w:val="000000"/>
                        <w:sz w:val="20"/>
                      </w:rPr>
                    </w:pPr>
                    <w:r>
                      <w:rPr>
                        <w:rFonts w:ascii="Aptos" w:hAnsi="Aptos" w:eastAsia="Aptos" w:cs="Aptos"/>
                        <w:color w:val="000000"/>
                        <w:sz w:val="20"/>
                      </w:rPr>
                      <w:t>Socialinės apsaugos ir darbo ministerija bei pavaldžios įstaigos | Viešam naudojimui</w:t>
                    </w:r>
                  </w:p>
                </w:txbxContent>
              </v:textbox>
              <w10:wrap anchorx="page" anchory="page"/>
            </v:shape>
          </w:pict>
        </mc:Fallback>
      </mc:AlternateContent>
    </w: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6504C5" w14:textId="6352C023">
    <w:pPr>
      <w:tabs>
        <w:tab w:val="center" w:pos="4153"/>
        <w:tab w:val="right" w:pos="8306"/>
      </w:tabs>
      <w:jc w:val="both"/>
      <w:rPr>
        <w:szCs w:val="24"/>
      </w:rPr>
    </w:pPr>
    <w:r>
      <w:rPr>
        <w:szCs w:val="24"/>
        <w:lang w:val="en-US"/>
      </w:rPr>
      <mc:AlternateContent>
        <mc:Choice Requires="wps">
          <w:drawing>
            <wp:anchor distT="0" distB="0" distL="0" distR="0" simplePos="0" relativeHeight="251660288" behindDoc="0" locked="0" layoutInCell="1" allowOverlap="1" wp14:anchorId="78A1D867" wp14:editId="3B230183">
              <wp:simplePos x="1083733" y="7027333"/>
              <wp:positionH relativeFrom="page">
                <wp:align>left</wp:align>
              </wp:positionH>
              <wp:positionV relativeFrom="page">
                <wp:align>bottom</wp:align>
              </wp:positionV>
              <wp:extent cx="4829175" cy="368935"/>
              <wp:effectExtent l="0" t="0" r="9525" b="0"/>
              <wp:wrapNone/>
              <wp:docPr id="282079716" name="Teksto laukas 6" descr="Socialinės apsaugos ir darbo ministerija bei pavaldžios įstaigos | Viešam naudojimui">
                <a:extLst xmlns:a="http://schemas.openxmlformats.org/drawingml/2006/main">
                  <a:ext uri="{5AE41FA2-C0FF-4470-9BD4-5FADCA87CBE2}">
                    <aclsh:classification xmlns:aclsh="http://schemas.microsoft.com/office/drawing/2020/classificationShape"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classificationOutcomeType="ftr"/>
                  </a:ext>
                </a:extLst>
              </wp:docPr>
              <wp:cNvGraphicFramePr/>
              <a:graphic xmlns:a="http://schemas.openxmlformats.org/drawingml/2006/main">
                <a:graphicData uri="http://schemas.microsoft.com/office/word/2010/wordprocessingShape">
                  <wps:wsp>
                    <wps:cNvSpPr txBox="1"/>
                    <wps:spPr>
                      <a:xfrm>
                        <a:off x="0" y="0"/>
                        <a:ext cx="4829175" cy="368935"/>
                      </a:xfrm>
                      <a:prstGeom prst="rect">
                        <a:avLst/>
                      </a:prstGeom>
                      <a:noFill/>
                      <a:ln>
                        <a:noFill/>
                      </a:ln>
                    </wps:spPr>
                    <wps:txbx>
                      <w:txbxContent>
                        <w:p w14:paraId="052D9697" w14:textId="23FFC87F">
                          <w:pPr>
                            <w:spacing w:line="276" w:lineRule="auto"/>
                            <w:rPr>
                              <w:rFonts w:ascii="Aptos" w:eastAsia="Aptos" w:hAnsi="Aptos" w:cs="Aptos"/>
                              <w:color w:val="000000"/>
                              <w:sz w:val="20"/>
                            </w:rPr>
                          </w:pP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78A1D867" id="_x0000_t202" coordsize="21600,21600" o:spt="202" path="m,l,21600r21600,l21600,xe">
              <v:stroke joinstyle="miter"/>
              <v:path gradientshapeok="t" o:connecttype="rect"/>
            </v:shapetype>
            <v:shape id="Teksto laukas 6" o:spid="_x0000_s1027" type="#_x0000_t202" alt="Socialinės apsaugos ir darbo ministerija bei pavaldžios įstaigos | Viešam naudojimui" style="position:absolute;left:0;text-align:left;margin-left:0;margin-top:0;width:380.25pt;height:29.05pt;z-index:251660288;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NYebTvAIAAAoFAAAOAAAAZHJzL2Uyb0RvYy54bWysVEtu2zAQ3RfoHQjuHcmKHX8QOVDsuCgQ JAGcNusRRdlMJJIgaVvp5xxd9wS9QVfJvTqkbLdNuyq6oYYzw/m8mafTs6auyIYbK5RMafcopoRL pgohlyl9dzvvDCmxDmQBlZI8pY/c0rPJ61enWz3miVqpquCGYBBpx1ud0pVzehxFlq14DfZIaS7R WCpTg8OrWUaFgS1Gr6soieOTaKtMoY1i3FrUzlojnYT4ZcmZuy5Lyx2pUoq1uXCacOb+jCanMF4a 0CvBdmXAP1RRg5CY9BBqBg7I2og/QtWCGWVV6Y6YqiNVloLx0AN2041fdLNYgeahFwTH6gNM9v+F ZVebG0NEkdJkmMSD0aB7QomEGkd1yx+sU6SC9QNYguqCW4bQLRQTUAn59MUS0BbWS2WJMKQAkytS Cyms40bcA8m5IBo2UBXP3wU6PX3DVRDe/RN5L/jzV6gx17pQ96Jei4Afb9yldR5JlFoEP/azi153 niWdaTyfd3q9QdwZnc96nf48m02z4WB6fpF89pOMwqvwPtpqOw7N+VUI4kJjp645Vw0uqnf3eotK n60pTe2/OBGCdlyVx8N6+EoYKnvDZNQd9ClhaDs+GY6O+7us+9faWPeGq5p4IaUG1y90BRssqi1w 7+KTSTUXVRVWsJK/KbATrwldtCX6Yl2TN2FWh/JzVTxiV0a1i201mwtMfQnW3YDBTcZGkJ3uGo+y UtuUqp1EyUqZD3/Te39cMLRSskVmpFQidSmp3kpcvKTfi2PPpHBDweyFPAjdUdz3drmupwpJ10X+ axZE7+yqvVgaVd8heTOfDU0gGeZMab4Xp67lKZKf8SwLTkgaDe5SLjTzoT1mHtDb5g6M3qHucF5X as8dGL8Av/X1L63O1g5HECbj8W3R3MGOhAsbtfs5eEb/eg9eP39hkx8AAAD//wMAUEsDBBQABgAI AAAAIQDkCcHz2wAAAAQBAAAPAAAAZHJzL2Rvd25yZXYueG1sTI/NbsIwEITvlXgHa5F6Kw5IpCiN gxD9Ua8NSPToxEscEe+G2ED69nV7aS8rjWY0822+Hl0nrjj4lknBfJaAQKrZtNQo2O9eH1YgfNBk dMeECr7Qw7qY3OU6M3yjD7yWoRGxhHymFdgQ+kxKX1t02s+4R4rekQenQ5RDI82gb7HcdXKRJKl0 uqW4YHWPW4v1qbw4Benz28b2h/TzfFz4d1/xKZT8otT9dNw8gQg4hr8w/OBHdCgiU8UXMl50CuIj 4fdG7zFNliAqBcvVHGSRy//wxTcAAAD//wMAUEsBAi0AFAAGAAgAAAAhALaDOJL+AAAA4QEAABMA AAAAAAAAAAAAAAAAAAAAAFtDb250ZW50X1R5cGVzXS54bWxQSwECLQAUAAYACAAAACEAOP0h/9YA AACUAQAACwAAAAAAAAAAAAAAAAAvAQAAX3JlbHMvLnJlbHNQSwECLQAUAAYACAAAACEAzWHm07wC AAAKBQAADgAAAAAAAAAAAAAAAAAuAgAAZHJzL2Uyb0RvYy54bWxQSwECLQAUAAYACAAAACEA5AnB 89sAAAAEAQAADwAAAAAAAAAAAAAAAAAWBQAAZHJzL2Rvd25yZXYueG1sUEsFBgAAAAAEAAQA8wAA AB4GAAAAAA== " filled="f" stroked="f">
              <v:textbox style="mso-fit-shape-to-text:t" inset="20pt,0,0,15pt">
                <w:txbxContent>
                  <w:p w14:paraId="052D9697" w14:textId="23FFC87F">
                    <w:pPr>
                      <w:spacing w:line="276"/>
                      <w:rPr>
                        <w:rFonts w:ascii="Aptos" w:hAnsi="Aptos" w:eastAsia="Aptos" w:cs="Aptos"/>
                        <w:color w:val="000000"/>
                        <w:sz w:val="20"/>
                      </w:rPr>
                    </w:pPr>
                  </w:p>
                </w:txbxContent>
              </v:textbox>
              <w10:wrap anchorx="page" anchory="page"/>
            </v:shape>
          </w:pict>
        </mc:Fallback>
      </mc:AlternateContent>
    </w: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F2E70D" w14:textId="462A2FD2">
    <w:pPr>
      <w:tabs>
        <w:tab w:val="center" w:pos="4153"/>
        <w:tab w:val="right" w:pos="8306"/>
      </w:tabs>
      <w:jc w:val="both"/>
      <w:rPr>
        <w:szCs w:val="24"/>
      </w:rPr>
    </w:pPr>
    <w:r>
      <w:rPr>
        <w:szCs w:val="24"/>
        <w:lang w:val="en-US"/>
      </w:rPr>
      <mc:AlternateContent>
        <mc:Choice Requires="wps">
          <w:drawing>
            <wp:anchor distT="0" distB="0" distL="0" distR="0" simplePos="0" relativeHeight="251658240" behindDoc="0" locked="0" layoutInCell="1" allowOverlap="1" wp14:anchorId="5B795923" wp14:editId="0D3B81BA">
              <wp:simplePos x="635" y="635"/>
              <wp:positionH relativeFrom="page">
                <wp:align>left</wp:align>
              </wp:positionH>
              <wp:positionV relativeFrom="page">
                <wp:align>bottom</wp:align>
              </wp:positionV>
              <wp:extent cx="4829175" cy="368935"/>
              <wp:effectExtent l="0" t="0" r="9525" b="0"/>
              <wp:wrapNone/>
              <wp:docPr id="1190495315" name="Teksto laukas 4" descr="Socialinės apsaugos ir darbo ministerija bei pavaldžios įstaigos | Viešam naudojimui">
                <a:extLst xmlns:a="http://schemas.openxmlformats.org/drawingml/2006/main">
                  <a:ext uri="{5AE41FA2-C0FF-4470-9BD4-5FADCA87CBE2}">
                    <aclsh:classification xmlns:aclsh="http://schemas.microsoft.com/office/drawing/2020/classificationShape"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classificationOutcomeType="ftr"/>
                  </a:ext>
                </a:extLst>
              </wp:docPr>
              <wp:cNvGraphicFramePr/>
              <a:graphic xmlns:a="http://schemas.openxmlformats.org/drawingml/2006/main">
                <a:graphicData uri="http://schemas.microsoft.com/office/word/2010/wordprocessingShape">
                  <wps:wsp>
                    <wps:cNvSpPr txBox="1"/>
                    <wps:spPr>
                      <a:xfrm>
                        <a:off x="0" y="0"/>
                        <a:ext cx="4829175" cy="368935"/>
                      </a:xfrm>
                      <a:prstGeom prst="rect">
                        <a:avLst/>
                      </a:prstGeom>
                      <a:noFill/>
                      <a:ln>
                        <a:noFill/>
                      </a:ln>
                    </wps:spPr>
                    <wps:txbx>
                      <w:txbxContent>
                        <w:p w14:paraId="746B2246" w14:textId="4D0EDCCD">
                          <w:pPr>
                            <w:spacing w:line="276" w:lineRule="auto"/>
                            <w:rPr>
                              <w:rFonts w:ascii="Aptos" w:eastAsia="Aptos" w:hAnsi="Aptos" w:cs="Aptos"/>
                              <w:color w:val="000000"/>
                              <w:sz w:val="20"/>
                            </w:rPr>
                          </w:pPr>
                          <w:r>
                            <w:rPr>
                              <w:rFonts w:ascii="Aptos" w:eastAsia="Aptos" w:hAnsi="Aptos" w:cs="Aptos"/>
                              <w:color w:val="000000"/>
                              <w:sz w:val="20"/>
                            </w:rPr>
                            <w:t>Socialinės apsaugos ir darbo ministerija bei pavaldžios įstaigos | Viešam naudojimui</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5B795923" id="_x0000_t202" coordsize="21600,21600" o:spt="202" path="m,l,21600r21600,l21600,xe">
              <v:stroke joinstyle="miter"/>
              <v:path gradientshapeok="t" o:connecttype="rect"/>
            </v:shapetype>
            <v:shape id="Teksto laukas 4" o:spid="_x0000_s1028" type="#_x0000_t202" alt="Socialinės apsaugos ir darbo ministerija bei pavaldžios įstaigos | Viešam naudojimui" style="position:absolute;left:0;text-align:left;margin-left:0;margin-top:0;width:380.25pt;height:29.05pt;z-index:251658240;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5Alj4vQIAAAsFAAAOAAAAZHJzL2Uyb0RvYy54bWysVEtu2zAQ3RfoHQjuHcmOnNhG5ECx46JA kARw2qzHFGUzET8gaVvp5xxd9wS9QVfJvTqk7LRNuyq6oUYzw/m8mceT00bWZMOtE1rltHuQUsIV 06VQy5y+u5l1BpQ4D6qEWiue0wfu6On49auTrRnxnl7puuSWYBDlRluT05X3ZpQkjq24BHegDVdo rLSV4PHXLpPSwhajyzrppelRstW2NFYz7hxqp62RjmP8quLMX1WV457UOcXafDxtPBfhTMYnMFpa MCvBdmXAP1QhQShM+hxqCh7I2oo/QknBrHa68gdMy0RXlWA89oDddNMX3cxXYHjsBcFx5hkm9//C ssvNtSWixNl1h2k27B92+5QokDirG37vvCY1rO/BkYySkjuG2M01E1AL9fjFETAO1kvtiLCkBLvQ RAolnOdW3AFZcEEMbKAun74LdHr8hrsggvsn8l7wp68gMde61HdCrkUEkDf+wvkAJUothB/7xXnW nRW9ziSdzTpZdpx2hmfTrNOfFdNJMTienJ33PodRJvFWvJ9sjRvF7sIuRHFusFXfnOkGuw3uQe9Q GbI1lZXhiyMhaMddeXjej1AJQ2U26A27x4gPQ9vh0WB42N9l3d821vk3XEsShJxa3L/YFWywqLbA vUtIpvRM1HXcwVr9psBOgiZ20ZYYivXNoonD6u3LX+jyAbuyut1sZ9hMYOoLcP4aLK4yNoL09Fd4 VLXe5lTvJEpW2n74mz7444ahlZItUiOnCrlLSf1W4eb1+lmaBirFPxTsXlhEAdeoH+xqLScaWdfF B8CwKAZnX+/Fymp5i+wtQjY0gWKYM6eLvTjxLVGR/YwXRXRC1hjwF2puWAgdMAuA3jS3YM0OdY/z utR78sDoBfitb7jpTLH2OII4mYBvi+YOdmRc3Kjd6xAo/et/9Pr5ho1/AAAA//8DAFBLAwQUAAYA CAAAACEA5AnB89sAAAAEAQAADwAAAGRycy9kb3ducmV2LnhtbEyPzW7CMBCE75V4B2uReisOSKQo jYMQ/VGvDUj06MRLHBHvhthA+vZ1e2kvK41mNPNtvh5dJ644+JZJwXyWgECq2bTUKNjvXh9WIHzQ ZHTHhAq+0MO6mNzlOjN8ow+8lqERsYR8phXYEPpMSl9bdNrPuEeK3pEHp0OUQyPNoG+x3HVykSSp dLqluGB1j1uL9am8OAXp89vG9of083xc+Hdf8SmU/KLU/XTcPIEIOIa/MPzgR3QoIlPFFzJedAri I+H3Ru8xTZYgKgXL1Rxkkcv/8MU3AAAA//8DAFBLAQItABQABgAIAAAAIQC2gziS/gAAAOEBAAAT AAAAAAAAAAAAAAAAAAAAAABbQ29udGVudF9UeXBlc10ueG1sUEsBAi0AFAAGAAgAAAAhADj9If/W AAAAlAEAAAsAAAAAAAAAAAAAAAAALwEAAF9yZWxzLy5yZWxzUEsBAi0AFAAGAAgAAAAhAPkCWPi9 AgAACwUAAA4AAAAAAAAAAAAAAAAALgIAAGRycy9lMm9Eb2MueG1sUEsBAi0AFAAGAAgAAAAhAOQJ wfPbAAAABAEAAA8AAAAAAAAAAAAAAAAAFwUAAGRycy9kb3ducmV2LnhtbFBLBQYAAAAABAAEAPMA AAAfBgAAAAA= " filled="f" stroked="f">
              <v:textbox style="mso-fit-shape-to-text:t" inset="20pt,0,0,15pt">
                <w:txbxContent>
                  <w:p w14:paraId="746B2246" w14:textId="4D0EDCCD">
                    <w:pPr>
                      <w:spacing w:line="276"/>
                      <w:rPr>
                        <w:rFonts w:ascii="Aptos" w:hAnsi="Aptos" w:eastAsia="Aptos" w:cs="Aptos"/>
                        <w:color w:val="000000"/>
                        <w:sz w:val="20"/>
                      </w:rPr>
                    </w:pPr>
                    <w:r>
                      <w:rPr>
                        <w:rFonts w:ascii="Aptos" w:hAnsi="Aptos" w:eastAsia="Aptos" w:cs="Aptos"/>
                        <w:color w:val="000000"/>
                        <w:sz w:val="20"/>
                      </w:rPr>
                      <w:t>Socialinės apsaugos ir darbo ministerija bei pavaldžios įstaigos | Viešam naudojimui</w:t>
                    </w:r>
                  </w:p>
                </w:txbxContent>
              </v:textbox>
              <w10:wrap anchorx="page" anchory="page"/>
            </v:shape>
          </w:pict>
        </mc:Fallback>
      </mc:AlternateContent>
    </w: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4DED69F" w14:textId="77777777">
      <w:pPr>
        <w:spacing w:after="200" w:line="276" w:lineRule="auto"/>
        <w:rPr>
          <w:rFonts w:eastAsia="Calibri"/>
          <w:szCs w:val="22"/>
        </w:rPr>
      </w:pPr>
      <w:r>
        <w:rPr>
          <w:rFonts w:eastAsia="Calibri"/>
          <w:szCs w:val="22"/>
        </w:rPr>
        <w:separator/>
      </w:r>
    </w:p>
  </w:footnote>
  <w:footnote w:type="continuationSeparator" w:id="0">
    <w:p w14:paraId="17CB7F22" w14:textId="77777777">
      <w:pPr>
        <w:spacing w:after="200" w:line="276" w:lineRule="auto"/>
        <w:rPr>
          <w:rFonts w:eastAsia="Calibri"/>
          <w:szCs w:val="22"/>
        </w:rPr>
      </w:pPr>
      <w:r>
        <w:rPr>
          <w:rFonts w:eastAsia="Calibri"/>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F937BC" w14:textId="77777777">
    <w:pPr>
      <w:framePr w:wrap="auto" w:vAnchor="text" w:hAnchor="margin" w:xAlign="center" w:y="1"/>
      <w:tabs>
        <w:tab w:val="center" w:pos="4153"/>
        <w:tab w:val="right" w:pos="8306"/>
      </w:tabs>
      <w:rPr>
        <w:lang w:val="x-none" w:eastAsia="x-none"/>
      </w:rPr>
    </w:pPr>
    <w:r>
      <w:rPr>
        <w:lang w:val="x-none" w:eastAsia="x-none"/>
      </w:rPr>
      <w:fldChar w:fldCharType="begin"/>
    </w:r>
    <w:r>
      <w:rPr>
        <w:lang w:val="x-none" w:eastAsia="x-none"/>
      </w:rPr>
      <w:instrText xml:space="preserve">PAGE  </w:instrText>
    </w:r>
    <w:r>
      <w:rPr>
        <w:lang w:val="x-none" w:eastAsia="x-none"/>
      </w:rPr>
      <w:fldChar w:fldCharType="end"/>
    </w:r>
  </w:p>
  <w:p w14:paraId="47DC185D" w14:textId="77777777">
    <w:pPr>
      <w:tabs>
        <w:tab w:val="center" w:pos="4153"/>
        <w:tab w:val="right" w:pos="8306"/>
      </w:tabs>
      <w:rPr>
        <w:lang w:val="x-none" w:eastAsia="x-none"/>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C98276" w14:textId="77777777">
    <w:pPr>
      <w:tabs>
        <w:tab w:val="center" w:pos="4153"/>
        <w:tab w:val="right" w:pos="8306"/>
      </w:tabs>
      <w:jc w:val="center"/>
      <w:rPr>
        <w:lang w:val="x-none" w:eastAsia="x-none"/>
      </w:rPr>
    </w:pPr>
    <w:r>
      <w:rPr>
        <w:lang w:val="x-none" w:eastAsia="x-none"/>
      </w:rPr>
      <w:fldChar w:fldCharType="begin"/>
    </w:r>
    <w:r>
      <w:rPr>
        <w:lang w:val="x-none" w:eastAsia="x-none"/>
      </w:rPr>
      <w:instrText>PAGE   \* MERGEFORMAT</w:instrText>
    </w:r>
    <w:r>
      <w:rPr>
        <w:lang w:val="x-none" w:eastAsia="x-none"/>
      </w:rPr>
      <w:fldChar w:fldCharType="separate"/>
    </w:r>
    <w:r>
      <w:rPr>
        <w:lang w:eastAsia="x-none"/>
      </w:rPr>
      <w:t>2</w:t>
    </w:r>
    <w:r>
      <w:rPr>
        <w:lang w:val="x-none" w:eastAsia="x-none"/>
      </w:rPr>
      <w:fldChar w:fldCharType="end"/>
    </w:r>
  </w:p>
  <w:p w14:paraId="309EB825" w14:textId="77777777">
    <w:pPr>
      <w:tabs>
        <w:tab w:val="center" w:pos="4153"/>
        <w:tab w:val="right" w:pos="8306"/>
      </w:tabs>
      <w:rPr>
        <w:lang w:val="x-none" w:eastAsia="x-none"/>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D4F4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4D17871"/>
  <w15:chartTrackingRefBased/>
  <w15:docId w15:val="{E053AFDD-93E1-48D3-AB1C-02C26318807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945811">
      <w:bodyDiv w:val="1"/>
      <w:marLeft w:val="161"/>
      <w:marRight w:val="161"/>
      <w:marTop w:val="0"/>
      <w:marBottom w:val="0"/>
      <w:divBdr>
        <w:top w:val="none" w:sz="0" w:space="0" w:color="auto"/>
        <w:left w:val="none" w:sz="0" w:space="0" w:color="auto"/>
        <w:bottom w:val="none" w:sz="0" w:space="0" w:color="auto"/>
        <w:right w:val="none" w:sz="0" w:space="0" w:color="auto"/>
      </w:divBdr>
      <w:divsChild>
        <w:div w:id="720637499">
          <w:marLeft w:val="0"/>
          <w:marRight w:val="0"/>
          <w:marTop w:val="0"/>
          <w:marBottom w:val="0"/>
          <w:divBdr>
            <w:top w:val="none" w:sz="0" w:space="0" w:color="auto"/>
            <w:left w:val="none" w:sz="0" w:space="0" w:color="auto"/>
            <w:bottom w:val="none" w:sz="0" w:space="0" w:color="auto"/>
            <w:right w:val="none" w:sz="0" w:space="0" w:color="auto"/>
          </w:divBdr>
        </w:div>
      </w:divsChild>
    </w:div>
    <w:div w:id="28994285">
      <w:bodyDiv w:val="1"/>
      <w:marLeft w:val="161"/>
      <w:marRight w:val="161"/>
      <w:marTop w:val="0"/>
      <w:marBottom w:val="0"/>
      <w:divBdr>
        <w:top w:val="none" w:sz="0" w:space="0" w:color="auto"/>
        <w:left w:val="none" w:sz="0" w:space="0" w:color="auto"/>
        <w:bottom w:val="none" w:sz="0" w:space="0" w:color="auto"/>
        <w:right w:val="none" w:sz="0" w:space="0" w:color="auto"/>
      </w:divBdr>
      <w:divsChild>
        <w:div w:id="253782727">
          <w:marLeft w:val="0"/>
          <w:marRight w:val="0"/>
          <w:marTop w:val="0"/>
          <w:marBottom w:val="0"/>
          <w:divBdr>
            <w:top w:val="none" w:sz="0" w:space="0" w:color="auto"/>
            <w:left w:val="none" w:sz="0" w:space="0" w:color="auto"/>
            <w:bottom w:val="none" w:sz="0" w:space="0" w:color="auto"/>
            <w:right w:val="none" w:sz="0" w:space="0" w:color="auto"/>
          </w:divBdr>
        </w:div>
      </w:divsChild>
    </w:div>
    <w:div w:id="42413751">
      <w:bodyDiv w:val="1"/>
      <w:marLeft w:val="161"/>
      <w:marRight w:val="161"/>
      <w:marTop w:val="0"/>
      <w:marBottom w:val="0"/>
      <w:divBdr>
        <w:top w:val="none" w:sz="0" w:space="0" w:color="auto"/>
        <w:left w:val="none" w:sz="0" w:space="0" w:color="auto"/>
        <w:bottom w:val="none" w:sz="0" w:space="0" w:color="auto"/>
        <w:right w:val="none" w:sz="0" w:space="0" w:color="auto"/>
      </w:divBdr>
      <w:divsChild>
        <w:div w:id="1723750236">
          <w:marLeft w:val="0"/>
          <w:marRight w:val="0"/>
          <w:marTop w:val="0"/>
          <w:marBottom w:val="0"/>
          <w:divBdr>
            <w:top w:val="none" w:sz="0" w:space="0" w:color="auto"/>
            <w:left w:val="none" w:sz="0" w:space="0" w:color="auto"/>
            <w:bottom w:val="none" w:sz="0" w:space="0" w:color="auto"/>
            <w:right w:val="none" w:sz="0" w:space="0" w:color="auto"/>
          </w:divBdr>
        </w:div>
      </w:divsChild>
    </w:div>
    <w:div w:id="46877356">
      <w:bodyDiv w:val="1"/>
      <w:marLeft w:val="225"/>
      <w:marRight w:val="225"/>
      <w:marTop w:val="0"/>
      <w:marBottom w:val="0"/>
      <w:divBdr>
        <w:top w:val="none" w:sz="0" w:space="0" w:color="auto"/>
        <w:left w:val="none" w:sz="0" w:space="0" w:color="auto"/>
        <w:bottom w:val="none" w:sz="0" w:space="0" w:color="auto"/>
        <w:right w:val="none" w:sz="0" w:space="0" w:color="auto"/>
      </w:divBdr>
      <w:divsChild>
        <w:div w:id="1188638723">
          <w:marLeft w:val="0"/>
          <w:marRight w:val="0"/>
          <w:marTop w:val="0"/>
          <w:marBottom w:val="0"/>
          <w:divBdr>
            <w:top w:val="none" w:sz="0" w:space="0" w:color="auto"/>
            <w:left w:val="none" w:sz="0" w:space="0" w:color="auto"/>
            <w:bottom w:val="none" w:sz="0" w:space="0" w:color="auto"/>
            <w:right w:val="none" w:sz="0" w:space="0" w:color="auto"/>
          </w:divBdr>
        </w:div>
      </w:divsChild>
    </w:div>
    <w:div w:id="77362906">
      <w:bodyDiv w:val="1"/>
      <w:marLeft w:val="161"/>
      <w:marRight w:val="161"/>
      <w:marTop w:val="0"/>
      <w:marBottom w:val="0"/>
      <w:divBdr>
        <w:top w:val="none" w:sz="0" w:space="0" w:color="auto"/>
        <w:left w:val="none" w:sz="0" w:space="0" w:color="auto"/>
        <w:bottom w:val="none" w:sz="0" w:space="0" w:color="auto"/>
        <w:right w:val="none" w:sz="0" w:space="0" w:color="auto"/>
      </w:divBdr>
      <w:divsChild>
        <w:div w:id="330136665">
          <w:marLeft w:val="0"/>
          <w:marRight w:val="0"/>
          <w:marTop w:val="0"/>
          <w:marBottom w:val="0"/>
          <w:divBdr>
            <w:top w:val="none" w:sz="0" w:space="0" w:color="auto"/>
            <w:left w:val="none" w:sz="0" w:space="0" w:color="auto"/>
            <w:bottom w:val="none" w:sz="0" w:space="0" w:color="auto"/>
            <w:right w:val="none" w:sz="0" w:space="0" w:color="auto"/>
          </w:divBdr>
        </w:div>
      </w:divsChild>
    </w:div>
    <w:div w:id="82921141">
      <w:bodyDiv w:val="1"/>
      <w:marLeft w:val="161"/>
      <w:marRight w:val="161"/>
      <w:marTop w:val="0"/>
      <w:marBottom w:val="0"/>
      <w:divBdr>
        <w:top w:val="none" w:sz="0" w:space="0" w:color="auto"/>
        <w:left w:val="none" w:sz="0" w:space="0" w:color="auto"/>
        <w:bottom w:val="none" w:sz="0" w:space="0" w:color="auto"/>
        <w:right w:val="none" w:sz="0" w:space="0" w:color="auto"/>
      </w:divBdr>
      <w:divsChild>
        <w:div w:id="572667724">
          <w:marLeft w:val="0"/>
          <w:marRight w:val="0"/>
          <w:marTop w:val="0"/>
          <w:marBottom w:val="0"/>
          <w:divBdr>
            <w:top w:val="none" w:sz="0" w:space="0" w:color="auto"/>
            <w:left w:val="none" w:sz="0" w:space="0" w:color="auto"/>
            <w:bottom w:val="none" w:sz="0" w:space="0" w:color="auto"/>
            <w:right w:val="none" w:sz="0" w:space="0" w:color="auto"/>
          </w:divBdr>
        </w:div>
      </w:divsChild>
    </w:div>
    <w:div w:id="85197697">
      <w:bodyDiv w:val="1"/>
      <w:marLeft w:val="161"/>
      <w:marRight w:val="161"/>
      <w:marTop w:val="0"/>
      <w:marBottom w:val="0"/>
      <w:divBdr>
        <w:top w:val="none" w:sz="0" w:space="0" w:color="auto"/>
        <w:left w:val="none" w:sz="0" w:space="0" w:color="auto"/>
        <w:bottom w:val="none" w:sz="0" w:space="0" w:color="auto"/>
        <w:right w:val="none" w:sz="0" w:space="0" w:color="auto"/>
      </w:divBdr>
      <w:divsChild>
        <w:div w:id="967199879">
          <w:marLeft w:val="0"/>
          <w:marRight w:val="0"/>
          <w:marTop w:val="0"/>
          <w:marBottom w:val="0"/>
          <w:divBdr>
            <w:top w:val="none" w:sz="0" w:space="0" w:color="auto"/>
            <w:left w:val="none" w:sz="0" w:space="0" w:color="auto"/>
            <w:bottom w:val="none" w:sz="0" w:space="0" w:color="auto"/>
            <w:right w:val="none" w:sz="0" w:space="0" w:color="auto"/>
          </w:divBdr>
        </w:div>
      </w:divsChild>
    </w:div>
    <w:div w:id="89202907">
      <w:bodyDiv w:val="1"/>
      <w:marLeft w:val="161"/>
      <w:marRight w:val="161"/>
      <w:marTop w:val="0"/>
      <w:marBottom w:val="0"/>
      <w:divBdr>
        <w:top w:val="none" w:sz="0" w:space="0" w:color="auto"/>
        <w:left w:val="none" w:sz="0" w:space="0" w:color="auto"/>
        <w:bottom w:val="none" w:sz="0" w:space="0" w:color="auto"/>
        <w:right w:val="none" w:sz="0" w:space="0" w:color="auto"/>
      </w:divBdr>
      <w:divsChild>
        <w:div w:id="992102675">
          <w:marLeft w:val="0"/>
          <w:marRight w:val="0"/>
          <w:marTop w:val="0"/>
          <w:marBottom w:val="0"/>
          <w:divBdr>
            <w:top w:val="none" w:sz="0" w:space="0" w:color="auto"/>
            <w:left w:val="none" w:sz="0" w:space="0" w:color="auto"/>
            <w:bottom w:val="none" w:sz="0" w:space="0" w:color="auto"/>
            <w:right w:val="none" w:sz="0" w:space="0" w:color="auto"/>
          </w:divBdr>
        </w:div>
      </w:divsChild>
    </w:div>
    <w:div w:id="93330082">
      <w:bodyDiv w:val="1"/>
      <w:marLeft w:val="225"/>
      <w:marRight w:val="225"/>
      <w:marTop w:val="0"/>
      <w:marBottom w:val="0"/>
      <w:divBdr>
        <w:top w:val="none" w:sz="0" w:space="0" w:color="auto"/>
        <w:left w:val="none" w:sz="0" w:space="0" w:color="auto"/>
        <w:bottom w:val="none" w:sz="0" w:space="0" w:color="auto"/>
        <w:right w:val="none" w:sz="0" w:space="0" w:color="auto"/>
      </w:divBdr>
      <w:divsChild>
        <w:div w:id="817694934">
          <w:marLeft w:val="0"/>
          <w:marRight w:val="0"/>
          <w:marTop w:val="0"/>
          <w:marBottom w:val="0"/>
          <w:divBdr>
            <w:top w:val="none" w:sz="0" w:space="0" w:color="auto"/>
            <w:left w:val="none" w:sz="0" w:space="0" w:color="auto"/>
            <w:bottom w:val="none" w:sz="0" w:space="0" w:color="auto"/>
            <w:right w:val="none" w:sz="0" w:space="0" w:color="auto"/>
          </w:divBdr>
        </w:div>
      </w:divsChild>
    </w:div>
    <w:div w:id="121701802">
      <w:bodyDiv w:val="1"/>
      <w:marLeft w:val="161"/>
      <w:marRight w:val="161"/>
      <w:marTop w:val="0"/>
      <w:marBottom w:val="0"/>
      <w:divBdr>
        <w:top w:val="none" w:sz="0" w:space="0" w:color="auto"/>
        <w:left w:val="none" w:sz="0" w:space="0" w:color="auto"/>
        <w:bottom w:val="none" w:sz="0" w:space="0" w:color="auto"/>
        <w:right w:val="none" w:sz="0" w:space="0" w:color="auto"/>
      </w:divBdr>
      <w:divsChild>
        <w:div w:id="1674643220">
          <w:marLeft w:val="0"/>
          <w:marRight w:val="0"/>
          <w:marTop w:val="0"/>
          <w:marBottom w:val="0"/>
          <w:divBdr>
            <w:top w:val="none" w:sz="0" w:space="0" w:color="auto"/>
            <w:left w:val="none" w:sz="0" w:space="0" w:color="auto"/>
            <w:bottom w:val="none" w:sz="0" w:space="0" w:color="auto"/>
            <w:right w:val="none" w:sz="0" w:space="0" w:color="auto"/>
          </w:divBdr>
        </w:div>
      </w:divsChild>
    </w:div>
    <w:div w:id="129634010">
      <w:bodyDiv w:val="1"/>
      <w:marLeft w:val="161"/>
      <w:marRight w:val="161"/>
      <w:marTop w:val="0"/>
      <w:marBottom w:val="0"/>
      <w:divBdr>
        <w:top w:val="none" w:sz="0" w:space="0" w:color="auto"/>
        <w:left w:val="none" w:sz="0" w:space="0" w:color="auto"/>
        <w:bottom w:val="none" w:sz="0" w:space="0" w:color="auto"/>
        <w:right w:val="none" w:sz="0" w:space="0" w:color="auto"/>
      </w:divBdr>
      <w:divsChild>
        <w:div w:id="1137799850">
          <w:marLeft w:val="0"/>
          <w:marRight w:val="0"/>
          <w:marTop w:val="0"/>
          <w:marBottom w:val="0"/>
          <w:divBdr>
            <w:top w:val="none" w:sz="0" w:space="0" w:color="auto"/>
            <w:left w:val="none" w:sz="0" w:space="0" w:color="auto"/>
            <w:bottom w:val="none" w:sz="0" w:space="0" w:color="auto"/>
            <w:right w:val="none" w:sz="0" w:space="0" w:color="auto"/>
          </w:divBdr>
        </w:div>
      </w:divsChild>
    </w:div>
    <w:div w:id="131870464">
      <w:bodyDiv w:val="1"/>
      <w:marLeft w:val="0"/>
      <w:marRight w:val="0"/>
      <w:marTop w:val="0"/>
      <w:marBottom w:val="0"/>
      <w:divBdr>
        <w:top w:val="none" w:sz="0" w:space="0" w:color="auto"/>
        <w:left w:val="none" w:sz="0" w:space="0" w:color="auto"/>
        <w:bottom w:val="none" w:sz="0" w:space="0" w:color="auto"/>
        <w:right w:val="none" w:sz="0" w:space="0" w:color="auto"/>
      </w:divBdr>
      <w:divsChild>
        <w:div w:id="1714841257">
          <w:marLeft w:val="0"/>
          <w:marRight w:val="0"/>
          <w:marTop w:val="0"/>
          <w:marBottom w:val="0"/>
          <w:divBdr>
            <w:top w:val="none" w:sz="0" w:space="0" w:color="auto"/>
            <w:left w:val="none" w:sz="0" w:space="0" w:color="auto"/>
            <w:bottom w:val="none" w:sz="0" w:space="0" w:color="auto"/>
            <w:right w:val="none" w:sz="0" w:space="0" w:color="auto"/>
          </w:divBdr>
        </w:div>
      </w:divsChild>
    </w:div>
    <w:div w:id="149761199">
      <w:bodyDiv w:val="1"/>
      <w:marLeft w:val="161"/>
      <w:marRight w:val="161"/>
      <w:marTop w:val="0"/>
      <w:marBottom w:val="0"/>
      <w:divBdr>
        <w:top w:val="none" w:sz="0" w:space="0" w:color="auto"/>
        <w:left w:val="none" w:sz="0" w:space="0" w:color="auto"/>
        <w:bottom w:val="none" w:sz="0" w:space="0" w:color="auto"/>
        <w:right w:val="none" w:sz="0" w:space="0" w:color="auto"/>
      </w:divBdr>
      <w:divsChild>
        <w:div w:id="1888712282">
          <w:marLeft w:val="0"/>
          <w:marRight w:val="0"/>
          <w:marTop w:val="0"/>
          <w:marBottom w:val="0"/>
          <w:divBdr>
            <w:top w:val="none" w:sz="0" w:space="0" w:color="auto"/>
            <w:left w:val="none" w:sz="0" w:space="0" w:color="auto"/>
            <w:bottom w:val="none" w:sz="0" w:space="0" w:color="auto"/>
            <w:right w:val="none" w:sz="0" w:space="0" w:color="auto"/>
          </w:divBdr>
        </w:div>
      </w:divsChild>
    </w:div>
    <w:div w:id="150299117">
      <w:bodyDiv w:val="1"/>
      <w:marLeft w:val="161"/>
      <w:marRight w:val="161"/>
      <w:marTop w:val="0"/>
      <w:marBottom w:val="0"/>
      <w:divBdr>
        <w:top w:val="none" w:sz="0" w:space="0" w:color="auto"/>
        <w:left w:val="none" w:sz="0" w:space="0" w:color="auto"/>
        <w:bottom w:val="none" w:sz="0" w:space="0" w:color="auto"/>
        <w:right w:val="none" w:sz="0" w:space="0" w:color="auto"/>
      </w:divBdr>
      <w:divsChild>
        <w:div w:id="386492900">
          <w:marLeft w:val="0"/>
          <w:marRight w:val="0"/>
          <w:marTop w:val="0"/>
          <w:marBottom w:val="0"/>
          <w:divBdr>
            <w:top w:val="none" w:sz="0" w:space="0" w:color="auto"/>
            <w:left w:val="none" w:sz="0" w:space="0" w:color="auto"/>
            <w:bottom w:val="none" w:sz="0" w:space="0" w:color="auto"/>
            <w:right w:val="none" w:sz="0" w:space="0" w:color="auto"/>
          </w:divBdr>
        </w:div>
      </w:divsChild>
    </w:div>
    <w:div w:id="163593640">
      <w:bodyDiv w:val="1"/>
      <w:marLeft w:val="161"/>
      <w:marRight w:val="161"/>
      <w:marTop w:val="0"/>
      <w:marBottom w:val="0"/>
      <w:divBdr>
        <w:top w:val="none" w:sz="0" w:space="0" w:color="auto"/>
        <w:left w:val="none" w:sz="0" w:space="0" w:color="auto"/>
        <w:bottom w:val="none" w:sz="0" w:space="0" w:color="auto"/>
        <w:right w:val="none" w:sz="0" w:space="0" w:color="auto"/>
      </w:divBdr>
      <w:divsChild>
        <w:div w:id="2041735876">
          <w:marLeft w:val="0"/>
          <w:marRight w:val="0"/>
          <w:marTop w:val="0"/>
          <w:marBottom w:val="0"/>
          <w:divBdr>
            <w:top w:val="none" w:sz="0" w:space="0" w:color="auto"/>
            <w:left w:val="none" w:sz="0" w:space="0" w:color="auto"/>
            <w:bottom w:val="none" w:sz="0" w:space="0" w:color="auto"/>
            <w:right w:val="none" w:sz="0" w:space="0" w:color="auto"/>
          </w:divBdr>
        </w:div>
      </w:divsChild>
    </w:div>
    <w:div w:id="187910297">
      <w:bodyDiv w:val="1"/>
      <w:marLeft w:val="225"/>
      <w:marRight w:val="225"/>
      <w:marTop w:val="0"/>
      <w:marBottom w:val="0"/>
      <w:divBdr>
        <w:top w:val="none" w:sz="0" w:space="0" w:color="auto"/>
        <w:left w:val="none" w:sz="0" w:space="0" w:color="auto"/>
        <w:bottom w:val="none" w:sz="0" w:space="0" w:color="auto"/>
        <w:right w:val="none" w:sz="0" w:space="0" w:color="auto"/>
      </w:divBdr>
      <w:divsChild>
        <w:div w:id="244265504">
          <w:marLeft w:val="0"/>
          <w:marRight w:val="0"/>
          <w:marTop w:val="0"/>
          <w:marBottom w:val="0"/>
          <w:divBdr>
            <w:top w:val="none" w:sz="0" w:space="0" w:color="auto"/>
            <w:left w:val="none" w:sz="0" w:space="0" w:color="auto"/>
            <w:bottom w:val="none" w:sz="0" w:space="0" w:color="auto"/>
            <w:right w:val="none" w:sz="0" w:space="0" w:color="auto"/>
          </w:divBdr>
        </w:div>
      </w:divsChild>
    </w:div>
    <w:div w:id="223567222">
      <w:bodyDiv w:val="1"/>
      <w:marLeft w:val="161"/>
      <w:marRight w:val="161"/>
      <w:marTop w:val="0"/>
      <w:marBottom w:val="0"/>
      <w:divBdr>
        <w:top w:val="none" w:sz="0" w:space="0" w:color="auto"/>
        <w:left w:val="none" w:sz="0" w:space="0" w:color="auto"/>
        <w:bottom w:val="none" w:sz="0" w:space="0" w:color="auto"/>
        <w:right w:val="none" w:sz="0" w:space="0" w:color="auto"/>
      </w:divBdr>
      <w:divsChild>
        <w:div w:id="1351223557">
          <w:marLeft w:val="0"/>
          <w:marRight w:val="0"/>
          <w:marTop w:val="0"/>
          <w:marBottom w:val="0"/>
          <w:divBdr>
            <w:top w:val="none" w:sz="0" w:space="0" w:color="auto"/>
            <w:left w:val="none" w:sz="0" w:space="0" w:color="auto"/>
            <w:bottom w:val="none" w:sz="0" w:space="0" w:color="auto"/>
            <w:right w:val="none" w:sz="0" w:space="0" w:color="auto"/>
          </w:divBdr>
        </w:div>
      </w:divsChild>
    </w:div>
    <w:div w:id="227542691">
      <w:bodyDiv w:val="1"/>
      <w:marLeft w:val="161"/>
      <w:marRight w:val="161"/>
      <w:marTop w:val="0"/>
      <w:marBottom w:val="0"/>
      <w:divBdr>
        <w:top w:val="none" w:sz="0" w:space="0" w:color="auto"/>
        <w:left w:val="none" w:sz="0" w:space="0" w:color="auto"/>
        <w:bottom w:val="none" w:sz="0" w:space="0" w:color="auto"/>
        <w:right w:val="none" w:sz="0" w:space="0" w:color="auto"/>
      </w:divBdr>
      <w:divsChild>
        <w:div w:id="942571029">
          <w:marLeft w:val="0"/>
          <w:marRight w:val="0"/>
          <w:marTop w:val="0"/>
          <w:marBottom w:val="0"/>
          <w:divBdr>
            <w:top w:val="none" w:sz="0" w:space="0" w:color="auto"/>
            <w:left w:val="none" w:sz="0" w:space="0" w:color="auto"/>
            <w:bottom w:val="none" w:sz="0" w:space="0" w:color="auto"/>
            <w:right w:val="none" w:sz="0" w:space="0" w:color="auto"/>
          </w:divBdr>
        </w:div>
      </w:divsChild>
    </w:div>
    <w:div w:id="235017867">
      <w:bodyDiv w:val="1"/>
      <w:marLeft w:val="161"/>
      <w:marRight w:val="161"/>
      <w:marTop w:val="0"/>
      <w:marBottom w:val="0"/>
      <w:divBdr>
        <w:top w:val="none" w:sz="0" w:space="0" w:color="auto"/>
        <w:left w:val="none" w:sz="0" w:space="0" w:color="auto"/>
        <w:bottom w:val="none" w:sz="0" w:space="0" w:color="auto"/>
        <w:right w:val="none" w:sz="0" w:space="0" w:color="auto"/>
      </w:divBdr>
      <w:divsChild>
        <w:div w:id="1527448586">
          <w:marLeft w:val="0"/>
          <w:marRight w:val="0"/>
          <w:marTop w:val="0"/>
          <w:marBottom w:val="0"/>
          <w:divBdr>
            <w:top w:val="none" w:sz="0" w:space="0" w:color="auto"/>
            <w:left w:val="none" w:sz="0" w:space="0" w:color="auto"/>
            <w:bottom w:val="none" w:sz="0" w:space="0" w:color="auto"/>
            <w:right w:val="none" w:sz="0" w:space="0" w:color="auto"/>
          </w:divBdr>
        </w:div>
      </w:divsChild>
    </w:div>
    <w:div w:id="235364555">
      <w:bodyDiv w:val="1"/>
      <w:marLeft w:val="161"/>
      <w:marRight w:val="161"/>
      <w:marTop w:val="0"/>
      <w:marBottom w:val="0"/>
      <w:divBdr>
        <w:top w:val="none" w:sz="0" w:space="0" w:color="auto"/>
        <w:left w:val="none" w:sz="0" w:space="0" w:color="auto"/>
        <w:bottom w:val="none" w:sz="0" w:space="0" w:color="auto"/>
        <w:right w:val="none" w:sz="0" w:space="0" w:color="auto"/>
      </w:divBdr>
      <w:divsChild>
        <w:div w:id="26177541">
          <w:marLeft w:val="0"/>
          <w:marRight w:val="0"/>
          <w:marTop w:val="0"/>
          <w:marBottom w:val="0"/>
          <w:divBdr>
            <w:top w:val="none" w:sz="0" w:space="0" w:color="auto"/>
            <w:left w:val="none" w:sz="0" w:space="0" w:color="auto"/>
            <w:bottom w:val="none" w:sz="0" w:space="0" w:color="auto"/>
            <w:right w:val="none" w:sz="0" w:space="0" w:color="auto"/>
          </w:divBdr>
        </w:div>
      </w:divsChild>
    </w:div>
    <w:div w:id="243150215">
      <w:bodyDiv w:val="1"/>
      <w:marLeft w:val="150"/>
      <w:marRight w:val="150"/>
      <w:marTop w:val="0"/>
      <w:marBottom w:val="0"/>
      <w:divBdr>
        <w:top w:val="none" w:sz="0" w:space="0" w:color="auto"/>
        <w:left w:val="none" w:sz="0" w:space="0" w:color="auto"/>
        <w:bottom w:val="none" w:sz="0" w:space="0" w:color="auto"/>
        <w:right w:val="none" w:sz="0" w:space="0" w:color="auto"/>
      </w:divBdr>
      <w:divsChild>
        <w:div w:id="1279407505">
          <w:marLeft w:val="0"/>
          <w:marRight w:val="0"/>
          <w:marTop w:val="0"/>
          <w:marBottom w:val="0"/>
          <w:divBdr>
            <w:top w:val="none" w:sz="0" w:space="0" w:color="auto"/>
            <w:left w:val="none" w:sz="0" w:space="0" w:color="auto"/>
            <w:bottom w:val="none" w:sz="0" w:space="0" w:color="auto"/>
            <w:right w:val="none" w:sz="0" w:space="0" w:color="auto"/>
          </w:divBdr>
        </w:div>
      </w:divsChild>
    </w:div>
    <w:div w:id="274681182">
      <w:bodyDiv w:val="1"/>
      <w:marLeft w:val="0"/>
      <w:marRight w:val="0"/>
      <w:marTop w:val="0"/>
      <w:marBottom w:val="0"/>
      <w:divBdr>
        <w:top w:val="none" w:sz="0" w:space="0" w:color="auto"/>
        <w:left w:val="none" w:sz="0" w:space="0" w:color="auto"/>
        <w:bottom w:val="none" w:sz="0" w:space="0" w:color="auto"/>
        <w:right w:val="none" w:sz="0" w:space="0" w:color="auto"/>
      </w:divBdr>
      <w:divsChild>
        <w:div w:id="500387145">
          <w:marLeft w:val="0"/>
          <w:marRight w:val="0"/>
          <w:marTop w:val="0"/>
          <w:marBottom w:val="0"/>
          <w:divBdr>
            <w:top w:val="none" w:sz="0" w:space="0" w:color="auto"/>
            <w:left w:val="none" w:sz="0" w:space="0" w:color="auto"/>
            <w:bottom w:val="none" w:sz="0" w:space="0" w:color="auto"/>
            <w:right w:val="none" w:sz="0" w:space="0" w:color="auto"/>
          </w:divBdr>
        </w:div>
      </w:divsChild>
    </w:div>
    <w:div w:id="294145503">
      <w:bodyDiv w:val="1"/>
      <w:marLeft w:val="225"/>
      <w:marRight w:val="225"/>
      <w:marTop w:val="0"/>
      <w:marBottom w:val="0"/>
      <w:divBdr>
        <w:top w:val="none" w:sz="0" w:space="0" w:color="auto"/>
        <w:left w:val="none" w:sz="0" w:space="0" w:color="auto"/>
        <w:bottom w:val="none" w:sz="0" w:space="0" w:color="auto"/>
        <w:right w:val="none" w:sz="0" w:space="0" w:color="auto"/>
      </w:divBdr>
      <w:divsChild>
        <w:div w:id="780801286">
          <w:marLeft w:val="0"/>
          <w:marRight w:val="0"/>
          <w:marTop w:val="0"/>
          <w:marBottom w:val="0"/>
          <w:divBdr>
            <w:top w:val="none" w:sz="0" w:space="0" w:color="auto"/>
            <w:left w:val="none" w:sz="0" w:space="0" w:color="auto"/>
            <w:bottom w:val="none" w:sz="0" w:space="0" w:color="auto"/>
            <w:right w:val="none" w:sz="0" w:space="0" w:color="auto"/>
          </w:divBdr>
        </w:div>
      </w:divsChild>
    </w:div>
    <w:div w:id="298610691">
      <w:bodyDiv w:val="1"/>
      <w:marLeft w:val="138"/>
      <w:marRight w:val="138"/>
      <w:marTop w:val="0"/>
      <w:marBottom w:val="0"/>
      <w:divBdr>
        <w:top w:val="none" w:sz="0" w:space="0" w:color="auto"/>
        <w:left w:val="none" w:sz="0" w:space="0" w:color="auto"/>
        <w:bottom w:val="none" w:sz="0" w:space="0" w:color="auto"/>
        <w:right w:val="none" w:sz="0" w:space="0" w:color="auto"/>
      </w:divBdr>
      <w:divsChild>
        <w:div w:id="2103723987">
          <w:marLeft w:val="0"/>
          <w:marRight w:val="0"/>
          <w:marTop w:val="0"/>
          <w:marBottom w:val="0"/>
          <w:divBdr>
            <w:top w:val="none" w:sz="0" w:space="0" w:color="auto"/>
            <w:left w:val="none" w:sz="0" w:space="0" w:color="auto"/>
            <w:bottom w:val="none" w:sz="0" w:space="0" w:color="auto"/>
            <w:right w:val="none" w:sz="0" w:space="0" w:color="auto"/>
          </w:divBdr>
        </w:div>
      </w:divsChild>
    </w:div>
    <w:div w:id="316811399">
      <w:bodyDiv w:val="1"/>
      <w:marLeft w:val="161"/>
      <w:marRight w:val="161"/>
      <w:marTop w:val="0"/>
      <w:marBottom w:val="0"/>
      <w:divBdr>
        <w:top w:val="none" w:sz="0" w:space="0" w:color="auto"/>
        <w:left w:val="none" w:sz="0" w:space="0" w:color="auto"/>
        <w:bottom w:val="none" w:sz="0" w:space="0" w:color="auto"/>
        <w:right w:val="none" w:sz="0" w:space="0" w:color="auto"/>
      </w:divBdr>
      <w:divsChild>
        <w:div w:id="1578056348">
          <w:marLeft w:val="0"/>
          <w:marRight w:val="0"/>
          <w:marTop w:val="0"/>
          <w:marBottom w:val="0"/>
          <w:divBdr>
            <w:top w:val="none" w:sz="0" w:space="0" w:color="auto"/>
            <w:left w:val="none" w:sz="0" w:space="0" w:color="auto"/>
            <w:bottom w:val="none" w:sz="0" w:space="0" w:color="auto"/>
            <w:right w:val="none" w:sz="0" w:space="0" w:color="auto"/>
          </w:divBdr>
        </w:div>
      </w:divsChild>
    </w:div>
    <w:div w:id="331834773">
      <w:bodyDiv w:val="1"/>
      <w:marLeft w:val="161"/>
      <w:marRight w:val="161"/>
      <w:marTop w:val="0"/>
      <w:marBottom w:val="0"/>
      <w:divBdr>
        <w:top w:val="none" w:sz="0" w:space="0" w:color="auto"/>
        <w:left w:val="none" w:sz="0" w:space="0" w:color="auto"/>
        <w:bottom w:val="none" w:sz="0" w:space="0" w:color="auto"/>
        <w:right w:val="none" w:sz="0" w:space="0" w:color="auto"/>
      </w:divBdr>
      <w:divsChild>
        <w:div w:id="1897350306">
          <w:marLeft w:val="0"/>
          <w:marRight w:val="0"/>
          <w:marTop w:val="0"/>
          <w:marBottom w:val="0"/>
          <w:divBdr>
            <w:top w:val="none" w:sz="0" w:space="0" w:color="auto"/>
            <w:left w:val="none" w:sz="0" w:space="0" w:color="auto"/>
            <w:bottom w:val="none" w:sz="0" w:space="0" w:color="auto"/>
            <w:right w:val="none" w:sz="0" w:space="0" w:color="auto"/>
          </w:divBdr>
        </w:div>
      </w:divsChild>
    </w:div>
    <w:div w:id="332757501">
      <w:bodyDiv w:val="1"/>
      <w:marLeft w:val="225"/>
      <w:marRight w:val="225"/>
      <w:marTop w:val="0"/>
      <w:marBottom w:val="0"/>
      <w:divBdr>
        <w:top w:val="none" w:sz="0" w:space="0" w:color="auto"/>
        <w:left w:val="none" w:sz="0" w:space="0" w:color="auto"/>
        <w:bottom w:val="none" w:sz="0" w:space="0" w:color="auto"/>
        <w:right w:val="none" w:sz="0" w:space="0" w:color="auto"/>
      </w:divBdr>
      <w:divsChild>
        <w:div w:id="1904293192">
          <w:marLeft w:val="0"/>
          <w:marRight w:val="0"/>
          <w:marTop w:val="0"/>
          <w:marBottom w:val="0"/>
          <w:divBdr>
            <w:top w:val="none" w:sz="0" w:space="0" w:color="auto"/>
            <w:left w:val="none" w:sz="0" w:space="0" w:color="auto"/>
            <w:bottom w:val="none" w:sz="0" w:space="0" w:color="auto"/>
            <w:right w:val="none" w:sz="0" w:space="0" w:color="auto"/>
          </w:divBdr>
        </w:div>
      </w:divsChild>
    </w:div>
    <w:div w:id="350381388">
      <w:bodyDiv w:val="1"/>
      <w:marLeft w:val="150"/>
      <w:marRight w:val="150"/>
      <w:marTop w:val="0"/>
      <w:marBottom w:val="0"/>
      <w:divBdr>
        <w:top w:val="none" w:sz="0" w:space="0" w:color="auto"/>
        <w:left w:val="none" w:sz="0" w:space="0" w:color="auto"/>
        <w:bottom w:val="none" w:sz="0" w:space="0" w:color="auto"/>
        <w:right w:val="none" w:sz="0" w:space="0" w:color="auto"/>
      </w:divBdr>
      <w:divsChild>
        <w:div w:id="476190829">
          <w:marLeft w:val="0"/>
          <w:marRight w:val="0"/>
          <w:marTop w:val="0"/>
          <w:marBottom w:val="0"/>
          <w:divBdr>
            <w:top w:val="none" w:sz="0" w:space="0" w:color="auto"/>
            <w:left w:val="none" w:sz="0" w:space="0" w:color="auto"/>
            <w:bottom w:val="none" w:sz="0" w:space="0" w:color="auto"/>
            <w:right w:val="none" w:sz="0" w:space="0" w:color="auto"/>
          </w:divBdr>
        </w:div>
      </w:divsChild>
    </w:div>
    <w:div w:id="363478504">
      <w:bodyDiv w:val="1"/>
      <w:marLeft w:val="0"/>
      <w:marRight w:val="0"/>
      <w:marTop w:val="0"/>
      <w:marBottom w:val="0"/>
      <w:divBdr>
        <w:top w:val="none" w:sz="0" w:space="0" w:color="auto"/>
        <w:left w:val="none" w:sz="0" w:space="0" w:color="auto"/>
        <w:bottom w:val="none" w:sz="0" w:space="0" w:color="auto"/>
        <w:right w:val="none" w:sz="0" w:space="0" w:color="auto"/>
      </w:divBdr>
      <w:divsChild>
        <w:div w:id="41637631">
          <w:marLeft w:val="0"/>
          <w:marRight w:val="0"/>
          <w:marTop w:val="0"/>
          <w:marBottom w:val="0"/>
          <w:divBdr>
            <w:top w:val="none" w:sz="0" w:space="0" w:color="auto"/>
            <w:left w:val="none" w:sz="0" w:space="0" w:color="auto"/>
            <w:bottom w:val="none" w:sz="0" w:space="0" w:color="auto"/>
            <w:right w:val="none" w:sz="0" w:space="0" w:color="auto"/>
          </w:divBdr>
        </w:div>
      </w:divsChild>
    </w:div>
    <w:div w:id="382675211">
      <w:bodyDiv w:val="1"/>
      <w:marLeft w:val="161"/>
      <w:marRight w:val="161"/>
      <w:marTop w:val="0"/>
      <w:marBottom w:val="0"/>
      <w:divBdr>
        <w:top w:val="none" w:sz="0" w:space="0" w:color="auto"/>
        <w:left w:val="none" w:sz="0" w:space="0" w:color="auto"/>
        <w:bottom w:val="none" w:sz="0" w:space="0" w:color="auto"/>
        <w:right w:val="none" w:sz="0" w:space="0" w:color="auto"/>
      </w:divBdr>
      <w:divsChild>
        <w:div w:id="2070155182">
          <w:marLeft w:val="0"/>
          <w:marRight w:val="0"/>
          <w:marTop w:val="0"/>
          <w:marBottom w:val="0"/>
          <w:divBdr>
            <w:top w:val="none" w:sz="0" w:space="0" w:color="auto"/>
            <w:left w:val="none" w:sz="0" w:space="0" w:color="auto"/>
            <w:bottom w:val="none" w:sz="0" w:space="0" w:color="auto"/>
            <w:right w:val="none" w:sz="0" w:space="0" w:color="auto"/>
          </w:divBdr>
        </w:div>
      </w:divsChild>
    </w:div>
    <w:div w:id="390806619">
      <w:bodyDiv w:val="1"/>
      <w:marLeft w:val="0"/>
      <w:marRight w:val="0"/>
      <w:marTop w:val="0"/>
      <w:marBottom w:val="0"/>
      <w:divBdr>
        <w:top w:val="none" w:sz="0" w:space="0" w:color="auto"/>
        <w:left w:val="none" w:sz="0" w:space="0" w:color="auto"/>
        <w:bottom w:val="none" w:sz="0" w:space="0" w:color="auto"/>
        <w:right w:val="none" w:sz="0" w:space="0" w:color="auto"/>
      </w:divBdr>
    </w:div>
    <w:div w:id="396321961">
      <w:bodyDiv w:val="1"/>
      <w:marLeft w:val="150"/>
      <w:marRight w:val="150"/>
      <w:marTop w:val="0"/>
      <w:marBottom w:val="0"/>
      <w:divBdr>
        <w:top w:val="none" w:sz="0" w:space="0" w:color="auto"/>
        <w:left w:val="none" w:sz="0" w:space="0" w:color="auto"/>
        <w:bottom w:val="none" w:sz="0" w:space="0" w:color="auto"/>
        <w:right w:val="none" w:sz="0" w:space="0" w:color="auto"/>
      </w:divBdr>
      <w:divsChild>
        <w:div w:id="961838957">
          <w:marLeft w:val="0"/>
          <w:marRight w:val="0"/>
          <w:marTop w:val="0"/>
          <w:marBottom w:val="0"/>
          <w:divBdr>
            <w:top w:val="none" w:sz="0" w:space="0" w:color="auto"/>
            <w:left w:val="none" w:sz="0" w:space="0" w:color="auto"/>
            <w:bottom w:val="none" w:sz="0" w:space="0" w:color="auto"/>
            <w:right w:val="none" w:sz="0" w:space="0" w:color="auto"/>
          </w:divBdr>
        </w:div>
      </w:divsChild>
    </w:div>
    <w:div w:id="402218826">
      <w:bodyDiv w:val="1"/>
      <w:marLeft w:val="225"/>
      <w:marRight w:val="225"/>
      <w:marTop w:val="0"/>
      <w:marBottom w:val="0"/>
      <w:divBdr>
        <w:top w:val="none" w:sz="0" w:space="0" w:color="auto"/>
        <w:left w:val="none" w:sz="0" w:space="0" w:color="auto"/>
        <w:bottom w:val="none" w:sz="0" w:space="0" w:color="auto"/>
        <w:right w:val="none" w:sz="0" w:space="0" w:color="auto"/>
      </w:divBdr>
      <w:divsChild>
        <w:div w:id="992946159">
          <w:marLeft w:val="0"/>
          <w:marRight w:val="0"/>
          <w:marTop w:val="0"/>
          <w:marBottom w:val="0"/>
          <w:divBdr>
            <w:top w:val="none" w:sz="0" w:space="0" w:color="auto"/>
            <w:left w:val="none" w:sz="0" w:space="0" w:color="auto"/>
            <w:bottom w:val="none" w:sz="0" w:space="0" w:color="auto"/>
            <w:right w:val="none" w:sz="0" w:space="0" w:color="auto"/>
          </w:divBdr>
        </w:div>
      </w:divsChild>
    </w:div>
    <w:div w:id="414520612">
      <w:bodyDiv w:val="1"/>
      <w:marLeft w:val="161"/>
      <w:marRight w:val="161"/>
      <w:marTop w:val="0"/>
      <w:marBottom w:val="0"/>
      <w:divBdr>
        <w:top w:val="none" w:sz="0" w:space="0" w:color="auto"/>
        <w:left w:val="none" w:sz="0" w:space="0" w:color="auto"/>
        <w:bottom w:val="none" w:sz="0" w:space="0" w:color="auto"/>
        <w:right w:val="none" w:sz="0" w:space="0" w:color="auto"/>
      </w:divBdr>
      <w:divsChild>
        <w:div w:id="1356882107">
          <w:marLeft w:val="0"/>
          <w:marRight w:val="0"/>
          <w:marTop w:val="0"/>
          <w:marBottom w:val="0"/>
          <w:divBdr>
            <w:top w:val="none" w:sz="0" w:space="0" w:color="auto"/>
            <w:left w:val="none" w:sz="0" w:space="0" w:color="auto"/>
            <w:bottom w:val="none" w:sz="0" w:space="0" w:color="auto"/>
            <w:right w:val="none" w:sz="0" w:space="0" w:color="auto"/>
          </w:divBdr>
        </w:div>
      </w:divsChild>
    </w:div>
    <w:div w:id="420446094">
      <w:bodyDiv w:val="1"/>
      <w:marLeft w:val="225"/>
      <w:marRight w:val="225"/>
      <w:marTop w:val="0"/>
      <w:marBottom w:val="0"/>
      <w:divBdr>
        <w:top w:val="none" w:sz="0" w:space="0" w:color="auto"/>
        <w:left w:val="none" w:sz="0" w:space="0" w:color="auto"/>
        <w:bottom w:val="none" w:sz="0" w:space="0" w:color="auto"/>
        <w:right w:val="none" w:sz="0" w:space="0" w:color="auto"/>
      </w:divBdr>
      <w:divsChild>
        <w:div w:id="559243028">
          <w:marLeft w:val="0"/>
          <w:marRight w:val="0"/>
          <w:marTop w:val="0"/>
          <w:marBottom w:val="0"/>
          <w:divBdr>
            <w:top w:val="none" w:sz="0" w:space="0" w:color="auto"/>
            <w:left w:val="none" w:sz="0" w:space="0" w:color="auto"/>
            <w:bottom w:val="none" w:sz="0" w:space="0" w:color="auto"/>
            <w:right w:val="none" w:sz="0" w:space="0" w:color="auto"/>
          </w:divBdr>
        </w:div>
      </w:divsChild>
    </w:div>
    <w:div w:id="425927601">
      <w:bodyDiv w:val="1"/>
      <w:marLeft w:val="0"/>
      <w:marRight w:val="0"/>
      <w:marTop w:val="0"/>
      <w:marBottom w:val="0"/>
      <w:divBdr>
        <w:top w:val="none" w:sz="0" w:space="0" w:color="auto"/>
        <w:left w:val="none" w:sz="0" w:space="0" w:color="auto"/>
        <w:bottom w:val="none" w:sz="0" w:space="0" w:color="auto"/>
        <w:right w:val="none" w:sz="0" w:space="0" w:color="auto"/>
      </w:divBdr>
      <w:divsChild>
        <w:div w:id="688021401">
          <w:marLeft w:val="0"/>
          <w:marRight w:val="0"/>
          <w:marTop w:val="0"/>
          <w:marBottom w:val="0"/>
          <w:divBdr>
            <w:top w:val="none" w:sz="0" w:space="0" w:color="auto"/>
            <w:left w:val="none" w:sz="0" w:space="0" w:color="auto"/>
            <w:bottom w:val="none" w:sz="0" w:space="0" w:color="auto"/>
            <w:right w:val="none" w:sz="0" w:space="0" w:color="auto"/>
          </w:divBdr>
        </w:div>
      </w:divsChild>
    </w:div>
    <w:div w:id="426317092">
      <w:bodyDiv w:val="1"/>
      <w:marLeft w:val="161"/>
      <w:marRight w:val="161"/>
      <w:marTop w:val="0"/>
      <w:marBottom w:val="0"/>
      <w:divBdr>
        <w:top w:val="none" w:sz="0" w:space="0" w:color="auto"/>
        <w:left w:val="none" w:sz="0" w:space="0" w:color="auto"/>
        <w:bottom w:val="none" w:sz="0" w:space="0" w:color="auto"/>
        <w:right w:val="none" w:sz="0" w:space="0" w:color="auto"/>
      </w:divBdr>
      <w:divsChild>
        <w:div w:id="1750080271">
          <w:marLeft w:val="0"/>
          <w:marRight w:val="0"/>
          <w:marTop w:val="0"/>
          <w:marBottom w:val="0"/>
          <w:divBdr>
            <w:top w:val="none" w:sz="0" w:space="0" w:color="auto"/>
            <w:left w:val="none" w:sz="0" w:space="0" w:color="auto"/>
            <w:bottom w:val="none" w:sz="0" w:space="0" w:color="auto"/>
            <w:right w:val="none" w:sz="0" w:space="0" w:color="auto"/>
          </w:divBdr>
        </w:div>
      </w:divsChild>
    </w:div>
    <w:div w:id="432822355">
      <w:bodyDiv w:val="1"/>
      <w:marLeft w:val="0"/>
      <w:marRight w:val="0"/>
      <w:marTop w:val="0"/>
      <w:marBottom w:val="0"/>
      <w:divBdr>
        <w:top w:val="none" w:sz="0" w:space="0" w:color="auto"/>
        <w:left w:val="none" w:sz="0" w:space="0" w:color="auto"/>
        <w:bottom w:val="none" w:sz="0" w:space="0" w:color="auto"/>
        <w:right w:val="none" w:sz="0" w:space="0" w:color="auto"/>
      </w:divBdr>
      <w:divsChild>
        <w:div w:id="530070586">
          <w:marLeft w:val="0"/>
          <w:marRight w:val="0"/>
          <w:marTop w:val="0"/>
          <w:marBottom w:val="0"/>
          <w:divBdr>
            <w:top w:val="none" w:sz="0" w:space="0" w:color="auto"/>
            <w:left w:val="none" w:sz="0" w:space="0" w:color="auto"/>
            <w:bottom w:val="none" w:sz="0" w:space="0" w:color="auto"/>
            <w:right w:val="none" w:sz="0" w:space="0" w:color="auto"/>
          </w:divBdr>
        </w:div>
      </w:divsChild>
    </w:div>
    <w:div w:id="481236466">
      <w:bodyDiv w:val="1"/>
      <w:marLeft w:val="150"/>
      <w:marRight w:val="150"/>
      <w:marTop w:val="0"/>
      <w:marBottom w:val="0"/>
      <w:divBdr>
        <w:top w:val="none" w:sz="0" w:space="0" w:color="auto"/>
        <w:left w:val="none" w:sz="0" w:space="0" w:color="auto"/>
        <w:bottom w:val="none" w:sz="0" w:space="0" w:color="auto"/>
        <w:right w:val="none" w:sz="0" w:space="0" w:color="auto"/>
      </w:divBdr>
      <w:divsChild>
        <w:div w:id="1014309007">
          <w:marLeft w:val="0"/>
          <w:marRight w:val="0"/>
          <w:marTop w:val="0"/>
          <w:marBottom w:val="0"/>
          <w:divBdr>
            <w:top w:val="none" w:sz="0" w:space="0" w:color="auto"/>
            <w:left w:val="none" w:sz="0" w:space="0" w:color="auto"/>
            <w:bottom w:val="none" w:sz="0" w:space="0" w:color="auto"/>
            <w:right w:val="none" w:sz="0" w:space="0" w:color="auto"/>
          </w:divBdr>
        </w:div>
      </w:divsChild>
    </w:div>
    <w:div w:id="487402056">
      <w:bodyDiv w:val="1"/>
      <w:marLeft w:val="161"/>
      <w:marRight w:val="161"/>
      <w:marTop w:val="0"/>
      <w:marBottom w:val="0"/>
      <w:divBdr>
        <w:top w:val="none" w:sz="0" w:space="0" w:color="auto"/>
        <w:left w:val="none" w:sz="0" w:space="0" w:color="auto"/>
        <w:bottom w:val="none" w:sz="0" w:space="0" w:color="auto"/>
        <w:right w:val="none" w:sz="0" w:space="0" w:color="auto"/>
      </w:divBdr>
      <w:divsChild>
        <w:div w:id="1372419248">
          <w:marLeft w:val="0"/>
          <w:marRight w:val="0"/>
          <w:marTop w:val="0"/>
          <w:marBottom w:val="0"/>
          <w:divBdr>
            <w:top w:val="none" w:sz="0" w:space="0" w:color="auto"/>
            <w:left w:val="none" w:sz="0" w:space="0" w:color="auto"/>
            <w:bottom w:val="none" w:sz="0" w:space="0" w:color="auto"/>
            <w:right w:val="none" w:sz="0" w:space="0" w:color="auto"/>
          </w:divBdr>
        </w:div>
      </w:divsChild>
    </w:div>
    <w:div w:id="507524618">
      <w:bodyDiv w:val="1"/>
      <w:marLeft w:val="0"/>
      <w:marRight w:val="0"/>
      <w:marTop w:val="0"/>
      <w:marBottom w:val="0"/>
      <w:divBdr>
        <w:top w:val="none" w:sz="0" w:space="0" w:color="auto"/>
        <w:left w:val="none" w:sz="0" w:space="0" w:color="auto"/>
        <w:bottom w:val="none" w:sz="0" w:space="0" w:color="auto"/>
        <w:right w:val="none" w:sz="0" w:space="0" w:color="auto"/>
      </w:divBdr>
      <w:divsChild>
        <w:div w:id="527185594">
          <w:marLeft w:val="0"/>
          <w:marRight w:val="0"/>
          <w:marTop w:val="0"/>
          <w:marBottom w:val="0"/>
          <w:divBdr>
            <w:top w:val="none" w:sz="0" w:space="0" w:color="auto"/>
            <w:left w:val="none" w:sz="0" w:space="0" w:color="auto"/>
            <w:bottom w:val="none" w:sz="0" w:space="0" w:color="auto"/>
            <w:right w:val="none" w:sz="0" w:space="0" w:color="auto"/>
          </w:divBdr>
        </w:div>
      </w:divsChild>
    </w:div>
    <w:div w:id="536283973">
      <w:bodyDiv w:val="1"/>
      <w:marLeft w:val="225"/>
      <w:marRight w:val="225"/>
      <w:marTop w:val="0"/>
      <w:marBottom w:val="0"/>
      <w:divBdr>
        <w:top w:val="none" w:sz="0" w:space="0" w:color="auto"/>
        <w:left w:val="none" w:sz="0" w:space="0" w:color="auto"/>
        <w:bottom w:val="none" w:sz="0" w:space="0" w:color="auto"/>
        <w:right w:val="none" w:sz="0" w:space="0" w:color="auto"/>
      </w:divBdr>
      <w:divsChild>
        <w:div w:id="62143670">
          <w:marLeft w:val="0"/>
          <w:marRight w:val="0"/>
          <w:marTop w:val="0"/>
          <w:marBottom w:val="0"/>
          <w:divBdr>
            <w:top w:val="none" w:sz="0" w:space="0" w:color="auto"/>
            <w:left w:val="none" w:sz="0" w:space="0" w:color="auto"/>
            <w:bottom w:val="none" w:sz="0" w:space="0" w:color="auto"/>
            <w:right w:val="none" w:sz="0" w:space="0" w:color="auto"/>
          </w:divBdr>
        </w:div>
      </w:divsChild>
    </w:div>
    <w:div w:id="546844023">
      <w:bodyDiv w:val="1"/>
      <w:marLeft w:val="0"/>
      <w:marRight w:val="0"/>
      <w:marTop w:val="0"/>
      <w:marBottom w:val="0"/>
      <w:divBdr>
        <w:top w:val="none" w:sz="0" w:space="0" w:color="auto"/>
        <w:left w:val="none" w:sz="0" w:space="0" w:color="auto"/>
        <w:bottom w:val="none" w:sz="0" w:space="0" w:color="auto"/>
        <w:right w:val="none" w:sz="0" w:space="0" w:color="auto"/>
      </w:divBdr>
      <w:divsChild>
        <w:div w:id="675304578">
          <w:marLeft w:val="0"/>
          <w:marRight w:val="0"/>
          <w:marTop w:val="0"/>
          <w:marBottom w:val="0"/>
          <w:divBdr>
            <w:top w:val="none" w:sz="0" w:space="0" w:color="auto"/>
            <w:left w:val="none" w:sz="0" w:space="0" w:color="auto"/>
            <w:bottom w:val="none" w:sz="0" w:space="0" w:color="auto"/>
            <w:right w:val="none" w:sz="0" w:space="0" w:color="auto"/>
          </w:divBdr>
        </w:div>
      </w:divsChild>
    </w:div>
    <w:div w:id="571355619">
      <w:bodyDiv w:val="1"/>
      <w:marLeft w:val="0"/>
      <w:marRight w:val="0"/>
      <w:marTop w:val="0"/>
      <w:marBottom w:val="0"/>
      <w:divBdr>
        <w:top w:val="none" w:sz="0" w:space="0" w:color="auto"/>
        <w:left w:val="none" w:sz="0" w:space="0" w:color="auto"/>
        <w:bottom w:val="none" w:sz="0" w:space="0" w:color="auto"/>
        <w:right w:val="none" w:sz="0" w:space="0" w:color="auto"/>
      </w:divBdr>
      <w:divsChild>
        <w:div w:id="1483153277">
          <w:marLeft w:val="0"/>
          <w:marRight w:val="0"/>
          <w:marTop w:val="0"/>
          <w:marBottom w:val="0"/>
          <w:divBdr>
            <w:top w:val="none" w:sz="0" w:space="0" w:color="auto"/>
            <w:left w:val="none" w:sz="0" w:space="0" w:color="auto"/>
            <w:bottom w:val="none" w:sz="0" w:space="0" w:color="auto"/>
            <w:right w:val="none" w:sz="0" w:space="0" w:color="auto"/>
          </w:divBdr>
        </w:div>
      </w:divsChild>
    </w:div>
    <w:div w:id="628439697">
      <w:bodyDiv w:val="1"/>
      <w:marLeft w:val="161"/>
      <w:marRight w:val="161"/>
      <w:marTop w:val="0"/>
      <w:marBottom w:val="0"/>
      <w:divBdr>
        <w:top w:val="none" w:sz="0" w:space="0" w:color="auto"/>
        <w:left w:val="none" w:sz="0" w:space="0" w:color="auto"/>
        <w:bottom w:val="none" w:sz="0" w:space="0" w:color="auto"/>
        <w:right w:val="none" w:sz="0" w:space="0" w:color="auto"/>
      </w:divBdr>
      <w:divsChild>
        <w:div w:id="865293375">
          <w:marLeft w:val="0"/>
          <w:marRight w:val="0"/>
          <w:marTop w:val="0"/>
          <w:marBottom w:val="0"/>
          <w:divBdr>
            <w:top w:val="none" w:sz="0" w:space="0" w:color="auto"/>
            <w:left w:val="none" w:sz="0" w:space="0" w:color="auto"/>
            <w:bottom w:val="none" w:sz="0" w:space="0" w:color="auto"/>
            <w:right w:val="none" w:sz="0" w:space="0" w:color="auto"/>
          </w:divBdr>
        </w:div>
      </w:divsChild>
    </w:div>
    <w:div w:id="652637624">
      <w:bodyDiv w:val="1"/>
      <w:marLeft w:val="161"/>
      <w:marRight w:val="161"/>
      <w:marTop w:val="0"/>
      <w:marBottom w:val="0"/>
      <w:divBdr>
        <w:top w:val="none" w:sz="0" w:space="0" w:color="auto"/>
        <w:left w:val="none" w:sz="0" w:space="0" w:color="auto"/>
        <w:bottom w:val="none" w:sz="0" w:space="0" w:color="auto"/>
        <w:right w:val="none" w:sz="0" w:space="0" w:color="auto"/>
      </w:divBdr>
      <w:divsChild>
        <w:div w:id="44256202">
          <w:marLeft w:val="0"/>
          <w:marRight w:val="0"/>
          <w:marTop w:val="0"/>
          <w:marBottom w:val="0"/>
          <w:divBdr>
            <w:top w:val="none" w:sz="0" w:space="0" w:color="auto"/>
            <w:left w:val="none" w:sz="0" w:space="0" w:color="auto"/>
            <w:bottom w:val="none" w:sz="0" w:space="0" w:color="auto"/>
            <w:right w:val="none" w:sz="0" w:space="0" w:color="auto"/>
          </w:divBdr>
        </w:div>
      </w:divsChild>
    </w:div>
    <w:div w:id="661546896">
      <w:bodyDiv w:val="1"/>
      <w:marLeft w:val="225"/>
      <w:marRight w:val="225"/>
      <w:marTop w:val="0"/>
      <w:marBottom w:val="0"/>
      <w:divBdr>
        <w:top w:val="none" w:sz="0" w:space="0" w:color="auto"/>
        <w:left w:val="none" w:sz="0" w:space="0" w:color="auto"/>
        <w:bottom w:val="none" w:sz="0" w:space="0" w:color="auto"/>
        <w:right w:val="none" w:sz="0" w:space="0" w:color="auto"/>
      </w:divBdr>
      <w:divsChild>
        <w:div w:id="578945902">
          <w:marLeft w:val="0"/>
          <w:marRight w:val="0"/>
          <w:marTop w:val="0"/>
          <w:marBottom w:val="0"/>
          <w:divBdr>
            <w:top w:val="none" w:sz="0" w:space="0" w:color="auto"/>
            <w:left w:val="none" w:sz="0" w:space="0" w:color="auto"/>
            <w:bottom w:val="none" w:sz="0" w:space="0" w:color="auto"/>
            <w:right w:val="none" w:sz="0" w:space="0" w:color="auto"/>
          </w:divBdr>
        </w:div>
      </w:divsChild>
    </w:div>
    <w:div w:id="668363307">
      <w:bodyDiv w:val="1"/>
      <w:marLeft w:val="161"/>
      <w:marRight w:val="161"/>
      <w:marTop w:val="0"/>
      <w:marBottom w:val="0"/>
      <w:divBdr>
        <w:top w:val="none" w:sz="0" w:space="0" w:color="auto"/>
        <w:left w:val="none" w:sz="0" w:space="0" w:color="auto"/>
        <w:bottom w:val="none" w:sz="0" w:space="0" w:color="auto"/>
        <w:right w:val="none" w:sz="0" w:space="0" w:color="auto"/>
      </w:divBdr>
      <w:divsChild>
        <w:div w:id="2006207498">
          <w:marLeft w:val="0"/>
          <w:marRight w:val="0"/>
          <w:marTop w:val="0"/>
          <w:marBottom w:val="0"/>
          <w:divBdr>
            <w:top w:val="none" w:sz="0" w:space="0" w:color="auto"/>
            <w:left w:val="none" w:sz="0" w:space="0" w:color="auto"/>
            <w:bottom w:val="none" w:sz="0" w:space="0" w:color="auto"/>
            <w:right w:val="none" w:sz="0" w:space="0" w:color="auto"/>
          </w:divBdr>
        </w:div>
      </w:divsChild>
    </w:div>
    <w:div w:id="694187911">
      <w:bodyDiv w:val="1"/>
      <w:marLeft w:val="161"/>
      <w:marRight w:val="161"/>
      <w:marTop w:val="0"/>
      <w:marBottom w:val="0"/>
      <w:divBdr>
        <w:top w:val="none" w:sz="0" w:space="0" w:color="auto"/>
        <w:left w:val="none" w:sz="0" w:space="0" w:color="auto"/>
        <w:bottom w:val="none" w:sz="0" w:space="0" w:color="auto"/>
        <w:right w:val="none" w:sz="0" w:space="0" w:color="auto"/>
      </w:divBdr>
      <w:divsChild>
        <w:div w:id="1531143933">
          <w:marLeft w:val="0"/>
          <w:marRight w:val="0"/>
          <w:marTop w:val="0"/>
          <w:marBottom w:val="0"/>
          <w:divBdr>
            <w:top w:val="none" w:sz="0" w:space="0" w:color="auto"/>
            <w:left w:val="none" w:sz="0" w:space="0" w:color="auto"/>
            <w:bottom w:val="none" w:sz="0" w:space="0" w:color="auto"/>
            <w:right w:val="none" w:sz="0" w:space="0" w:color="auto"/>
          </w:divBdr>
        </w:div>
      </w:divsChild>
    </w:div>
    <w:div w:id="726342453">
      <w:bodyDiv w:val="1"/>
      <w:marLeft w:val="0"/>
      <w:marRight w:val="0"/>
      <w:marTop w:val="0"/>
      <w:marBottom w:val="0"/>
      <w:divBdr>
        <w:top w:val="none" w:sz="0" w:space="0" w:color="auto"/>
        <w:left w:val="none" w:sz="0" w:space="0" w:color="auto"/>
        <w:bottom w:val="none" w:sz="0" w:space="0" w:color="auto"/>
        <w:right w:val="none" w:sz="0" w:space="0" w:color="auto"/>
      </w:divBdr>
      <w:divsChild>
        <w:div w:id="1084179875">
          <w:marLeft w:val="0"/>
          <w:marRight w:val="0"/>
          <w:marTop w:val="0"/>
          <w:marBottom w:val="0"/>
          <w:divBdr>
            <w:top w:val="none" w:sz="0" w:space="0" w:color="auto"/>
            <w:left w:val="none" w:sz="0" w:space="0" w:color="auto"/>
            <w:bottom w:val="none" w:sz="0" w:space="0" w:color="auto"/>
            <w:right w:val="none" w:sz="0" w:space="0" w:color="auto"/>
          </w:divBdr>
        </w:div>
      </w:divsChild>
    </w:div>
    <w:div w:id="788545805">
      <w:bodyDiv w:val="1"/>
      <w:marLeft w:val="0"/>
      <w:marRight w:val="0"/>
      <w:marTop w:val="0"/>
      <w:marBottom w:val="0"/>
      <w:divBdr>
        <w:top w:val="none" w:sz="0" w:space="0" w:color="auto"/>
        <w:left w:val="none" w:sz="0" w:space="0" w:color="auto"/>
        <w:bottom w:val="none" w:sz="0" w:space="0" w:color="auto"/>
        <w:right w:val="none" w:sz="0" w:space="0" w:color="auto"/>
      </w:divBdr>
      <w:divsChild>
        <w:div w:id="317342145">
          <w:marLeft w:val="0"/>
          <w:marRight w:val="0"/>
          <w:marTop w:val="0"/>
          <w:marBottom w:val="0"/>
          <w:divBdr>
            <w:top w:val="none" w:sz="0" w:space="0" w:color="auto"/>
            <w:left w:val="none" w:sz="0" w:space="0" w:color="auto"/>
            <w:bottom w:val="none" w:sz="0" w:space="0" w:color="auto"/>
            <w:right w:val="none" w:sz="0" w:space="0" w:color="auto"/>
          </w:divBdr>
        </w:div>
      </w:divsChild>
    </w:div>
    <w:div w:id="790517704">
      <w:bodyDiv w:val="1"/>
      <w:marLeft w:val="161"/>
      <w:marRight w:val="161"/>
      <w:marTop w:val="0"/>
      <w:marBottom w:val="0"/>
      <w:divBdr>
        <w:top w:val="none" w:sz="0" w:space="0" w:color="auto"/>
        <w:left w:val="none" w:sz="0" w:space="0" w:color="auto"/>
        <w:bottom w:val="none" w:sz="0" w:space="0" w:color="auto"/>
        <w:right w:val="none" w:sz="0" w:space="0" w:color="auto"/>
      </w:divBdr>
      <w:divsChild>
        <w:div w:id="1233781247">
          <w:marLeft w:val="0"/>
          <w:marRight w:val="0"/>
          <w:marTop w:val="0"/>
          <w:marBottom w:val="0"/>
          <w:divBdr>
            <w:top w:val="none" w:sz="0" w:space="0" w:color="auto"/>
            <w:left w:val="none" w:sz="0" w:space="0" w:color="auto"/>
            <w:bottom w:val="none" w:sz="0" w:space="0" w:color="auto"/>
            <w:right w:val="none" w:sz="0" w:space="0" w:color="auto"/>
          </w:divBdr>
        </w:div>
      </w:divsChild>
    </w:div>
    <w:div w:id="803277522">
      <w:bodyDiv w:val="1"/>
      <w:marLeft w:val="0"/>
      <w:marRight w:val="0"/>
      <w:marTop w:val="0"/>
      <w:marBottom w:val="0"/>
      <w:divBdr>
        <w:top w:val="none" w:sz="0" w:space="0" w:color="auto"/>
        <w:left w:val="none" w:sz="0" w:space="0" w:color="auto"/>
        <w:bottom w:val="none" w:sz="0" w:space="0" w:color="auto"/>
        <w:right w:val="none" w:sz="0" w:space="0" w:color="auto"/>
      </w:divBdr>
    </w:div>
    <w:div w:id="834032342">
      <w:bodyDiv w:val="1"/>
      <w:marLeft w:val="161"/>
      <w:marRight w:val="161"/>
      <w:marTop w:val="0"/>
      <w:marBottom w:val="0"/>
      <w:divBdr>
        <w:top w:val="none" w:sz="0" w:space="0" w:color="auto"/>
        <w:left w:val="none" w:sz="0" w:space="0" w:color="auto"/>
        <w:bottom w:val="none" w:sz="0" w:space="0" w:color="auto"/>
        <w:right w:val="none" w:sz="0" w:space="0" w:color="auto"/>
      </w:divBdr>
      <w:divsChild>
        <w:div w:id="1662653953">
          <w:marLeft w:val="0"/>
          <w:marRight w:val="0"/>
          <w:marTop w:val="0"/>
          <w:marBottom w:val="0"/>
          <w:divBdr>
            <w:top w:val="none" w:sz="0" w:space="0" w:color="auto"/>
            <w:left w:val="none" w:sz="0" w:space="0" w:color="auto"/>
            <w:bottom w:val="none" w:sz="0" w:space="0" w:color="auto"/>
            <w:right w:val="none" w:sz="0" w:space="0" w:color="auto"/>
          </w:divBdr>
        </w:div>
      </w:divsChild>
    </w:div>
    <w:div w:id="849028280">
      <w:bodyDiv w:val="1"/>
      <w:marLeft w:val="0"/>
      <w:marRight w:val="0"/>
      <w:marTop w:val="0"/>
      <w:marBottom w:val="0"/>
      <w:divBdr>
        <w:top w:val="none" w:sz="0" w:space="0" w:color="auto"/>
        <w:left w:val="none" w:sz="0" w:space="0" w:color="auto"/>
        <w:bottom w:val="none" w:sz="0" w:space="0" w:color="auto"/>
        <w:right w:val="none" w:sz="0" w:space="0" w:color="auto"/>
      </w:divBdr>
    </w:div>
    <w:div w:id="859128418">
      <w:bodyDiv w:val="1"/>
      <w:marLeft w:val="225"/>
      <w:marRight w:val="225"/>
      <w:marTop w:val="0"/>
      <w:marBottom w:val="0"/>
      <w:divBdr>
        <w:top w:val="none" w:sz="0" w:space="0" w:color="auto"/>
        <w:left w:val="none" w:sz="0" w:space="0" w:color="auto"/>
        <w:bottom w:val="none" w:sz="0" w:space="0" w:color="auto"/>
        <w:right w:val="none" w:sz="0" w:space="0" w:color="auto"/>
      </w:divBdr>
      <w:divsChild>
        <w:div w:id="435448410">
          <w:marLeft w:val="0"/>
          <w:marRight w:val="0"/>
          <w:marTop w:val="0"/>
          <w:marBottom w:val="0"/>
          <w:divBdr>
            <w:top w:val="none" w:sz="0" w:space="0" w:color="auto"/>
            <w:left w:val="none" w:sz="0" w:space="0" w:color="auto"/>
            <w:bottom w:val="none" w:sz="0" w:space="0" w:color="auto"/>
            <w:right w:val="none" w:sz="0" w:space="0" w:color="auto"/>
          </w:divBdr>
        </w:div>
      </w:divsChild>
    </w:div>
    <w:div w:id="865293037">
      <w:bodyDiv w:val="1"/>
      <w:marLeft w:val="161"/>
      <w:marRight w:val="161"/>
      <w:marTop w:val="0"/>
      <w:marBottom w:val="0"/>
      <w:divBdr>
        <w:top w:val="none" w:sz="0" w:space="0" w:color="auto"/>
        <w:left w:val="none" w:sz="0" w:space="0" w:color="auto"/>
        <w:bottom w:val="none" w:sz="0" w:space="0" w:color="auto"/>
        <w:right w:val="none" w:sz="0" w:space="0" w:color="auto"/>
      </w:divBdr>
      <w:divsChild>
        <w:div w:id="927929367">
          <w:marLeft w:val="0"/>
          <w:marRight w:val="0"/>
          <w:marTop w:val="0"/>
          <w:marBottom w:val="0"/>
          <w:divBdr>
            <w:top w:val="none" w:sz="0" w:space="0" w:color="auto"/>
            <w:left w:val="none" w:sz="0" w:space="0" w:color="auto"/>
            <w:bottom w:val="none" w:sz="0" w:space="0" w:color="auto"/>
            <w:right w:val="none" w:sz="0" w:space="0" w:color="auto"/>
          </w:divBdr>
        </w:div>
      </w:divsChild>
    </w:div>
    <w:div w:id="874267380">
      <w:bodyDiv w:val="1"/>
      <w:marLeft w:val="161"/>
      <w:marRight w:val="161"/>
      <w:marTop w:val="0"/>
      <w:marBottom w:val="0"/>
      <w:divBdr>
        <w:top w:val="none" w:sz="0" w:space="0" w:color="auto"/>
        <w:left w:val="none" w:sz="0" w:space="0" w:color="auto"/>
        <w:bottom w:val="none" w:sz="0" w:space="0" w:color="auto"/>
        <w:right w:val="none" w:sz="0" w:space="0" w:color="auto"/>
      </w:divBdr>
      <w:divsChild>
        <w:div w:id="1166625318">
          <w:marLeft w:val="0"/>
          <w:marRight w:val="0"/>
          <w:marTop w:val="0"/>
          <w:marBottom w:val="0"/>
          <w:divBdr>
            <w:top w:val="none" w:sz="0" w:space="0" w:color="auto"/>
            <w:left w:val="none" w:sz="0" w:space="0" w:color="auto"/>
            <w:bottom w:val="none" w:sz="0" w:space="0" w:color="auto"/>
            <w:right w:val="none" w:sz="0" w:space="0" w:color="auto"/>
          </w:divBdr>
        </w:div>
      </w:divsChild>
    </w:div>
    <w:div w:id="910887820">
      <w:bodyDiv w:val="1"/>
      <w:marLeft w:val="161"/>
      <w:marRight w:val="161"/>
      <w:marTop w:val="0"/>
      <w:marBottom w:val="0"/>
      <w:divBdr>
        <w:top w:val="none" w:sz="0" w:space="0" w:color="auto"/>
        <w:left w:val="none" w:sz="0" w:space="0" w:color="auto"/>
        <w:bottom w:val="none" w:sz="0" w:space="0" w:color="auto"/>
        <w:right w:val="none" w:sz="0" w:space="0" w:color="auto"/>
      </w:divBdr>
      <w:divsChild>
        <w:div w:id="1485202187">
          <w:marLeft w:val="0"/>
          <w:marRight w:val="0"/>
          <w:marTop w:val="0"/>
          <w:marBottom w:val="0"/>
          <w:divBdr>
            <w:top w:val="none" w:sz="0" w:space="0" w:color="auto"/>
            <w:left w:val="none" w:sz="0" w:space="0" w:color="auto"/>
            <w:bottom w:val="none" w:sz="0" w:space="0" w:color="auto"/>
            <w:right w:val="none" w:sz="0" w:space="0" w:color="auto"/>
          </w:divBdr>
        </w:div>
      </w:divsChild>
    </w:div>
    <w:div w:id="914970213">
      <w:bodyDiv w:val="1"/>
      <w:marLeft w:val="225"/>
      <w:marRight w:val="225"/>
      <w:marTop w:val="0"/>
      <w:marBottom w:val="0"/>
      <w:divBdr>
        <w:top w:val="none" w:sz="0" w:space="0" w:color="auto"/>
        <w:left w:val="none" w:sz="0" w:space="0" w:color="auto"/>
        <w:bottom w:val="none" w:sz="0" w:space="0" w:color="auto"/>
        <w:right w:val="none" w:sz="0" w:space="0" w:color="auto"/>
      </w:divBdr>
      <w:divsChild>
        <w:div w:id="1703743701">
          <w:marLeft w:val="0"/>
          <w:marRight w:val="0"/>
          <w:marTop w:val="0"/>
          <w:marBottom w:val="0"/>
          <w:divBdr>
            <w:top w:val="none" w:sz="0" w:space="0" w:color="auto"/>
            <w:left w:val="none" w:sz="0" w:space="0" w:color="auto"/>
            <w:bottom w:val="none" w:sz="0" w:space="0" w:color="auto"/>
            <w:right w:val="none" w:sz="0" w:space="0" w:color="auto"/>
          </w:divBdr>
        </w:div>
      </w:divsChild>
    </w:div>
    <w:div w:id="921178255">
      <w:bodyDiv w:val="1"/>
      <w:marLeft w:val="0"/>
      <w:marRight w:val="0"/>
      <w:marTop w:val="0"/>
      <w:marBottom w:val="0"/>
      <w:divBdr>
        <w:top w:val="none" w:sz="0" w:space="0" w:color="auto"/>
        <w:left w:val="none" w:sz="0" w:space="0" w:color="auto"/>
        <w:bottom w:val="none" w:sz="0" w:space="0" w:color="auto"/>
        <w:right w:val="none" w:sz="0" w:space="0" w:color="auto"/>
      </w:divBdr>
      <w:divsChild>
        <w:div w:id="365182805">
          <w:marLeft w:val="0"/>
          <w:marRight w:val="0"/>
          <w:marTop w:val="0"/>
          <w:marBottom w:val="0"/>
          <w:divBdr>
            <w:top w:val="none" w:sz="0" w:space="0" w:color="auto"/>
            <w:left w:val="none" w:sz="0" w:space="0" w:color="auto"/>
            <w:bottom w:val="none" w:sz="0" w:space="0" w:color="auto"/>
            <w:right w:val="none" w:sz="0" w:space="0" w:color="auto"/>
          </w:divBdr>
        </w:div>
      </w:divsChild>
    </w:div>
    <w:div w:id="928852748">
      <w:bodyDiv w:val="1"/>
      <w:marLeft w:val="225"/>
      <w:marRight w:val="225"/>
      <w:marTop w:val="0"/>
      <w:marBottom w:val="0"/>
      <w:divBdr>
        <w:top w:val="none" w:sz="0" w:space="0" w:color="auto"/>
        <w:left w:val="none" w:sz="0" w:space="0" w:color="auto"/>
        <w:bottom w:val="none" w:sz="0" w:space="0" w:color="auto"/>
        <w:right w:val="none" w:sz="0" w:space="0" w:color="auto"/>
      </w:divBdr>
      <w:divsChild>
        <w:div w:id="2051223610">
          <w:marLeft w:val="0"/>
          <w:marRight w:val="0"/>
          <w:marTop w:val="0"/>
          <w:marBottom w:val="0"/>
          <w:divBdr>
            <w:top w:val="none" w:sz="0" w:space="0" w:color="auto"/>
            <w:left w:val="none" w:sz="0" w:space="0" w:color="auto"/>
            <w:bottom w:val="none" w:sz="0" w:space="0" w:color="auto"/>
            <w:right w:val="none" w:sz="0" w:space="0" w:color="auto"/>
          </w:divBdr>
        </w:div>
      </w:divsChild>
    </w:div>
    <w:div w:id="930358852">
      <w:bodyDiv w:val="1"/>
      <w:marLeft w:val="225"/>
      <w:marRight w:val="225"/>
      <w:marTop w:val="0"/>
      <w:marBottom w:val="0"/>
      <w:divBdr>
        <w:top w:val="none" w:sz="0" w:space="0" w:color="auto"/>
        <w:left w:val="none" w:sz="0" w:space="0" w:color="auto"/>
        <w:bottom w:val="none" w:sz="0" w:space="0" w:color="auto"/>
        <w:right w:val="none" w:sz="0" w:space="0" w:color="auto"/>
      </w:divBdr>
      <w:divsChild>
        <w:div w:id="2032340561">
          <w:marLeft w:val="0"/>
          <w:marRight w:val="0"/>
          <w:marTop w:val="0"/>
          <w:marBottom w:val="0"/>
          <w:divBdr>
            <w:top w:val="none" w:sz="0" w:space="0" w:color="auto"/>
            <w:left w:val="none" w:sz="0" w:space="0" w:color="auto"/>
            <w:bottom w:val="none" w:sz="0" w:space="0" w:color="auto"/>
            <w:right w:val="none" w:sz="0" w:space="0" w:color="auto"/>
          </w:divBdr>
        </w:div>
      </w:divsChild>
    </w:div>
    <w:div w:id="934484555">
      <w:bodyDiv w:val="1"/>
      <w:marLeft w:val="0"/>
      <w:marRight w:val="0"/>
      <w:marTop w:val="0"/>
      <w:marBottom w:val="0"/>
      <w:divBdr>
        <w:top w:val="none" w:sz="0" w:space="0" w:color="auto"/>
        <w:left w:val="none" w:sz="0" w:space="0" w:color="auto"/>
        <w:bottom w:val="none" w:sz="0" w:space="0" w:color="auto"/>
        <w:right w:val="none" w:sz="0" w:space="0" w:color="auto"/>
      </w:divBdr>
      <w:divsChild>
        <w:div w:id="1526287220">
          <w:marLeft w:val="0"/>
          <w:marRight w:val="0"/>
          <w:marTop w:val="0"/>
          <w:marBottom w:val="0"/>
          <w:divBdr>
            <w:top w:val="none" w:sz="0" w:space="0" w:color="auto"/>
            <w:left w:val="none" w:sz="0" w:space="0" w:color="auto"/>
            <w:bottom w:val="none" w:sz="0" w:space="0" w:color="auto"/>
            <w:right w:val="none" w:sz="0" w:space="0" w:color="auto"/>
          </w:divBdr>
        </w:div>
      </w:divsChild>
    </w:div>
    <w:div w:id="941687955">
      <w:bodyDiv w:val="1"/>
      <w:marLeft w:val="225"/>
      <w:marRight w:val="225"/>
      <w:marTop w:val="0"/>
      <w:marBottom w:val="0"/>
      <w:divBdr>
        <w:top w:val="none" w:sz="0" w:space="0" w:color="auto"/>
        <w:left w:val="none" w:sz="0" w:space="0" w:color="auto"/>
        <w:bottom w:val="none" w:sz="0" w:space="0" w:color="auto"/>
        <w:right w:val="none" w:sz="0" w:space="0" w:color="auto"/>
      </w:divBdr>
      <w:divsChild>
        <w:div w:id="742334291">
          <w:marLeft w:val="0"/>
          <w:marRight w:val="0"/>
          <w:marTop w:val="0"/>
          <w:marBottom w:val="0"/>
          <w:divBdr>
            <w:top w:val="none" w:sz="0" w:space="0" w:color="auto"/>
            <w:left w:val="none" w:sz="0" w:space="0" w:color="auto"/>
            <w:bottom w:val="none" w:sz="0" w:space="0" w:color="auto"/>
            <w:right w:val="none" w:sz="0" w:space="0" w:color="auto"/>
          </w:divBdr>
        </w:div>
      </w:divsChild>
    </w:div>
    <w:div w:id="957686774">
      <w:bodyDiv w:val="1"/>
      <w:marLeft w:val="225"/>
      <w:marRight w:val="225"/>
      <w:marTop w:val="0"/>
      <w:marBottom w:val="0"/>
      <w:divBdr>
        <w:top w:val="none" w:sz="0" w:space="0" w:color="auto"/>
        <w:left w:val="none" w:sz="0" w:space="0" w:color="auto"/>
        <w:bottom w:val="none" w:sz="0" w:space="0" w:color="auto"/>
        <w:right w:val="none" w:sz="0" w:space="0" w:color="auto"/>
      </w:divBdr>
      <w:divsChild>
        <w:div w:id="1207330237">
          <w:marLeft w:val="0"/>
          <w:marRight w:val="0"/>
          <w:marTop w:val="0"/>
          <w:marBottom w:val="0"/>
          <w:divBdr>
            <w:top w:val="none" w:sz="0" w:space="0" w:color="auto"/>
            <w:left w:val="none" w:sz="0" w:space="0" w:color="auto"/>
            <w:bottom w:val="none" w:sz="0" w:space="0" w:color="auto"/>
            <w:right w:val="none" w:sz="0" w:space="0" w:color="auto"/>
          </w:divBdr>
        </w:div>
      </w:divsChild>
    </w:div>
    <w:div w:id="960116017">
      <w:bodyDiv w:val="1"/>
      <w:marLeft w:val="0"/>
      <w:marRight w:val="0"/>
      <w:marTop w:val="0"/>
      <w:marBottom w:val="0"/>
      <w:divBdr>
        <w:top w:val="none" w:sz="0" w:space="0" w:color="auto"/>
        <w:left w:val="none" w:sz="0" w:space="0" w:color="auto"/>
        <w:bottom w:val="none" w:sz="0" w:space="0" w:color="auto"/>
        <w:right w:val="none" w:sz="0" w:space="0" w:color="auto"/>
      </w:divBdr>
      <w:divsChild>
        <w:div w:id="788822156">
          <w:marLeft w:val="0"/>
          <w:marRight w:val="0"/>
          <w:marTop w:val="0"/>
          <w:marBottom w:val="0"/>
          <w:divBdr>
            <w:top w:val="none" w:sz="0" w:space="0" w:color="auto"/>
            <w:left w:val="none" w:sz="0" w:space="0" w:color="auto"/>
            <w:bottom w:val="none" w:sz="0" w:space="0" w:color="auto"/>
            <w:right w:val="none" w:sz="0" w:space="0" w:color="auto"/>
          </w:divBdr>
        </w:div>
      </w:divsChild>
    </w:div>
    <w:div w:id="961617722">
      <w:bodyDiv w:val="1"/>
      <w:marLeft w:val="225"/>
      <w:marRight w:val="225"/>
      <w:marTop w:val="0"/>
      <w:marBottom w:val="0"/>
      <w:divBdr>
        <w:top w:val="none" w:sz="0" w:space="0" w:color="auto"/>
        <w:left w:val="none" w:sz="0" w:space="0" w:color="auto"/>
        <w:bottom w:val="none" w:sz="0" w:space="0" w:color="auto"/>
        <w:right w:val="none" w:sz="0" w:space="0" w:color="auto"/>
      </w:divBdr>
      <w:divsChild>
        <w:div w:id="1072115850">
          <w:marLeft w:val="0"/>
          <w:marRight w:val="0"/>
          <w:marTop w:val="0"/>
          <w:marBottom w:val="0"/>
          <w:divBdr>
            <w:top w:val="none" w:sz="0" w:space="0" w:color="auto"/>
            <w:left w:val="none" w:sz="0" w:space="0" w:color="auto"/>
            <w:bottom w:val="none" w:sz="0" w:space="0" w:color="auto"/>
            <w:right w:val="none" w:sz="0" w:space="0" w:color="auto"/>
          </w:divBdr>
        </w:div>
      </w:divsChild>
    </w:div>
    <w:div w:id="1005010407">
      <w:bodyDiv w:val="1"/>
      <w:marLeft w:val="225"/>
      <w:marRight w:val="225"/>
      <w:marTop w:val="0"/>
      <w:marBottom w:val="0"/>
      <w:divBdr>
        <w:top w:val="none" w:sz="0" w:space="0" w:color="auto"/>
        <w:left w:val="none" w:sz="0" w:space="0" w:color="auto"/>
        <w:bottom w:val="none" w:sz="0" w:space="0" w:color="auto"/>
        <w:right w:val="none" w:sz="0" w:space="0" w:color="auto"/>
      </w:divBdr>
      <w:divsChild>
        <w:div w:id="231356645">
          <w:marLeft w:val="0"/>
          <w:marRight w:val="0"/>
          <w:marTop w:val="0"/>
          <w:marBottom w:val="0"/>
          <w:divBdr>
            <w:top w:val="none" w:sz="0" w:space="0" w:color="auto"/>
            <w:left w:val="none" w:sz="0" w:space="0" w:color="auto"/>
            <w:bottom w:val="none" w:sz="0" w:space="0" w:color="auto"/>
            <w:right w:val="none" w:sz="0" w:space="0" w:color="auto"/>
          </w:divBdr>
        </w:div>
      </w:divsChild>
    </w:div>
    <w:div w:id="1007713689">
      <w:bodyDiv w:val="1"/>
      <w:marLeft w:val="225"/>
      <w:marRight w:val="225"/>
      <w:marTop w:val="0"/>
      <w:marBottom w:val="0"/>
      <w:divBdr>
        <w:top w:val="none" w:sz="0" w:space="0" w:color="auto"/>
        <w:left w:val="none" w:sz="0" w:space="0" w:color="auto"/>
        <w:bottom w:val="none" w:sz="0" w:space="0" w:color="auto"/>
        <w:right w:val="none" w:sz="0" w:space="0" w:color="auto"/>
      </w:divBdr>
      <w:divsChild>
        <w:div w:id="1041713178">
          <w:marLeft w:val="0"/>
          <w:marRight w:val="0"/>
          <w:marTop w:val="0"/>
          <w:marBottom w:val="0"/>
          <w:divBdr>
            <w:top w:val="none" w:sz="0" w:space="0" w:color="auto"/>
            <w:left w:val="none" w:sz="0" w:space="0" w:color="auto"/>
            <w:bottom w:val="none" w:sz="0" w:space="0" w:color="auto"/>
            <w:right w:val="none" w:sz="0" w:space="0" w:color="auto"/>
          </w:divBdr>
        </w:div>
      </w:divsChild>
    </w:div>
    <w:div w:id="1016419167">
      <w:bodyDiv w:val="1"/>
      <w:marLeft w:val="138"/>
      <w:marRight w:val="138"/>
      <w:marTop w:val="0"/>
      <w:marBottom w:val="0"/>
      <w:divBdr>
        <w:top w:val="none" w:sz="0" w:space="0" w:color="auto"/>
        <w:left w:val="none" w:sz="0" w:space="0" w:color="auto"/>
        <w:bottom w:val="none" w:sz="0" w:space="0" w:color="auto"/>
        <w:right w:val="none" w:sz="0" w:space="0" w:color="auto"/>
      </w:divBdr>
      <w:divsChild>
        <w:div w:id="1626350326">
          <w:marLeft w:val="0"/>
          <w:marRight w:val="0"/>
          <w:marTop w:val="0"/>
          <w:marBottom w:val="0"/>
          <w:divBdr>
            <w:top w:val="none" w:sz="0" w:space="0" w:color="auto"/>
            <w:left w:val="none" w:sz="0" w:space="0" w:color="auto"/>
            <w:bottom w:val="none" w:sz="0" w:space="0" w:color="auto"/>
            <w:right w:val="none" w:sz="0" w:space="0" w:color="auto"/>
          </w:divBdr>
        </w:div>
      </w:divsChild>
    </w:div>
    <w:div w:id="1029063230">
      <w:bodyDiv w:val="1"/>
      <w:marLeft w:val="225"/>
      <w:marRight w:val="225"/>
      <w:marTop w:val="0"/>
      <w:marBottom w:val="0"/>
      <w:divBdr>
        <w:top w:val="none" w:sz="0" w:space="0" w:color="auto"/>
        <w:left w:val="none" w:sz="0" w:space="0" w:color="auto"/>
        <w:bottom w:val="none" w:sz="0" w:space="0" w:color="auto"/>
        <w:right w:val="none" w:sz="0" w:space="0" w:color="auto"/>
      </w:divBdr>
      <w:divsChild>
        <w:div w:id="333150945">
          <w:marLeft w:val="0"/>
          <w:marRight w:val="0"/>
          <w:marTop w:val="0"/>
          <w:marBottom w:val="0"/>
          <w:divBdr>
            <w:top w:val="none" w:sz="0" w:space="0" w:color="auto"/>
            <w:left w:val="none" w:sz="0" w:space="0" w:color="auto"/>
            <w:bottom w:val="none" w:sz="0" w:space="0" w:color="auto"/>
            <w:right w:val="none" w:sz="0" w:space="0" w:color="auto"/>
          </w:divBdr>
        </w:div>
      </w:divsChild>
    </w:div>
    <w:div w:id="1035468856">
      <w:bodyDiv w:val="1"/>
      <w:marLeft w:val="225"/>
      <w:marRight w:val="225"/>
      <w:marTop w:val="0"/>
      <w:marBottom w:val="0"/>
      <w:divBdr>
        <w:top w:val="none" w:sz="0" w:space="0" w:color="auto"/>
        <w:left w:val="none" w:sz="0" w:space="0" w:color="auto"/>
        <w:bottom w:val="none" w:sz="0" w:space="0" w:color="auto"/>
        <w:right w:val="none" w:sz="0" w:space="0" w:color="auto"/>
      </w:divBdr>
      <w:divsChild>
        <w:div w:id="881669335">
          <w:marLeft w:val="0"/>
          <w:marRight w:val="0"/>
          <w:marTop w:val="0"/>
          <w:marBottom w:val="0"/>
          <w:divBdr>
            <w:top w:val="none" w:sz="0" w:space="0" w:color="auto"/>
            <w:left w:val="none" w:sz="0" w:space="0" w:color="auto"/>
            <w:bottom w:val="none" w:sz="0" w:space="0" w:color="auto"/>
            <w:right w:val="none" w:sz="0" w:space="0" w:color="auto"/>
          </w:divBdr>
        </w:div>
      </w:divsChild>
    </w:div>
    <w:div w:id="1066799066">
      <w:bodyDiv w:val="1"/>
      <w:marLeft w:val="225"/>
      <w:marRight w:val="225"/>
      <w:marTop w:val="0"/>
      <w:marBottom w:val="0"/>
      <w:divBdr>
        <w:top w:val="none" w:sz="0" w:space="0" w:color="auto"/>
        <w:left w:val="none" w:sz="0" w:space="0" w:color="auto"/>
        <w:bottom w:val="none" w:sz="0" w:space="0" w:color="auto"/>
        <w:right w:val="none" w:sz="0" w:space="0" w:color="auto"/>
      </w:divBdr>
      <w:divsChild>
        <w:div w:id="809127933">
          <w:marLeft w:val="0"/>
          <w:marRight w:val="0"/>
          <w:marTop w:val="0"/>
          <w:marBottom w:val="0"/>
          <w:divBdr>
            <w:top w:val="none" w:sz="0" w:space="0" w:color="auto"/>
            <w:left w:val="none" w:sz="0" w:space="0" w:color="auto"/>
            <w:bottom w:val="none" w:sz="0" w:space="0" w:color="auto"/>
            <w:right w:val="none" w:sz="0" w:space="0" w:color="auto"/>
          </w:divBdr>
        </w:div>
      </w:divsChild>
    </w:div>
    <w:div w:id="1091660351">
      <w:bodyDiv w:val="1"/>
      <w:marLeft w:val="161"/>
      <w:marRight w:val="161"/>
      <w:marTop w:val="0"/>
      <w:marBottom w:val="0"/>
      <w:divBdr>
        <w:top w:val="none" w:sz="0" w:space="0" w:color="auto"/>
        <w:left w:val="none" w:sz="0" w:space="0" w:color="auto"/>
        <w:bottom w:val="none" w:sz="0" w:space="0" w:color="auto"/>
        <w:right w:val="none" w:sz="0" w:space="0" w:color="auto"/>
      </w:divBdr>
      <w:divsChild>
        <w:div w:id="900362957">
          <w:marLeft w:val="0"/>
          <w:marRight w:val="0"/>
          <w:marTop w:val="0"/>
          <w:marBottom w:val="0"/>
          <w:divBdr>
            <w:top w:val="none" w:sz="0" w:space="0" w:color="auto"/>
            <w:left w:val="none" w:sz="0" w:space="0" w:color="auto"/>
            <w:bottom w:val="none" w:sz="0" w:space="0" w:color="auto"/>
            <w:right w:val="none" w:sz="0" w:space="0" w:color="auto"/>
          </w:divBdr>
        </w:div>
      </w:divsChild>
    </w:div>
    <w:div w:id="1098329759">
      <w:bodyDiv w:val="1"/>
      <w:marLeft w:val="225"/>
      <w:marRight w:val="225"/>
      <w:marTop w:val="0"/>
      <w:marBottom w:val="0"/>
      <w:divBdr>
        <w:top w:val="none" w:sz="0" w:space="0" w:color="auto"/>
        <w:left w:val="none" w:sz="0" w:space="0" w:color="auto"/>
        <w:bottom w:val="none" w:sz="0" w:space="0" w:color="auto"/>
        <w:right w:val="none" w:sz="0" w:space="0" w:color="auto"/>
      </w:divBdr>
      <w:divsChild>
        <w:div w:id="1296177015">
          <w:marLeft w:val="0"/>
          <w:marRight w:val="0"/>
          <w:marTop w:val="0"/>
          <w:marBottom w:val="0"/>
          <w:divBdr>
            <w:top w:val="none" w:sz="0" w:space="0" w:color="auto"/>
            <w:left w:val="none" w:sz="0" w:space="0" w:color="auto"/>
            <w:bottom w:val="none" w:sz="0" w:space="0" w:color="auto"/>
            <w:right w:val="none" w:sz="0" w:space="0" w:color="auto"/>
          </w:divBdr>
        </w:div>
      </w:divsChild>
    </w:div>
    <w:div w:id="1103264102">
      <w:bodyDiv w:val="1"/>
      <w:marLeft w:val="161"/>
      <w:marRight w:val="161"/>
      <w:marTop w:val="0"/>
      <w:marBottom w:val="0"/>
      <w:divBdr>
        <w:top w:val="none" w:sz="0" w:space="0" w:color="auto"/>
        <w:left w:val="none" w:sz="0" w:space="0" w:color="auto"/>
        <w:bottom w:val="none" w:sz="0" w:space="0" w:color="auto"/>
        <w:right w:val="none" w:sz="0" w:space="0" w:color="auto"/>
      </w:divBdr>
      <w:divsChild>
        <w:div w:id="361368612">
          <w:marLeft w:val="0"/>
          <w:marRight w:val="0"/>
          <w:marTop w:val="0"/>
          <w:marBottom w:val="0"/>
          <w:divBdr>
            <w:top w:val="none" w:sz="0" w:space="0" w:color="auto"/>
            <w:left w:val="none" w:sz="0" w:space="0" w:color="auto"/>
            <w:bottom w:val="none" w:sz="0" w:space="0" w:color="auto"/>
            <w:right w:val="none" w:sz="0" w:space="0" w:color="auto"/>
          </w:divBdr>
        </w:div>
      </w:divsChild>
    </w:div>
    <w:div w:id="1115252739">
      <w:bodyDiv w:val="1"/>
      <w:marLeft w:val="161"/>
      <w:marRight w:val="161"/>
      <w:marTop w:val="0"/>
      <w:marBottom w:val="0"/>
      <w:divBdr>
        <w:top w:val="none" w:sz="0" w:space="0" w:color="auto"/>
        <w:left w:val="none" w:sz="0" w:space="0" w:color="auto"/>
        <w:bottom w:val="none" w:sz="0" w:space="0" w:color="auto"/>
        <w:right w:val="none" w:sz="0" w:space="0" w:color="auto"/>
      </w:divBdr>
      <w:divsChild>
        <w:div w:id="218712324">
          <w:marLeft w:val="0"/>
          <w:marRight w:val="0"/>
          <w:marTop w:val="0"/>
          <w:marBottom w:val="0"/>
          <w:divBdr>
            <w:top w:val="none" w:sz="0" w:space="0" w:color="auto"/>
            <w:left w:val="none" w:sz="0" w:space="0" w:color="auto"/>
            <w:bottom w:val="none" w:sz="0" w:space="0" w:color="auto"/>
            <w:right w:val="none" w:sz="0" w:space="0" w:color="auto"/>
          </w:divBdr>
        </w:div>
      </w:divsChild>
    </w:div>
    <w:div w:id="1118648667">
      <w:bodyDiv w:val="1"/>
      <w:marLeft w:val="161"/>
      <w:marRight w:val="161"/>
      <w:marTop w:val="0"/>
      <w:marBottom w:val="0"/>
      <w:divBdr>
        <w:top w:val="none" w:sz="0" w:space="0" w:color="auto"/>
        <w:left w:val="none" w:sz="0" w:space="0" w:color="auto"/>
        <w:bottom w:val="none" w:sz="0" w:space="0" w:color="auto"/>
        <w:right w:val="none" w:sz="0" w:space="0" w:color="auto"/>
      </w:divBdr>
      <w:divsChild>
        <w:div w:id="1561473806">
          <w:marLeft w:val="0"/>
          <w:marRight w:val="0"/>
          <w:marTop w:val="0"/>
          <w:marBottom w:val="0"/>
          <w:divBdr>
            <w:top w:val="none" w:sz="0" w:space="0" w:color="auto"/>
            <w:left w:val="none" w:sz="0" w:space="0" w:color="auto"/>
            <w:bottom w:val="none" w:sz="0" w:space="0" w:color="auto"/>
            <w:right w:val="none" w:sz="0" w:space="0" w:color="auto"/>
          </w:divBdr>
        </w:div>
      </w:divsChild>
    </w:div>
    <w:div w:id="1119450846">
      <w:bodyDiv w:val="1"/>
      <w:marLeft w:val="225"/>
      <w:marRight w:val="225"/>
      <w:marTop w:val="0"/>
      <w:marBottom w:val="0"/>
      <w:divBdr>
        <w:top w:val="none" w:sz="0" w:space="0" w:color="auto"/>
        <w:left w:val="none" w:sz="0" w:space="0" w:color="auto"/>
        <w:bottom w:val="none" w:sz="0" w:space="0" w:color="auto"/>
        <w:right w:val="none" w:sz="0" w:space="0" w:color="auto"/>
      </w:divBdr>
      <w:divsChild>
        <w:div w:id="1918512176">
          <w:marLeft w:val="0"/>
          <w:marRight w:val="0"/>
          <w:marTop w:val="0"/>
          <w:marBottom w:val="0"/>
          <w:divBdr>
            <w:top w:val="none" w:sz="0" w:space="0" w:color="auto"/>
            <w:left w:val="none" w:sz="0" w:space="0" w:color="auto"/>
            <w:bottom w:val="none" w:sz="0" w:space="0" w:color="auto"/>
            <w:right w:val="none" w:sz="0" w:space="0" w:color="auto"/>
          </w:divBdr>
        </w:div>
      </w:divsChild>
    </w:div>
    <w:div w:id="1133793706">
      <w:bodyDiv w:val="1"/>
      <w:marLeft w:val="225"/>
      <w:marRight w:val="225"/>
      <w:marTop w:val="0"/>
      <w:marBottom w:val="0"/>
      <w:divBdr>
        <w:top w:val="none" w:sz="0" w:space="0" w:color="auto"/>
        <w:left w:val="none" w:sz="0" w:space="0" w:color="auto"/>
        <w:bottom w:val="none" w:sz="0" w:space="0" w:color="auto"/>
        <w:right w:val="none" w:sz="0" w:space="0" w:color="auto"/>
      </w:divBdr>
      <w:divsChild>
        <w:div w:id="1977445602">
          <w:marLeft w:val="0"/>
          <w:marRight w:val="0"/>
          <w:marTop w:val="0"/>
          <w:marBottom w:val="0"/>
          <w:divBdr>
            <w:top w:val="none" w:sz="0" w:space="0" w:color="auto"/>
            <w:left w:val="none" w:sz="0" w:space="0" w:color="auto"/>
            <w:bottom w:val="none" w:sz="0" w:space="0" w:color="auto"/>
            <w:right w:val="none" w:sz="0" w:space="0" w:color="auto"/>
          </w:divBdr>
        </w:div>
      </w:divsChild>
    </w:div>
    <w:div w:id="1147668366">
      <w:bodyDiv w:val="1"/>
      <w:marLeft w:val="161"/>
      <w:marRight w:val="161"/>
      <w:marTop w:val="0"/>
      <w:marBottom w:val="0"/>
      <w:divBdr>
        <w:top w:val="none" w:sz="0" w:space="0" w:color="auto"/>
        <w:left w:val="none" w:sz="0" w:space="0" w:color="auto"/>
        <w:bottom w:val="none" w:sz="0" w:space="0" w:color="auto"/>
        <w:right w:val="none" w:sz="0" w:space="0" w:color="auto"/>
      </w:divBdr>
      <w:divsChild>
        <w:div w:id="1433551488">
          <w:marLeft w:val="0"/>
          <w:marRight w:val="0"/>
          <w:marTop w:val="0"/>
          <w:marBottom w:val="0"/>
          <w:divBdr>
            <w:top w:val="none" w:sz="0" w:space="0" w:color="auto"/>
            <w:left w:val="none" w:sz="0" w:space="0" w:color="auto"/>
            <w:bottom w:val="none" w:sz="0" w:space="0" w:color="auto"/>
            <w:right w:val="none" w:sz="0" w:space="0" w:color="auto"/>
          </w:divBdr>
        </w:div>
      </w:divsChild>
    </w:div>
    <w:div w:id="1159540507">
      <w:bodyDiv w:val="1"/>
      <w:marLeft w:val="161"/>
      <w:marRight w:val="161"/>
      <w:marTop w:val="0"/>
      <w:marBottom w:val="0"/>
      <w:divBdr>
        <w:top w:val="none" w:sz="0" w:space="0" w:color="auto"/>
        <w:left w:val="none" w:sz="0" w:space="0" w:color="auto"/>
        <w:bottom w:val="none" w:sz="0" w:space="0" w:color="auto"/>
        <w:right w:val="none" w:sz="0" w:space="0" w:color="auto"/>
      </w:divBdr>
      <w:divsChild>
        <w:div w:id="2001501685">
          <w:marLeft w:val="0"/>
          <w:marRight w:val="0"/>
          <w:marTop w:val="0"/>
          <w:marBottom w:val="0"/>
          <w:divBdr>
            <w:top w:val="none" w:sz="0" w:space="0" w:color="auto"/>
            <w:left w:val="none" w:sz="0" w:space="0" w:color="auto"/>
            <w:bottom w:val="none" w:sz="0" w:space="0" w:color="auto"/>
            <w:right w:val="none" w:sz="0" w:space="0" w:color="auto"/>
          </w:divBdr>
        </w:div>
      </w:divsChild>
    </w:div>
    <w:div w:id="1196701200">
      <w:bodyDiv w:val="1"/>
      <w:marLeft w:val="161"/>
      <w:marRight w:val="161"/>
      <w:marTop w:val="0"/>
      <w:marBottom w:val="0"/>
      <w:divBdr>
        <w:top w:val="none" w:sz="0" w:space="0" w:color="auto"/>
        <w:left w:val="none" w:sz="0" w:space="0" w:color="auto"/>
        <w:bottom w:val="none" w:sz="0" w:space="0" w:color="auto"/>
        <w:right w:val="none" w:sz="0" w:space="0" w:color="auto"/>
      </w:divBdr>
      <w:divsChild>
        <w:div w:id="577979118">
          <w:marLeft w:val="0"/>
          <w:marRight w:val="0"/>
          <w:marTop w:val="0"/>
          <w:marBottom w:val="0"/>
          <w:divBdr>
            <w:top w:val="none" w:sz="0" w:space="0" w:color="auto"/>
            <w:left w:val="none" w:sz="0" w:space="0" w:color="auto"/>
            <w:bottom w:val="none" w:sz="0" w:space="0" w:color="auto"/>
            <w:right w:val="none" w:sz="0" w:space="0" w:color="auto"/>
          </w:divBdr>
        </w:div>
      </w:divsChild>
    </w:div>
    <w:div w:id="1202014068">
      <w:bodyDiv w:val="1"/>
      <w:marLeft w:val="161"/>
      <w:marRight w:val="161"/>
      <w:marTop w:val="0"/>
      <w:marBottom w:val="0"/>
      <w:divBdr>
        <w:top w:val="none" w:sz="0" w:space="0" w:color="auto"/>
        <w:left w:val="none" w:sz="0" w:space="0" w:color="auto"/>
        <w:bottom w:val="none" w:sz="0" w:space="0" w:color="auto"/>
        <w:right w:val="none" w:sz="0" w:space="0" w:color="auto"/>
      </w:divBdr>
      <w:divsChild>
        <w:div w:id="587539564">
          <w:marLeft w:val="0"/>
          <w:marRight w:val="0"/>
          <w:marTop w:val="0"/>
          <w:marBottom w:val="0"/>
          <w:divBdr>
            <w:top w:val="none" w:sz="0" w:space="0" w:color="auto"/>
            <w:left w:val="none" w:sz="0" w:space="0" w:color="auto"/>
            <w:bottom w:val="none" w:sz="0" w:space="0" w:color="auto"/>
            <w:right w:val="none" w:sz="0" w:space="0" w:color="auto"/>
          </w:divBdr>
        </w:div>
      </w:divsChild>
    </w:div>
    <w:div w:id="1204321252">
      <w:bodyDiv w:val="1"/>
      <w:marLeft w:val="161"/>
      <w:marRight w:val="161"/>
      <w:marTop w:val="0"/>
      <w:marBottom w:val="0"/>
      <w:divBdr>
        <w:top w:val="none" w:sz="0" w:space="0" w:color="auto"/>
        <w:left w:val="none" w:sz="0" w:space="0" w:color="auto"/>
        <w:bottom w:val="none" w:sz="0" w:space="0" w:color="auto"/>
        <w:right w:val="none" w:sz="0" w:space="0" w:color="auto"/>
      </w:divBdr>
      <w:divsChild>
        <w:div w:id="928151699">
          <w:marLeft w:val="0"/>
          <w:marRight w:val="0"/>
          <w:marTop w:val="0"/>
          <w:marBottom w:val="0"/>
          <w:divBdr>
            <w:top w:val="none" w:sz="0" w:space="0" w:color="auto"/>
            <w:left w:val="none" w:sz="0" w:space="0" w:color="auto"/>
            <w:bottom w:val="none" w:sz="0" w:space="0" w:color="auto"/>
            <w:right w:val="none" w:sz="0" w:space="0" w:color="auto"/>
          </w:divBdr>
        </w:div>
      </w:divsChild>
    </w:div>
    <w:div w:id="1240365766">
      <w:bodyDiv w:val="1"/>
      <w:marLeft w:val="161"/>
      <w:marRight w:val="161"/>
      <w:marTop w:val="0"/>
      <w:marBottom w:val="0"/>
      <w:divBdr>
        <w:top w:val="none" w:sz="0" w:space="0" w:color="auto"/>
        <w:left w:val="none" w:sz="0" w:space="0" w:color="auto"/>
        <w:bottom w:val="none" w:sz="0" w:space="0" w:color="auto"/>
        <w:right w:val="none" w:sz="0" w:space="0" w:color="auto"/>
      </w:divBdr>
      <w:divsChild>
        <w:div w:id="65343107">
          <w:marLeft w:val="0"/>
          <w:marRight w:val="0"/>
          <w:marTop w:val="0"/>
          <w:marBottom w:val="0"/>
          <w:divBdr>
            <w:top w:val="none" w:sz="0" w:space="0" w:color="auto"/>
            <w:left w:val="none" w:sz="0" w:space="0" w:color="auto"/>
            <w:bottom w:val="none" w:sz="0" w:space="0" w:color="auto"/>
            <w:right w:val="none" w:sz="0" w:space="0" w:color="auto"/>
          </w:divBdr>
        </w:div>
      </w:divsChild>
    </w:div>
    <w:div w:id="1242370456">
      <w:bodyDiv w:val="1"/>
      <w:marLeft w:val="138"/>
      <w:marRight w:val="138"/>
      <w:marTop w:val="0"/>
      <w:marBottom w:val="0"/>
      <w:divBdr>
        <w:top w:val="none" w:sz="0" w:space="0" w:color="auto"/>
        <w:left w:val="none" w:sz="0" w:space="0" w:color="auto"/>
        <w:bottom w:val="none" w:sz="0" w:space="0" w:color="auto"/>
        <w:right w:val="none" w:sz="0" w:space="0" w:color="auto"/>
      </w:divBdr>
      <w:divsChild>
        <w:div w:id="1898776919">
          <w:marLeft w:val="0"/>
          <w:marRight w:val="0"/>
          <w:marTop w:val="0"/>
          <w:marBottom w:val="0"/>
          <w:divBdr>
            <w:top w:val="none" w:sz="0" w:space="0" w:color="auto"/>
            <w:left w:val="none" w:sz="0" w:space="0" w:color="auto"/>
            <w:bottom w:val="none" w:sz="0" w:space="0" w:color="auto"/>
            <w:right w:val="none" w:sz="0" w:space="0" w:color="auto"/>
          </w:divBdr>
        </w:div>
      </w:divsChild>
    </w:div>
    <w:div w:id="1251769101">
      <w:bodyDiv w:val="1"/>
      <w:marLeft w:val="138"/>
      <w:marRight w:val="138"/>
      <w:marTop w:val="0"/>
      <w:marBottom w:val="0"/>
      <w:divBdr>
        <w:top w:val="none" w:sz="0" w:space="0" w:color="auto"/>
        <w:left w:val="none" w:sz="0" w:space="0" w:color="auto"/>
        <w:bottom w:val="none" w:sz="0" w:space="0" w:color="auto"/>
        <w:right w:val="none" w:sz="0" w:space="0" w:color="auto"/>
      </w:divBdr>
      <w:divsChild>
        <w:div w:id="674577951">
          <w:marLeft w:val="0"/>
          <w:marRight w:val="0"/>
          <w:marTop w:val="0"/>
          <w:marBottom w:val="0"/>
          <w:divBdr>
            <w:top w:val="none" w:sz="0" w:space="0" w:color="auto"/>
            <w:left w:val="none" w:sz="0" w:space="0" w:color="auto"/>
            <w:bottom w:val="none" w:sz="0" w:space="0" w:color="auto"/>
            <w:right w:val="none" w:sz="0" w:space="0" w:color="auto"/>
          </w:divBdr>
        </w:div>
      </w:divsChild>
    </w:div>
    <w:div w:id="1288004109">
      <w:bodyDiv w:val="1"/>
      <w:marLeft w:val="138"/>
      <w:marRight w:val="138"/>
      <w:marTop w:val="0"/>
      <w:marBottom w:val="0"/>
      <w:divBdr>
        <w:top w:val="none" w:sz="0" w:space="0" w:color="auto"/>
        <w:left w:val="none" w:sz="0" w:space="0" w:color="auto"/>
        <w:bottom w:val="none" w:sz="0" w:space="0" w:color="auto"/>
        <w:right w:val="none" w:sz="0" w:space="0" w:color="auto"/>
      </w:divBdr>
      <w:divsChild>
        <w:div w:id="100028820">
          <w:marLeft w:val="0"/>
          <w:marRight w:val="0"/>
          <w:marTop w:val="0"/>
          <w:marBottom w:val="0"/>
          <w:divBdr>
            <w:top w:val="none" w:sz="0" w:space="0" w:color="auto"/>
            <w:left w:val="none" w:sz="0" w:space="0" w:color="auto"/>
            <w:bottom w:val="none" w:sz="0" w:space="0" w:color="auto"/>
            <w:right w:val="none" w:sz="0" w:space="0" w:color="auto"/>
          </w:divBdr>
        </w:div>
      </w:divsChild>
    </w:div>
    <w:div w:id="1292395964">
      <w:bodyDiv w:val="1"/>
      <w:marLeft w:val="225"/>
      <w:marRight w:val="225"/>
      <w:marTop w:val="0"/>
      <w:marBottom w:val="0"/>
      <w:divBdr>
        <w:top w:val="none" w:sz="0" w:space="0" w:color="auto"/>
        <w:left w:val="none" w:sz="0" w:space="0" w:color="auto"/>
        <w:bottom w:val="none" w:sz="0" w:space="0" w:color="auto"/>
        <w:right w:val="none" w:sz="0" w:space="0" w:color="auto"/>
      </w:divBdr>
      <w:divsChild>
        <w:div w:id="867328746">
          <w:marLeft w:val="0"/>
          <w:marRight w:val="0"/>
          <w:marTop w:val="0"/>
          <w:marBottom w:val="0"/>
          <w:divBdr>
            <w:top w:val="none" w:sz="0" w:space="0" w:color="auto"/>
            <w:left w:val="none" w:sz="0" w:space="0" w:color="auto"/>
            <w:bottom w:val="none" w:sz="0" w:space="0" w:color="auto"/>
            <w:right w:val="none" w:sz="0" w:space="0" w:color="auto"/>
          </w:divBdr>
        </w:div>
      </w:divsChild>
    </w:div>
    <w:div w:id="1318536422">
      <w:bodyDiv w:val="1"/>
      <w:marLeft w:val="161"/>
      <w:marRight w:val="161"/>
      <w:marTop w:val="0"/>
      <w:marBottom w:val="0"/>
      <w:divBdr>
        <w:top w:val="none" w:sz="0" w:space="0" w:color="auto"/>
        <w:left w:val="none" w:sz="0" w:space="0" w:color="auto"/>
        <w:bottom w:val="none" w:sz="0" w:space="0" w:color="auto"/>
        <w:right w:val="none" w:sz="0" w:space="0" w:color="auto"/>
      </w:divBdr>
      <w:divsChild>
        <w:div w:id="1089081837">
          <w:marLeft w:val="0"/>
          <w:marRight w:val="0"/>
          <w:marTop w:val="0"/>
          <w:marBottom w:val="0"/>
          <w:divBdr>
            <w:top w:val="none" w:sz="0" w:space="0" w:color="auto"/>
            <w:left w:val="none" w:sz="0" w:space="0" w:color="auto"/>
            <w:bottom w:val="none" w:sz="0" w:space="0" w:color="auto"/>
            <w:right w:val="none" w:sz="0" w:space="0" w:color="auto"/>
          </w:divBdr>
        </w:div>
      </w:divsChild>
    </w:div>
    <w:div w:id="1340350769">
      <w:bodyDiv w:val="1"/>
      <w:marLeft w:val="161"/>
      <w:marRight w:val="161"/>
      <w:marTop w:val="0"/>
      <w:marBottom w:val="0"/>
      <w:divBdr>
        <w:top w:val="none" w:sz="0" w:space="0" w:color="auto"/>
        <w:left w:val="none" w:sz="0" w:space="0" w:color="auto"/>
        <w:bottom w:val="none" w:sz="0" w:space="0" w:color="auto"/>
        <w:right w:val="none" w:sz="0" w:space="0" w:color="auto"/>
      </w:divBdr>
      <w:divsChild>
        <w:div w:id="231086481">
          <w:marLeft w:val="0"/>
          <w:marRight w:val="0"/>
          <w:marTop w:val="0"/>
          <w:marBottom w:val="0"/>
          <w:divBdr>
            <w:top w:val="none" w:sz="0" w:space="0" w:color="auto"/>
            <w:left w:val="none" w:sz="0" w:space="0" w:color="auto"/>
            <w:bottom w:val="none" w:sz="0" w:space="0" w:color="auto"/>
            <w:right w:val="none" w:sz="0" w:space="0" w:color="auto"/>
          </w:divBdr>
        </w:div>
      </w:divsChild>
    </w:div>
    <w:div w:id="1349410009">
      <w:bodyDiv w:val="1"/>
      <w:marLeft w:val="150"/>
      <w:marRight w:val="150"/>
      <w:marTop w:val="0"/>
      <w:marBottom w:val="0"/>
      <w:divBdr>
        <w:top w:val="none" w:sz="0" w:space="0" w:color="auto"/>
        <w:left w:val="none" w:sz="0" w:space="0" w:color="auto"/>
        <w:bottom w:val="none" w:sz="0" w:space="0" w:color="auto"/>
        <w:right w:val="none" w:sz="0" w:space="0" w:color="auto"/>
      </w:divBdr>
      <w:divsChild>
        <w:div w:id="389033946">
          <w:marLeft w:val="0"/>
          <w:marRight w:val="0"/>
          <w:marTop w:val="0"/>
          <w:marBottom w:val="0"/>
          <w:divBdr>
            <w:top w:val="none" w:sz="0" w:space="0" w:color="auto"/>
            <w:left w:val="none" w:sz="0" w:space="0" w:color="auto"/>
            <w:bottom w:val="none" w:sz="0" w:space="0" w:color="auto"/>
            <w:right w:val="none" w:sz="0" w:space="0" w:color="auto"/>
          </w:divBdr>
        </w:div>
      </w:divsChild>
    </w:div>
    <w:div w:id="1361517529">
      <w:bodyDiv w:val="1"/>
      <w:marLeft w:val="161"/>
      <w:marRight w:val="161"/>
      <w:marTop w:val="0"/>
      <w:marBottom w:val="0"/>
      <w:divBdr>
        <w:top w:val="none" w:sz="0" w:space="0" w:color="auto"/>
        <w:left w:val="none" w:sz="0" w:space="0" w:color="auto"/>
        <w:bottom w:val="none" w:sz="0" w:space="0" w:color="auto"/>
        <w:right w:val="none" w:sz="0" w:space="0" w:color="auto"/>
      </w:divBdr>
      <w:divsChild>
        <w:div w:id="1447234443">
          <w:marLeft w:val="0"/>
          <w:marRight w:val="0"/>
          <w:marTop w:val="0"/>
          <w:marBottom w:val="0"/>
          <w:divBdr>
            <w:top w:val="none" w:sz="0" w:space="0" w:color="auto"/>
            <w:left w:val="none" w:sz="0" w:space="0" w:color="auto"/>
            <w:bottom w:val="none" w:sz="0" w:space="0" w:color="auto"/>
            <w:right w:val="none" w:sz="0" w:space="0" w:color="auto"/>
          </w:divBdr>
        </w:div>
      </w:divsChild>
    </w:div>
    <w:div w:id="1374381358">
      <w:bodyDiv w:val="1"/>
      <w:marLeft w:val="225"/>
      <w:marRight w:val="225"/>
      <w:marTop w:val="0"/>
      <w:marBottom w:val="0"/>
      <w:divBdr>
        <w:top w:val="none" w:sz="0" w:space="0" w:color="auto"/>
        <w:left w:val="none" w:sz="0" w:space="0" w:color="auto"/>
        <w:bottom w:val="none" w:sz="0" w:space="0" w:color="auto"/>
        <w:right w:val="none" w:sz="0" w:space="0" w:color="auto"/>
      </w:divBdr>
      <w:divsChild>
        <w:div w:id="1615167109">
          <w:marLeft w:val="0"/>
          <w:marRight w:val="0"/>
          <w:marTop w:val="0"/>
          <w:marBottom w:val="0"/>
          <w:divBdr>
            <w:top w:val="none" w:sz="0" w:space="0" w:color="auto"/>
            <w:left w:val="none" w:sz="0" w:space="0" w:color="auto"/>
            <w:bottom w:val="none" w:sz="0" w:space="0" w:color="auto"/>
            <w:right w:val="none" w:sz="0" w:space="0" w:color="auto"/>
          </w:divBdr>
        </w:div>
      </w:divsChild>
    </w:div>
    <w:div w:id="1388453145">
      <w:bodyDiv w:val="1"/>
      <w:marLeft w:val="161"/>
      <w:marRight w:val="161"/>
      <w:marTop w:val="0"/>
      <w:marBottom w:val="0"/>
      <w:divBdr>
        <w:top w:val="none" w:sz="0" w:space="0" w:color="auto"/>
        <w:left w:val="none" w:sz="0" w:space="0" w:color="auto"/>
        <w:bottom w:val="none" w:sz="0" w:space="0" w:color="auto"/>
        <w:right w:val="none" w:sz="0" w:space="0" w:color="auto"/>
      </w:divBdr>
      <w:divsChild>
        <w:div w:id="1926763750">
          <w:marLeft w:val="0"/>
          <w:marRight w:val="0"/>
          <w:marTop w:val="0"/>
          <w:marBottom w:val="0"/>
          <w:divBdr>
            <w:top w:val="none" w:sz="0" w:space="0" w:color="auto"/>
            <w:left w:val="none" w:sz="0" w:space="0" w:color="auto"/>
            <w:bottom w:val="none" w:sz="0" w:space="0" w:color="auto"/>
            <w:right w:val="none" w:sz="0" w:space="0" w:color="auto"/>
          </w:divBdr>
        </w:div>
      </w:divsChild>
    </w:div>
    <w:div w:id="1394698068">
      <w:bodyDiv w:val="1"/>
      <w:marLeft w:val="0"/>
      <w:marRight w:val="0"/>
      <w:marTop w:val="0"/>
      <w:marBottom w:val="0"/>
      <w:divBdr>
        <w:top w:val="none" w:sz="0" w:space="0" w:color="auto"/>
        <w:left w:val="none" w:sz="0" w:space="0" w:color="auto"/>
        <w:bottom w:val="none" w:sz="0" w:space="0" w:color="auto"/>
        <w:right w:val="none" w:sz="0" w:space="0" w:color="auto"/>
      </w:divBdr>
      <w:divsChild>
        <w:div w:id="98915673">
          <w:marLeft w:val="0"/>
          <w:marRight w:val="0"/>
          <w:marTop w:val="0"/>
          <w:marBottom w:val="0"/>
          <w:divBdr>
            <w:top w:val="none" w:sz="0" w:space="0" w:color="auto"/>
            <w:left w:val="none" w:sz="0" w:space="0" w:color="auto"/>
            <w:bottom w:val="none" w:sz="0" w:space="0" w:color="auto"/>
            <w:right w:val="none" w:sz="0" w:space="0" w:color="auto"/>
          </w:divBdr>
        </w:div>
      </w:divsChild>
    </w:div>
    <w:div w:id="1408189379">
      <w:bodyDiv w:val="1"/>
      <w:marLeft w:val="0"/>
      <w:marRight w:val="0"/>
      <w:marTop w:val="0"/>
      <w:marBottom w:val="0"/>
      <w:divBdr>
        <w:top w:val="none" w:sz="0" w:space="0" w:color="auto"/>
        <w:left w:val="none" w:sz="0" w:space="0" w:color="auto"/>
        <w:bottom w:val="none" w:sz="0" w:space="0" w:color="auto"/>
        <w:right w:val="none" w:sz="0" w:space="0" w:color="auto"/>
      </w:divBdr>
      <w:divsChild>
        <w:div w:id="1153717927">
          <w:marLeft w:val="0"/>
          <w:marRight w:val="0"/>
          <w:marTop w:val="0"/>
          <w:marBottom w:val="0"/>
          <w:divBdr>
            <w:top w:val="none" w:sz="0" w:space="0" w:color="auto"/>
            <w:left w:val="none" w:sz="0" w:space="0" w:color="auto"/>
            <w:bottom w:val="none" w:sz="0" w:space="0" w:color="auto"/>
            <w:right w:val="none" w:sz="0" w:space="0" w:color="auto"/>
          </w:divBdr>
        </w:div>
      </w:divsChild>
    </w:div>
    <w:div w:id="1411735464">
      <w:bodyDiv w:val="1"/>
      <w:marLeft w:val="138"/>
      <w:marRight w:val="138"/>
      <w:marTop w:val="0"/>
      <w:marBottom w:val="0"/>
      <w:divBdr>
        <w:top w:val="none" w:sz="0" w:space="0" w:color="auto"/>
        <w:left w:val="none" w:sz="0" w:space="0" w:color="auto"/>
        <w:bottom w:val="none" w:sz="0" w:space="0" w:color="auto"/>
        <w:right w:val="none" w:sz="0" w:space="0" w:color="auto"/>
      </w:divBdr>
      <w:divsChild>
        <w:div w:id="1383868454">
          <w:marLeft w:val="0"/>
          <w:marRight w:val="0"/>
          <w:marTop w:val="0"/>
          <w:marBottom w:val="0"/>
          <w:divBdr>
            <w:top w:val="none" w:sz="0" w:space="0" w:color="auto"/>
            <w:left w:val="none" w:sz="0" w:space="0" w:color="auto"/>
            <w:bottom w:val="none" w:sz="0" w:space="0" w:color="auto"/>
            <w:right w:val="none" w:sz="0" w:space="0" w:color="auto"/>
          </w:divBdr>
        </w:div>
      </w:divsChild>
    </w:div>
    <w:div w:id="1412652503">
      <w:bodyDiv w:val="1"/>
      <w:marLeft w:val="161"/>
      <w:marRight w:val="161"/>
      <w:marTop w:val="0"/>
      <w:marBottom w:val="0"/>
      <w:divBdr>
        <w:top w:val="none" w:sz="0" w:space="0" w:color="auto"/>
        <w:left w:val="none" w:sz="0" w:space="0" w:color="auto"/>
        <w:bottom w:val="none" w:sz="0" w:space="0" w:color="auto"/>
        <w:right w:val="none" w:sz="0" w:space="0" w:color="auto"/>
      </w:divBdr>
      <w:divsChild>
        <w:div w:id="1210722956">
          <w:marLeft w:val="0"/>
          <w:marRight w:val="0"/>
          <w:marTop w:val="0"/>
          <w:marBottom w:val="0"/>
          <w:divBdr>
            <w:top w:val="none" w:sz="0" w:space="0" w:color="auto"/>
            <w:left w:val="none" w:sz="0" w:space="0" w:color="auto"/>
            <w:bottom w:val="none" w:sz="0" w:space="0" w:color="auto"/>
            <w:right w:val="none" w:sz="0" w:space="0" w:color="auto"/>
          </w:divBdr>
        </w:div>
      </w:divsChild>
    </w:div>
    <w:div w:id="1418208679">
      <w:bodyDiv w:val="1"/>
      <w:marLeft w:val="161"/>
      <w:marRight w:val="161"/>
      <w:marTop w:val="0"/>
      <w:marBottom w:val="0"/>
      <w:divBdr>
        <w:top w:val="none" w:sz="0" w:space="0" w:color="auto"/>
        <w:left w:val="none" w:sz="0" w:space="0" w:color="auto"/>
        <w:bottom w:val="none" w:sz="0" w:space="0" w:color="auto"/>
        <w:right w:val="none" w:sz="0" w:space="0" w:color="auto"/>
      </w:divBdr>
      <w:divsChild>
        <w:div w:id="418797026">
          <w:marLeft w:val="0"/>
          <w:marRight w:val="0"/>
          <w:marTop w:val="0"/>
          <w:marBottom w:val="0"/>
          <w:divBdr>
            <w:top w:val="none" w:sz="0" w:space="0" w:color="auto"/>
            <w:left w:val="none" w:sz="0" w:space="0" w:color="auto"/>
            <w:bottom w:val="none" w:sz="0" w:space="0" w:color="auto"/>
            <w:right w:val="none" w:sz="0" w:space="0" w:color="auto"/>
          </w:divBdr>
        </w:div>
      </w:divsChild>
    </w:div>
    <w:div w:id="1426803591">
      <w:bodyDiv w:val="1"/>
      <w:marLeft w:val="225"/>
      <w:marRight w:val="225"/>
      <w:marTop w:val="0"/>
      <w:marBottom w:val="0"/>
      <w:divBdr>
        <w:top w:val="none" w:sz="0" w:space="0" w:color="auto"/>
        <w:left w:val="none" w:sz="0" w:space="0" w:color="auto"/>
        <w:bottom w:val="none" w:sz="0" w:space="0" w:color="auto"/>
        <w:right w:val="none" w:sz="0" w:space="0" w:color="auto"/>
      </w:divBdr>
      <w:divsChild>
        <w:div w:id="1723098375">
          <w:marLeft w:val="0"/>
          <w:marRight w:val="0"/>
          <w:marTop w:val="0"/>
          <w:marBottom w:val="0"/>
          <w:divBdr>
            <w:top w:val="none" w:sz="0" w:space="0" w:color="auto"/>
            <w:left w:val="none" w:sz="0" w:space="0" w:color="auto"/>
            <w:bottom w:val="none" w:sz="0" w:space="0" w:color="auto"/>
            <w:right w:val="none" w:sz="0" w:space="0" w:color="auto"/>
          </w:divBdr>
        </w:div>
      </w:divsChild>
    </w:div>
    <w:div w:id="1430658191">
      <w:bodyDiv w:val="1"/>
      <w:marLeft w:val="161"/>
      <w:marRight w:val="161"/>
      <w:marTop w:val="0"/>
      <w:marBottom w:val="0"/>
      <w:divBdr>
        <w:top w:val="none" w:sz="0" w:space="0" w:color="auto"/>
        <w:left w:val="none" w:sz="0" w:space="0" w:color="auto"/>
        <w:bottom w:val="none" w:sz="0" w:space="0" w:color="auto"/>
        <w:right w:val="none" w:sz="0" w:space="0" w:color="auto"/>
      </w:divBdr>
      <w:divsChild>
        <w:div w:id="1562056618">
          <w:marLeft w:val="0"/>
          <w:marRight w:val="0"/>
          <w:marTop w:val="0"/>
          <w:marBottom w:val="0"/>
          <w:divBdr>
            <w:top w:val="none" w:sz="0" w:space="0" w:color="auto"/>
            <w:left w:val="none" w:sz="0" w:space="0" w:color="auto"/>
            <w:bottom w:val="none" w:sz="0" w:space="0" w:color="auto"/>
            <w:right w:val="none" w:sz="0" w:space="0" w:color="auto"/>
          </w:divBdr>
        </w:div>
      </w:divsChild>
    </w:div>
    <w:div w:id="1491407931">
      <w:bodyDiv w:val="1"/>
      <w:marLeft w:val="161"/>
      <w:marRight w:val="161"/>
      <w:marTop w:val="0"/>
      <w:marBottom w:val="0"/>
      <w:divBdr>
        <w:top w:val="none" w:sz="0" w:space="0" w:color="auto"/>
        <w:left w:val="none" w:sz="0" w:space="0" w:color="auto"/>
        <w:bottom w:val="none" w:sz="0" w:space="0" w:color="auto"/>
        <w:right w:val="none" w:sz="0" w:space="0" w:color="auto"/>
      </w:divBdr>
      <w:divsChild>
        <w:div w:id="55054690">
          <w:marLeft w:val="0"/>
          <w:marRight w:val="0"/>
          <w:marTop w:val="0"/>
          <w:marBottom w:val="0"/>
          <w:divBdr>
            <w:top w:val="none" w:sz="0" w:space="0" w:color="auto"/>
            <w:left w:val="none" w:sz="0" w:space="0" w:color="auto"/>
            <w:bottom w:val="none" w:sz="0" w:space="0" w:color="auto"/>
            <w:right w:val="none" w:sz="0" w:space="0" w:color="auto"/>
          </w:divBdr>
        </w:div>
      </w:divsChild>
    </w:div>
    <w:div w:id="1524904911">
      <w:bodyDiv w:val="1"/>
      <w:marLeft w:val="0"/>
      <w:marRight w:val="0"/>
      <w:marTop w:val="0"/>
      <w:marBottom w:val="0"/>
      <w:divBdr>
        <w:top w:val="none" w:sz="0" w:space="0" w:color="auto"/>
        <w:left w:val="none" w:sz="0" w:space="0" w:color="auto"/>
        <w:bottom w:val="none" w:sz="0" w:space="0" w:color="auto"/>
        <w:right w:val="none" w:sz="0" w:space="0" w:color="auto"/>
      </w:divBdr>
      <w:divsChild>
        <w:div w:id="591162511">
          <w:marLeft w:val="0"/>
          <w:marRight w:val="0"/>
          <w:marTop w:val="0"/>
          <w:marBottom w:val="0"/>
          <w:divBdr>
            <w:top w:val="none" w:sz="0" w:space="0" w:color="auto"/>
            <w:left w:val="none" w:sz="0" w:space="0" w:color="auto"/>
            <w:bottom w:val="none" w:sz="0" w:space="0" w:color="auto"/>
            <w:right w:val="none" w:sz="0" w:space="0" w:color="auto"/>
          </w:divBdr>
        </w:div>
      </w:divsChild>
    </w:div>
    <w:div w:id="1565598901">
      <w:bodyDiv w:val="1"/>
      <w:marLeft w:val="0"/>
      <w:marRight w:val="0"/>
      <w:marTop w:val="0"/>
      <w:marBottom w:val="0"/>
      <w:divBdr>
        <w:top w:val="none" w:sz="0" w:space="0" w:color="auto"/>
        <w:left w:val="none" w:sz="0" w:space="0" w:color="auto"/>
        <w:bottom w:val="none" w:sz="0" w:space="0" w:color="auto"/>
        <w:right w:val="none" w:sz="0" w:space="0" w:color="auto"/>
      </w:divBdr>
      <w:divsChild>
        <w:div w:id="1621765869">
          <w:marLeft w:val="0"/>
          <w:marRight w:val="0"/>
          <w:marTop w:val="0"/>
          <w:marBottom w:val="0"/>
          <w:divBdr>
            <w:top w:val="none" w:sz="0" w:space="0" w:color="auto"/>
            <w:left w:val="none" w:sz="0" w:space="0" w:color="auto"/>
            <w:bottom w:val="none" w:sz="0" w:space="0" w:color="auto"/>
            <w:right w:val="none" w:sz="0" w:space="0" w:color="auto"/>
          </w:divBdr>
        </w:div>
      </w:divsChild>
    </w:div>
    <w:div w:id="1572539104">
      <w:bodyDiv w:val="1"/>
      <w:marLeft w:val="225"/>
      <w:marRight w:val="225"/>
      <w:marTop w:val="0"/>
      <w:marBottom w:val="0"/>
      <w:divBdr>
        <w:top w:val="none" w:sz="0" w:space="0" w:color="auto"/>
        <w:left w:val="none" w:sz="0" w:space="0" w:color="auto"/>
        <w:bottom w:val="none" w:sz="0" w:space="0" w:color="auto"/>
        <w:right w:val="none" w:sz="0" w:space="0" w:color="auto"/>
      </w:divBdr>
      <w:divsChild>
        <w:div w:id="1102070144">
          <w:marLeft w:val="0"/>
          <w:marRight w:val="0"/>
          <w:marTop w:val="0"/>
          <w:marBottom w:val="0"/>
          <w:divBdr>
            <w:top w:val="none" w:sz="0" w:space="0" w:color="auto"/>
            <w:left w:val="none" w:sz="0" w:space="0" w:color="auto"/>
            <w:bottom w:val="none" w:sz="0" w:space="0" w:color="auto"/>
            <w:right w:val="none" w:sz="0" w:space="0" w:color="auto"/>
          </w:divBdr>
        </w:div>
      </w:divsChild>
    </w:div>
    <w:div w:id="1580482469">
      <w:bodyDiv w:val="1"/>
      <w:marLeft w:val="225"/>
      <w:marRight w:val="225"/>
      <w:marTop w:val="0"/>
      <w:marBottom w:val="0"/>
      <w:divBdr>
        <w:top w:val="none" w:sz="0" w:space="0" w:color="auto"/>
        <w:left w:val="none" w:sz="0" w:space="0" w:color="auto"/>
        <w:bottom w:val="none" w:sz="0" w:space="0" w:color="auto"/>
        <w:right w:val="none" w:sz="0" w:space="0" w:color="auto"/>
      </w:divBdr>
      <w:divsChild>
        <w:div w:id="232665170">
          <w:marLeft w:val="0"/>
          <w:marRight w:val="0"/>
          <w:marTop w:val="0"/>
          <w:marBottom w:val="0"/>
          <w:divBdr>
            <w:top w:val="none" w:sz="0" w:space="0" w:color="auto"/>
            <w:left w:val="none" w:sz="0" w:space="0" w:color="auto"/>
            <w:bottom w:val="none" w:sz="0" w:space="0" w:color="auto"/>
            <w:right w:val="none" w:sz="0" w:space="0" w:color="auto"/>
          </w:divBdr>
        </w:div>
      </w:divsChild>
    </w:div>
    <w:div w:id="1585995986">
      <w:bodyDiv w:val="1"/>
      <w:marLeft w:val="161"/>
      <w:marRight w:val="161"/>
      <w:marTop w:val="0"/>
      <w:marBottom w:val="0"/>
      <w:divBdr>
        <w:top w:val="none" w:sz="0" w:space="0" w:color="auto"/>
        <w:left w:val="none" w:sz="0" w:space="0" w:color="auto"/>
        <w:bottom w:val="none" w:sz="0" w:space="0" w:color="auto"/>
        <w:right w:val="none" w:sz="0" w:space="0" w:color="auto"/>
      </w:divBdr>
      <w:divsChild>
        <w:div w:id="1561207402">
          <w:marLeft w:val="0"/>
          <w:marRight w:val="0"/>
          <w:marTop w:val="0"/>
          <w:marBottom w:val="0"/>
          <w:divBdr>
            <w:top w:val="none" w:sz="0" w:space="0" w:color="auto"/>
            <w:left w:val="none" w:sz="0" w:space="0" w:color="auto"/>
            <w:bottom w:val="none" w:sz="0" w:space="0" w:color="auto"/>
            <w:right w:val="none" w:sz="0" w:space="0" w:color="auto"/>
          </w:divBdr>
        </w:div>
      </w:divsChild>
    </w:div>
    <w:div w:id="1614288963">
      <w:bodyDiv w:val="1"/>
      <w:marLeft w:val="161"/>
      <w:marRight w:val="161"/>
      <w:marTop w:val="0"/>
      <w:marBottom w:val="0"/>
      <w:divBdr>
        <w:top w:val="none" w:sz="0" w:space="0" w:color="auto"/>
        <w:left w:val="none" w:sz="0" w:space="0" w:color="auto"/>
        <w:bottom w:val="none" w:sz="0" w:space="0" w:color="auto"/>
        <w:right w:val="none" w:sz="0" w:space="0" w:color="auto"/>
      </w:divBdr>
      <w:divsChild>
        <w:div w:id="76292978">
          <w:marLeft w:val="0"/>
          <w:marRight w:val="0"/>
          <w:marTop w:val="0"/>
          <w:marBottom w:val="0"/>
          <w:divBdr>
            <w:top w:val="none" w:sz="0" w:space="0" w:color="auto"/>
            <w:left w:val="none" w:sz="0" w:space="0" w:color="auto"/>
            <w:bottom w:val="none" w:sz="0" w:space="0" w:color="auto"/>
            <w:right w:val="none" w:sz="0" w:space="0" w:color="auto"/>
          </w:divBdr>
        </w:div>
      </w:divsChild>
    </w:div>
    <w:div w:id="1623418523">
      <w:bodyDiv w:val="1"/>
      <w:marLeft w:val="225"/>
      <w:marRight w:val="225"/>
      <w:marTop w:val="0"/>
      <w:marBottom w:val="0"/>
      <w:divBdr>
        <w:top w:val="none" w:sz="0" w:space="0" w:color="auto"/>
        <w:left w:val="none" w:sz="0" w:space="0" w:color="auto"/>
        <w:bottom w:val="none" w:sz="0" w:space="0" w:color="auto"/>
        <w:right w:val="none" w:sz="0" w:space="0" w:color="auto"/>
      </w:divBdr>
      <w:divsChild>
        <w:div w:id="1654598251">
          <w:marLeft w:val="0"/>
          <w:marRight w:val="0"/>
          <w:marTop w:val="0"/>
          <w:marBottom w:val="0"/>
          <w:divBdr>
            <w:top w:val="none" w:sz="0" w:space="0" w:color="auto"/>
            <w:left w:val="none" w:sz="0" w:space="0" w:color="auto"/>
            <w:bottom w:val="none" w:sz="0" w:space="0" w:color="auto"/>
            <w:right w:val="none" w:sz="0" w:space="0" w:color="auto"/>
          </w:divBdr>
        </w:div>
      </w:divsChild>
    </w:div>
    <w:div w:id="1630208904">
      <w:bodyDiv w:val="1"/>
      <w:marLeft w:val="225"/>
      <w:marRight w:val="225"/>
      <w:marTop w:val="0"/>
      <w:marBottom w:val="0"/>
      <w:divBdr>
        <w:top w:val="none" w:sz="0" w:space="0" w:color="auto"/>
        <w:left w:val="none" w:sz="0" w:space="0" w:color="auto"/>
        <w:bottom w:val="none" w:sz="0" w:space="0" w:color="auto"/>
        <w:right w:val="none" w:sz="0" w:space="0" w:color="auto"/>
      </w:divBdr>
      <w:divsChild>
        <w:div w:id="931669164">
          <w:marLeft w:val="0"/>
          <w:marRight w:val="0"/>
          <w:marTop w:val="0"/>
          <w:marBottom w:val="0"/>
          <w:divBdr>
            <w:top w:val="none" w:sz="0" w:space="0" w:color="auto"/>
            <w:left w:val="none" w:sz="0" w:space="0" w:color="auto"/>
            <w:bottom w:val="none" w:sz="0" w:space="0" w:color="auto"/>
            <w:right w:val="none" w:sz="0" w:space="0" w:color="auto"/>
          </w:divBdr>
        </w:div>
      </w:divsChild>
    </w:div>
    <w:div w:id="1655181643">
      <w:bodyDiv w:val="1"/>
      <w:marLeft w:val="225"/>
      <w:marRight w:val="225"/>
      <w:marTop w:val="0"/>
      <w:marBottom w:val="0"/>
      <w:divBdr>
        <w:top w:val="none" w:sz="0" w:space="0" w:color="auto"/>
        <w:left w:val="none" w:sz="0" w:space="0" w:color="auto"/>
        <w:bottom w:val="none" w:sz="0" w:space="0" w:color="auto"/>
        <w:right w:val="none" w:sz="0" w:space="0" w:color="auto"/>
      </w:divBdr>
      <w:divsChild>
        <w:div w:id="255601076">
          <w:marLeft w:val="0"/>
          <w:marRight w:val="0"/>
          <w:marTop w:val="0"/>
          <w:marBottom w:val="0"/>
          <w:divBdr>
            <w:top w:val="none" w:sz="0" w:space="0" w:color="auto"/>
            <w:left w:val="none" w:sz="0" w:space="0" w:color="auto"/>
            <w:bottom w:val="none" w:sz="0" w:space="0" w:color="auto"/>
            <w:right w:val="none" w:sz="0" w:space="0" w:color="auto"/>
          </w:divBdr>
        </w:div>
      </w:divsChild>
    </w:div>
    <w:div w:id="1656253236">
      <w:bodyDiv w:val="1"/>
      <w:marLeft w:val="0"/>
      <w:marRight w:val="0"/>
      <w:marTop w:val="0"/>
      <w:marBottom w:val="0"/>
      <w:divBdr>
        <w:top w:val="none" w:sz="0" w:space="0" w:color="auto"/>
        <w:left w:val="none" w:sz="0" w:space="0" w:color="auto"/>
        <w:bottom w:val="none" w:sz="0" w:space="0" w:color="auto"/>
        <w:right w:val="none" w:sz="0" w:space="0" w:color="auto"/>
      </w:divBdr>
      <w:divsChild>
        <w:div w:id="1873834461">
          <w:marLeft w:val="0"/>
          <w:marRight w:val="0"/>
          <w:marTop w:val="0"/>
          <w:marBottom w:val="0"/>
          <w:divBdr>
            <w:top w:val="none" w:sz="0" w:space="0" w:color="auto"/>
            <w:left w:val="none" w:sz="0" w:space="0" w:color="auto"/>
            <w:bottom w:val="none" w:sz="0" w:space="0" w:color="auto"/>
            <w:right w:val="none" w:sz="0" w:space="0" w:color="auto"/>
          </w:divBdr>
        </w:div>
      </w:divsChild>
    </w:div>
    <w:div w:id="1662273288">
      <w:bodyDiv w:val="1"/>
      <w:marLeft w:val="161"/>
      <w:marRight w:val="161"/>
      <w:marTop w:val="0"/>
      <w:marBottom w:val="0"/>
      <w:divBdr>
        <w:top w:val="none" w:sz="0" w:space="0" w:color="auto"/>
        <w:left w:val="none" w:sz="0" w:space="0" w:color="auto"/>
        <w:bottom w:val="none" w:sz="0" w:space="0" w:color="auto"/>
        <w:right w:val="none" w:sz="0" w:space="0" w:color="auto"/>
      </w:divBdr>
      <w:divsChild>
        <w:div w:id="92437522">
          <w:marLeft w:val="0"/>
          <w:marRight w:val="0"/>
          <w:marTop w:val="0"/>
          <w:marBottom w:val="0"/>
          <w:divBdr>
            <w:top w:val="none" w:sz="0" w:space="0" w:color="auto"/>
            <w:left w:val="none" w:sz="0" w:space="0" w:color="auto"/>
            <w:bottom w:val="none" w:sz="0" w:space="0" w:color="auto"/>
            <w:right w:val="none" w:sz="0" w:space="0" w:color="auto"/>
          </w:divBdr>
        </w:div>
      </w:divsChild>
    </w:div>
    <w:div w:id="1678998898">
      <w:bodyDiv w:val="1"/>
      <w:marLeft w:val="138"/>
      <w:marRight w:val="138"/>
      <w:marTop w:val="0"/>
      <w:marBottom w:val="0"/>
      <w:divBdr>
        <w:top w:val="none" w:sz="0" w:space="0" w:color="auto"/>
        <w:left w:val="none" w:sz="0" w:space="0" w:color="auto"/>
        <w:bottom w:val="none" w:sz="0" w:space="0" w:color="auto"/>
        <w:right w:val="none" w:sz="0" w:space="0" w:color="auto"/>
      </w:divBdr>
      <w:divsChild>
        <w:div w:id="1111047889">
          <w:marLeft w:val="0"/>
          <w:marRight w:val="0"/>
          <w:marTop w:val="0"/>
          <w:marBottom w:val="0"/>
          <w:divBdr>
            <w:top w:val="none" w:sz="0" w:space="0" w:color="auto"/>
            <w:left w:val="none" w:sz="0" w:space="0" w:color="auto"/>
            <w:bottom w:val="none" w:sz="0" w:space="0" w:color="auto"/>
            <w:right w:val="none" w:sz="0" w:space="0" w:color="auto"/>
          </w:divBdr>
        </w:div>
      </w:divsChild>
    </w:div>
    <w:div w:id="1711345042">
      <w:bodyDiv w:val="1"/>
      <w:marLeft w:val="161"/>
      <w:marRight w:val="161"/>
      <w:marTop w:val="0"/>
      <w:marBottom w:val="0"/>
      <w:divBdr>
        <w:top w:val="none" w:sz="0" w:space="0" w:color="auto"/>
        <w:left w:val="none" w:sz="0" w:space="0" w:color="auto"/>
        <w:bottom w:val="none" w:sz="0" w:space="0" w:color="auto"/>
        <w:right w:val="none" w:sz="0" w:space="0" w:color="auto"/>
      </w:divBdr>
      <w:divsChild>
        <w:div w:id="236670444">
          <w:marLeft w:val="0"/>
          <w:marRight w:val="0"/>
          <w:marTop w:val="0"/>
          <w:marBottom w:val="0"/>
          <w:divBdr>
            <w:top w:val="none" w:sz="0" w:space="0" w:color="auto"/>
            <w:left w:val="none" w:sz="0" w:space="0" w:color="auto"/>
            <w:bottom w:val="none" w:sz="0" w:space="0" w:color="auto"/>
            <w:right w:val="none" w:sz="0" w:space="0" w:color="auto"/>
          </w:divBdr>
        </w:div>
      </w:divsChild>
    </w:div>
    <w:div w:id="1742026436">
      <w:bodyDiv w:val="1"/>
      <w:marLeft w:val="0"/>
      <w:marRight w:val="0"/>
      <w:marTop w:val="0"/>
      <w:marBottom w:val="0"/>
      <w:divBdr>
        <w:top w:val="none" w:sz="0" w:space="0" w:color="auto"/>
        <w:left w:val="none" w:sz="0" w:space="0" w:color="auto"/>
        <w:bottom w:val="none" w:sz="0" w:space="0" w:color="auto"/>
        <w:right w:val="none" w:sz="0" w:space="0" w:color="auto"/>
      </w:divBdr>
      <w:divsChild>
        <w:div w:id="1534657215">
          <w:marLeft w:val="0"/>
          <w:marRight w:val="0"/>
          <w:marTop w:val="0"/>
          <w:marBottom w:val="0"/>
          <w:divBdr>
            <w:top w:val="none" w:sz="0" w:space="0" w:color="auto"/>
            <w:left w:val="none" w:sz="0" w:space="0" w:color="auto"/>
            <w:bottom w:val="none" w:sz="0" w:space="0" w:color="auto"/>
            <w:right w:val="none" w:sz="0" w:space="0" w:color="auto"/>
          </w:divBdr>
        </w:div>
      </w:divsChild>
    </w:div>
    <w:div w:id="1760909717">
      <w:bodyDiv w:val="1"/>
      <w:marLeft w:val="161"/>
      <w:marRight w:val="161"/>
      <w:marTop w:val="0"/>
      <w:marBottom w:val="0"/>
      <w:divBdr>
        <w:top w:val="none" w:sz="0" w:space="0" w:color="auto"/>
        <w:left w:val="none" w:sz="0" w:space="0" w:color="auto"/>
        <w:bottom w:val="none" w:sz="0" w:space="0" w:color="auto"/>
        <w:right w:val="none" w:sz="0" w:space="0" w:color="auto"/>
      </w:divBdr>
      <w:divsChild>
        <w:div w:id="2061585663">
          <w:marLeft w:val="0"/>
          <w:marRight w:val="0"/>
          <w:marTop w:val="0"/>
          <w:marBottom w:val="0"/>
          <w:divBdr>
            <w:top w:val="none" w:sz="0" w:space="0" w:color="auto"/>
            <w:left w:val="none" w:sz="0" w:space="0" w:color="auto"/>
            <w:bottom w:val="none" w:sz="0" w:space="0" w:color="auto"/>
            <w:right w:val="none" w:sz="0" w:space="0" w:color="auto"/>
          </w:divBdr>
        </w:div>
      </w:divsChild>
    </w:div>
    <w:div w:id="1770662940">
      <w:bodyDiv w:val="1"/>
      <w:marLeft w:val="225"/>
      <w:marRight w:val="225"/>
      <w:marTop w:val="0"/>
      <w:marBottom w:val="0"/>
      <w:divBdr>
        <w:top w:val="none" w:sz="0" w:space="0" w:color="auto"/>
        <w:left w:val="none" w:sz="0" w:space="0" w:color="auto"/>
        <w:bottom w:val="none" w:sz="0" w:space="0" w:color="auto"/>
        <w:right w:val="none" w:sz="0" w:space="0" w:color="auto"/>
      </w:divBdr>
      <w:divsChild>
        <w:div w:id="1226917555">
          <w:marLeft w:val="0"/>
          <w:marRight w:val="0"/>
          <w:marTop w:val="0"/>
          <w:marBottom w:val="0"/>
          <w:divBdr>
            <w:top w:val="none" w:sz="0" w:space="0" w:color="auto"/>
            <w:left w:val="none" w:sz="0" w:space="0" w:color="auto"/>
            <w:bottom w:val="none" w:sz="0" w:space="0" w:color="auto"/>
            <w:right w:val="none" w:sz="0" w:space="0" w:color="auto"/>
          </w:divBdr>
        </w:div>
      </w:divsChild>
    </w:div>
    <w:div w:id="1777866514">
      <w:bodyDiv w:val="1"/>
      <w:marLeft w:val="161"/>
      <w:marRight w:val="161"/>
      <w:marTop w:val="0"/>
      <w:marBottom w:val="0"/>
      <w:divBdr>
        <w:top w:val="none" w:sz="0" w:space="0" w:color="auto"/>
        <w:left w:val="none" w:sz="0" w:space="0" w:color="auto"/>
        <w:bottom w:val="none" w:sz="0" w:space="0" w:color="auto"/>
        <w:right w:val="none" w:sz="0" w:space="0" w:color="auto"/>
      </w:divBdr>
      <w:divsChild>
        <w:div w:id="1469014222">
          <w:marLeft w:val="0"/>
          <w:marRight w:val="0"/>
          <w:marTop w:val="0"/>
          <w:marBottom w:val="0"/>
          <w:divBdr>
            <w:top w:val="none" w:sz="0" w:space="0" w:color="auto"/>
            <w:left w:val="none" w:sz="0" w:space="0" w:color="auto"/>
            <w:bottom w:val="none" w:sz="0" w:space="0" w:color="auto"/>
            <w:right w:val="none" w:sz="0" w:space="0" w:color="auto"/>
          </w:divBdr>
        </w:div>
      </w:divsChild>
    </w:div>
    <w:div w:id="1793942028">
      <w:bodyDiv w:val="1"/>
      <w:marLeft w:val="150"/>
      <w:marRight w:val="150"/>
      <w:marTop w:val="0"/>
      <w:marBottom w:val="0"/>
      <w:divBdr>
        <w:top w:val="none" w:sz="0" w:space="0" w:color="auto"/>
        <w:left w:val="none" w:sz="0" w:space="0" w:color="auto"/>
        <w:bottom w:val="none" w:sz="0" w:space="0" w:color="auto"/>
        <w:right w:val="none" w:sz="0" w:space="0" w:color="auto"/>
      </w:divBdr>
      <w:divsChild>
        <w:div w:id="1735816466">
          <w:marLeft w:val="0"/>
          <w:marRight w:val="0"/>
          <w:marTop w:val="0"/>
          <w:marBottom w:val="0"/>
          <w:divBdr>
            <w:top w:val="none" w:sz="0" w:space="0" w:color="auto"/>
            <w:left w:val="none" w:sz="0" w:space="0" w:color="auto"/>
            <w:bottom w:val="none" w:sz="0" w:space="0" w:color="auto"/>
            <w:right w:val="none" w:sz="0" w:space="0" w:color="auto"/>
          </w:divBdr>
        </w:div>
      </w:divsChild>
    </w:div>
    <w:div w:id="1812136625">
      <w:bodyDiv w:val="1"/>
      <w:marLeft w:val="225"/>
      <w:marRight w:val="225"/>
      <w:marTop w:val="0"/>
      <w:marBottom w:val="0"/>
      <w:divBdr>
        <w:top w:val="none" w:sz="0" w:space="0" w:color="auto"/>
        <w:left w:val="none" w:sz="0" w:space="0" w:color="auto"/>
        <w:bottom w:val="none" w:sz="0" w:space="0" w:color="auto"/>
        <w:right w:val="none" w:sz="0" w:space="0" w:color="auto"/>
      </w:divBdr>
      <w:divsChild>
        <w:div w:id="61149041">
          <w:marLeft w:val="0"/>
          <w:marRight w:val="0"/>
          <w:marTop w:val="0"/>
          <w:marBottom w:val="0"/>
          <w:divBdr>
            <w:top w:val="none" w:sz="0" w:space="0" w:color="auto"/>
            <w:left w:val="none" w:sz="0" w:space="0" w:color="auto"/>
            <w:bottom w:val="none" w:sz="0" w:space="0" w:color="auto"/>
            <w:right w:val="none" w:sz="0" w:space="0" w:color="auto"/>
          </w:divBdr>
        </w:div>
      </w:divsChild>
    </w:div>
    <w:div w:id="1813525341">
      <w:bodyDiv w:val="1"/>
      <w:marLeft w:val="161"/>
      <w:marRight w:val="161"/>
      <w:marTop w:val="0"/>
      <w:marBottom w:val="0"/>
      <w:divBdr>
        <w:top w:val="none" w:sz="0" w:space="0" w:color="auto"/>
        <w:left w:val="none" w:sz="0" w:space="0" w:color="auto"/>
        <w:bottom w:val="none" w:sz="0" w:space="0" w:color="auto"/>
        <w:right w:val="none" w:sz="0" w:space="0" w:color="auto"/>
      </w:divBdr>
      <w:divsChild>
        <w:div w:id="1888486943">
          <w:marLeft w:val="0"/>
          <w:marRight w:val="0"/>
          <w:marTop w:val="0"/>
          <w:marBottom w:val="0"/>
          <w:divBdr>
            <w:top w:val="none" w:sz="0" w:space="0" w:color="auto"/>
            <w:left w:val="none" w:sz="0" w:space="0" w:color="auto"/>
            <w:bottom w:val="none" w:sz="0" w:space="0" w:color="auto"/>
            <w:right w:val="none" w:sz="0" w:space="0" w:color="auto"/>
          </w:divBdr>
        </w:div>
      </w:divsChild>
    </w:div>
    <w:div w:id="1820920487">
      <w:bodyDiv w:val="1"/>
      <w:marLeft w:val="161"/>
      <w:marRight w:val="161"/>
      <w:marTop w:val="0"/>
      <w:marBottom w:val="0"/>
      <w:divBdr>
        <w:top w:val="none" w:sz="0" w:space="0" w:color="auto"/>
        <w:left w:val="none" w:sz="0" w:space="0" w:color="auto"/>
        <w:bottom w:val="none" w:sz="0" w:space="0" w:color="auto"/>
        <w:right w:val="none" w:sz="0" w:space="0" w:color="auto"/>
      </w:divBdr>
      <w:divsChild>
        <w:div w:id="453525988">
          <w:marLeft w:val="0"/>
          <w:marRight w:val="0"/>
          <w:marTop w:val="0"/>
          <w:marBottom w:val="0"/>
          <w:divBdr>
            <w:top w:val="none" w:sz="0" w:space="0" w:color="auto"/>
            <w:left w:val="none" w:sz="0" w:space="0" w:color="auto"/>
            <w:bottom w:val="none" w:sz="0" w:space="0" w:color="auto"/>
            <w:right w:val="none" w:sz="0" w:space="0" w:color="auto"/>
          </w:divBdr>
        </w:div>
      </w:divsChild>
    </w:div>
    <w:div w:id="1844664539">
      <w:bodyDiv w:val="1"/>
      <w:marLeft w:val="161"/>
      <w:marRight w:val="161"/>
      <w:marTop w:val="0"/>
      <w:marBottom w:val="0"/>
      <w:divBdr>
        <w:top w:val="none" w:sz="0" w:space="0" w:color="auto"/>
        <w:left w:val="none" w:sz="0" w:space="0" w:color="auto"/>
        <w:bottom w:val="none" w:sz="0" w:space="0" w:color="auto"/>
        <w:right w:val="none" w:sz="0" w:space="0" w:color="auto"/>
      </w:divBdr>
      <w:divsChild>
        <w:div w:id="1928153947">
          <w:marLeft w:val="0"/>
          <w:marRight w:val="0"/>
          <w:marTop w:val="0"/>
          <w:marBottom w:val="0"/>
          <w:divBdr>
            <w:top w:val="none" w:sz="0" w:space="0" w:color="auto"/>
            <w:left w:val="none" w:sz="0" w:space="0" w:color="auto"/>
            <w:bottom w:val="none" w:sz="0" w:space="0" w:color="auto"/>
            <w:right w:val="none" w:sz="0" w:space="0" w:color="auto"/>
          </w:divBdr>
        </w:div>
      </w:divsChild>
    </w:div>
    <w:div w:id="1853766140">
      <w:bodyDiv w:val="1"/>
      <w:marLeft w:val="161"/>
      <w:marRight w:val="161"/>
      <w:marTop w:val="0"/>
      <w:marBottom w:val="0"/>
      <w:divBdr>
        <w:top w:val="none" w:sz="0" w:space="0" w:color="auto"/>
        <w:left w:val="none" w:sz="0" w:space="0" w:color="auto"/>
        <w:bottom w:val="none" w:sz="0" w:space="0" w:color="auto"/>
        <w:right w:val="none" w:sz="0" w:space="0" w:color="auto"/>
      </w:divBdr>
      <w:divsChild>
        <w:div w:id="1911960579">
          <w:marLeft w:val="0"/>
          <w:marRight w:val="0"/>
          <w:marTop w:val="0"/>
          <w:marBottom w:val="0"/>
          <w:divBdr>
            <w:top w:val="none" w:sz="0" w:space="0" w:color="auto"/>
            <w:left w:val="none" w:sz="0" w:space="0" w:color="auto"/>
            <w:bottom w:val="none" w:sz="0" w:space="0" w:color="auto"/>
            <w:right w:val="none" w:sz="0" w:space="0" w:color="auto"/>
          </w:divBdr>
        </w:div>
      </w:divsChild>
    </w:div>
    <w:div w:id="1859467213">
      <w:bodyDiv w:val="1"/>
      <w:marLeft w:val="0"/>
      <w:marRight w:val="0"/>
      <w:marTop w:val="0"/>
      <w:marBottom w:val="0"/>
      <w:divBdr>
        <w:top w:val="none" w:sz="0" w:space="0" w:color="auto"/>
        <w:left w:val="none" w:sz="0" w:space="0" w:color="auto"/>
        <w:bottom w:val="none" w:sz="0" w:space="0" w:color="auto"/>
        <w:right w:val="none" w:sz="0" w:space="0" w:color="auto"/>
      </w:divBdr>
      <w:divsChild>
        <w:div w:id="1280456647">
          <w:marLeft w:val="0"/>
          <w:marRight w:val="0"/>
          <w:marTop w:val="0"/>
          <w:marBottom w:val="0"/>
          <w:divBdr>
            <w:top w:val="none" w:sz="0" w:space="0" w:color="auto"/>
            <w:left w:val="none" w:sz="0" w:space="0" w:color="auto"/>
            <w:bottom w:val="none" w:sz="0" w:space="0" w:color="auto"/>
            <w:right w:val="none" w:sz="0" w:space="0" w:color="auto"/>
          </w:divBdr>
        </w:div>
      </w:divsChild>
    </w:div>
    <w:div w:id="1864707759">
      <w:bodyDiv w:val="1"/>
      <w:marLeft w:val="161"/>
      <w:marRight w:val="161"/>
      <w:marTop w:val="0"/>
      <w:marBottom w:val="0"/>
      <w:divBdr>
        <w:top w:val="none" w:sz="0" w:space="0" w:color="auto"/>
        <w:left w:val="none" w:sz="0" w:space="0" w:color="auto"/>
        <w:bottom w:val="none" w:sz="0" w:space="0" w:color="auto"/>
        <w:right w:val="none" w:sz="0" w:space="0" w:color="auto"/>
      </w:divBdr>
      <w:divsChild>
        <w:div w:id="1976988720">
          <w:marLeft w:val="0"/>
          <w:marRight w:val="0"/>
          <w:marTop w:val="0"/>
          <w:marBottom w:val="0"/>
          <w:divBdr>
            <w:top w:val="none" w:sz="0" w:space="0" w:color="auto"/>
            <w:left w:val="none" w:sz="0" w:space="0" w:color="auto"/>
            <w:bottom w:val="none" w:sz="0" w:space="0" w:color="auto"/>
            <w:right w:val="none" w:sz="0" w:space="0" w:color="auto"/>
          </w:divBdr>
        </w:div>
      </w:divsChild>
    </w:div>
    <w:div w:id="1870558433">
      <w:bodyDiv w:val="1"/>
      <w:marLeft w:val="225"/>
      <w:marRight w:val="225"/>
      <w:marTop w:val="0"/>
      <w:marBottom w:val="0"/>
      <w:divBdr>
        <w:top w:val="none" w:sz="0" w:space="0" w:color="auto"/>
        <w:left w:val="none" w:sz="0" w:space="0" w:color="auto"/>
        <w:bottom w:val="none" w:sz="0" w:space="0" w:color="auto"/>
        <w:right w:val="none" w:sz="0" w:space="0" w:color="auto"/>
      </w:divBdr>
      <w:divsChild>
        <w:div w:id="1046367397">
          <w:marLeft w:val="0"/>
          <w:marRight w:val="0"/>
          <w:marTop w:val="0"/>
          <w:marBottom w:val="0"/>
          <w:divBdr>
            <w:top w:val="none" w:sz="0" w:space="0" w:color="auto"/>
            <w:left w:val="none" w:sz="0" w:space="0" w:color="auto"/>
            <w:bottom w:val="none" w:sz="0" w:space="0" w:color="auto"/>
            <w:right w:val="none" w:sz="0" w:space="0" w:color="auto"/>
          </w:divBdr>
        </w:div>
      </w:divsChild>
    </w:div>
    <w:div w:id="1882747163">
      <w:bodyDiv w:val="1"/>
      <w:marLeft w:val="161"/>
      <w:marRight w:val="161"/>
      <w:marTop w:val="0"/>
      <w:marBottom w:val="0"/>
      <w:divBdr>
        <w:top w:val="none" w:sz="0" w:space="0" w:color="auto"/>
        <w:left w:val="none" w:sz="0" w:space="0" w:color="auto"/>
        <w:bottom w:val="none" w:sz="0" w:space="0" w:color="auto"/>
        <w:right w:val="none" w:sz="0" w:space="0" w:color="auto"/>
      </w:divBdr>
      <w:divsChild>
        <w:div w:id="141234594">
          <w:marLeft w:val="0"/>
          <w:marRight w:val="0"/>
          <w:marTop w:val="0"/>
          <w:marBottom w:val="0"/>
          <w:divBdr>
            <w:top w:val="none" w:sz="0" w:space="0" w:color="auto"/>
            <w:left w:val="none" w:sz="0" w:space="0" w:color="auto"/>
            <w:bottom w:val="none" w:sz="0" w:space="0" w:color="auto"/>
            <w:right w:val="none" w:sz="0" w:space="0" w:color="auto"/>
          </w:divBdr>
        </w:div>
      </w:divsChild>
    </w:div>
    <w:div w:id="1911960189">
      <w:bodyDiv w:val="1"/>
      <w:marLeft w:val="161"/>
      <w:marRight w:val="161"/>
      <w:marTop w:val="0"/>
      <w:marBottom w:val="0"/>
      <w:divBdr>
        <w:top w:val="none" w:sz="0" w:space="0" w:color="auto"/>
        <w:left w:val="none" w:sz="0" w:space="0" w:color="auto"/>
        <w:bottom w:val="none" w:sz="0" w:space="0" w:color="auto"/>
        <w:right w:val="none" w:sz="0" w:space="0" w:color="auto"/>
      </w:divBdr>
      <w:divsChild>
        <w:div w:id="1669164796">
          <w:marLeft w:val="0"/>
          <w:marRight w:val="0"/>
          <w:marTop w:val="0"/>
          <w:marBottom w:val="0"/>
          <w:divBdr>
            <w:top w:val="none" w:sz="0" w:space="0" w:color="auto"/>
            <w:left w:val="none" w:sz="0" w:space="0" w:color="auto"/>
            <w:bottom w:val="none" w:sz="0" w:space="0" w:color="auto"/>
            <w:right w:val="none" w:sz="0" w:space="0" w:color="auto"/>
          </w:divBdr>
        </w:div>
      </w:divsChild>
    </w:div>
    <w:div w:id="1922639445">
      <w:bodyDiv w:val="1"/>
      <w:marLeft w:val="161"/>
      <w:marRight w:val="161"/>
      <w:marTop w:val="0"/>
      <w:marBottom w:val="0"/>
      <w:divBdr>
        <w:top w:val="none" w:sz="0" w:space="0" w:color="auto"/>
        <w:left w:val="none" w:sz="0" w:space="0" w:color="auto"/>
        <w:bottom w:val="none" w:sz="0" w:space="0" w:color="auto"/>
        <w:right w:val="none" w:sz="0" w:space="0" w:color="auto"/>
      </w:divBdr>
      <w:divsChild>
        <w:div w:id="1340304151">
          <w:marLeft w:val="0"/>
          <w:marRight w:val="0"/>
          <w:marTop w:val="0"/>
          <w:marBottom w:val="0"/>
          <w:divBdr>
            <w:top w:val="none" w:sz="0" w:space="0" w:color="auto"/>
            <w:left w:val="none" w:sz="0" w:space="0" w:color="auto"/>
            <w:bottom w:val="none" w:sz="0" w:space="0" w:color="auto"/>
            <w:right w:val="none" w:sz="0" w:space="0" w:color="auto"/>
          </w:divBdr>
        </w:div>
      </w:divsChild>
    </w:div>
    <w:div w:id="1925992348">
      <w:bodyDiv w:val="1"/>
      <w:marLeft w:val="0"/>
      <w:marRight w:val="0"/>
      <w:marTop w:val="0"/>
      <w:marBottom w:val="0"/>
      <w:divBdr>
        <w:top w:val="none" w:sz="0" w:space="0" w:color="auto"/>
        <w:left w:val="none" w:sz="0" w:space="0" w:color="auto"/>
        <w:bottom w:val="none" w:sz="0" w:space="0" w:color="auto"/>
        <w:right w:val="none" w:sz="0" w:space="0" w:color="auto"/>
      </w:divBdr>
      <w:divsChild>
        <w:div w:id="639310736">
          <w:marLeft w:val="0"/>
          <w:marRight w:val="0"/>
          <w:marTop w:val="0"/>
          <w:marBottom w:val="0"/>
          <w:divBdr>
            <w:top w:val="none" w:sz="0" w:space="0" w:color="auto"/>
            <w:left w:val="none" w:sz="0" w:space="0" w:color="auto"/>
            <w:bottom w:val="none" w:sz="0" w:space="0" w:color="auto"/>
            <w:right w:val="none" w:sz="0" w:space="0" w:color="auto"/>
          </w:divBdr>
        </w:div>
      </w:divsChild>
    </w:div>
    <w:div w:id="1932623328">
      <w:bodyDiv w:val="1"/>
      <w:marLeft w:val="161"/>
      <w:marRight w:val="161"/>
      <w:marTop w:val="0"/>
      <w:marBottom w:val="0"/>
      <w:divBdr>
        <w:top w:val="none" w:sz="0" w:space="0" w:color="auto"/>
        <w:left w:val="none" w:sz="0" w:space="0" w:color="auto"/>
        <w:bottom w:val="none" w:sz="0" w:space="0" w:color="auto"/>
        <w:right w:val="none" w:sz="0" w:space="0" w:color="auto"/>
      </w:divBdr>
      <w:divsChild>
        <w:div w:id="1986661687">
          <w:marLeft w:val="0"/>
          <w:marRight w:val="0"/>
          <w:marTop w:val="0"/>
          <w:marBottom w:val="0"/>
          <w:divBdr>
            <w:top w:val="none" w:sz="0" w:space="0" w:color="auto"/>
            <w:left w:val="none" w:sz="0" w:space="0" w:color="auto"/>
            <w:bottom w:val="none" w:sz="0" w:space="0" w:color="auto"/>
            <w:right w:val="none" w:sz="0" w:space="0" w:color="auto"/>
          </w:divBdr>
        </w:div>
      </w:divsChild>
    </w:div>
    <w:div w:id="1934128183">
      <w:bodyDiv w:val="1"/>
      <w:marLeft w:val="225"/>
      <w:marRight w:val="225"/>
      <w:marTop w:val="0"/>
      <w:marBottom w:val="0"/>
      <w:divBdr>
        <w:top w:val="none" w:sz="0" w:space="0" w:color="auto"/>
        <w:left w:val="none" w:sz="0" w:space="0" w:color="auto"/>
        <w:bottom w:val="none" w:sz="0" w:space="0" w:color="auto"/>
        <w:right w:val="none" w:sz="0" w:space="0" w:color="auto"/>
      </w:divBdr>
      <w:divsChild>
        <w:div w:id="335812169">
          <w:marLeft w:val="0"/>
          <w:marRight w:val="0"/>
          <w:marTop w:val="0"/>
          <w:marBottom w:val="0"/>
          <w:divBdr>
            <w:top w:val="none" w:sz="0" w:space="0" w:color="auto"/>
            <w:left w:val="none" w:sz="0" w:space="0" w:color="auto"/>
            <w:bottom w:val="none" w:sz="0" w:space="0" w:color="auto"/>
            <w:right w:val="none" w:sz="0" w:space="0" w:color="auto"/>
          </w:divBdr>
        </w:div>
      </w:divsChild>
    </w:div>
    <w:div w:id="1951546477">
      <w:bodyDiv w:val="1"/>
      <w:marLeft w:val="0"/>
      <w:marRight w:val="0"/>
      <w:marTop w:val="0"/>
      <w:marBottom w:val="0"/>
      <w:divBdr>
        <w:top w:val="none" w:sz="0" w:space="0" w:color="auto"/>
        <w:left w:val="none" w:sz="0" w:space="0" w:color="auto"/>
        <w:bottom w:val="none" w:sz="0" w:space="0" w:color="auto"/>
        <w:right w:val="none" w:sz="0" w:space="0" w:color="auto"/>
      </w:divBdr>
      <w:divsChild>
        <w:div w:id="1253776038">
          <w:marLeft w:val="0"/>
          <w:marRight w:val="0"/>
          <w:marTop w:val="0"/>
          <w:marBottom w:val="0"/>
          <w:divBdr>
            <w:top w:val="none" w:sz="0" w:space="0" w:color="auto"/>
            <w:left w:val="none" w:sz="0" w:space="0" w:color="auto"/>
            <w:bottom w:val="none" w:sz="0" w:space="0" w:color="auto"/>
            <w:right w:val="none" w:sz="0" w:space="0" w:color="auto"/>
          </w:divBdr>
        </w:div>
      </w:divsChild>
    </w:div>
    <w:div w:id="1977173112">
      <w:bodyDiv w:val="1"/>
      <w:marLeft w:val="161"/>
      <w:marRight w:val="161"/>
      <w:marTop w:val="0"/>
      <w:marBottom w:val="0"/>
      <w:divBdr>
        <w:top w:val="none" w:sz="0" w:space="0" w:color="auto"/>
        <w:left w:val="none" w:sz="0" w:space="0" w:color="auto"/>
        <w:bottom w:val="none" w:sz="0" w:space="0" w:color="auto"/>
        <w:right w:val="none" w:sz="0" w:space="0" w:color="auto"/>
      </w:divBdr>
      <w:divsChild>
        <w:div w:id="61174758">
          <w:marLeft w:val="0"/>
          <w:marRight w:val="0"/>
          <w:marTop w:val="0"/>
          <w:marBottom w:val="0"/>
          <w:divBdr>
            <w:top w:val="none" w:sz="0" w:space="0" w:color="auto"/>
            <w:left w:val="none" w:sz="0" w:space="0" w:color="auto"/>
            <w:bottom w:val="none" w:sz="0" w:space="0" w:color="auto"/>
            <w:right w:val="none" w:sz="0" w:space="0" w:color="auto"/>
          </w:divBdr>
        </w:div>
      </w:divsChild>
    </w:div>
    <w:div w:id="1987514308">
      <w:bodyDiv w:val="1"/>
      <w:marLeft w:val="161"/>
      <w:marRight w:val="161"/>
      <w:marTop w:val="0"/>
      <w:marBottom w:val="0"/>
      <w:divBdr>
        <w:top w:val="none" w:sz="0" w:space="0" w:color="auto"/>
        <w:left w:val="none" w:sz="0" w:space="0" w:color="auto"/>
        <w:bottom w:val="none" w:sz="0" w:space="0" w:color="auto"/>
        <w:right w:val="none" w:sz="0" w:space="0" w:color="auto"/>
      </w:divBdr>
      <w:divsChild>
        <w:div w:id="2002657966">
          <w:marLeft w:val="0"/>
          <w:marRight w:val="0"/>
          <w:marTop w:val="0"/>
          <w:marBottom w:val="0"/>
          <w:divBdr>
            <w:top w:val="none" w:sz="0" w:space="0" w:color="auto"/>
            <w:left w:val="none" w:sz="0" w:space="0" w:color="auto"/>
            <w:bottom w:val="none" w:sz="0" w:space="0" w:color="auto"/>
            <w:right w:val="none" w:sz="0" w:space="0" w:color="auto"/>
          </w:divBdr>
        </w:div>
      </w:divsChild>
    </w:div>
    <w:div w:id="1988851558">
      <w:bodyDiv w:val="1"/>
      <w:marLeft w:val="0"/>
      <w:marRight w:val="0"/>
      <w:marTop w:val="0"/>
      <w:marBottom w:val="0"/>
      <w:divBdr>
        <w:top w:val="none" w:sz="0" w:space="0" w:color="auto"/>
        <w:left w:val="none" w:sz="0" w:space="0" w:color="auto"/>
        <w:bottom w:val="none" w:sz="0" w:space="0" w:color="auto"/>
        <w:right w:val="none" w:sz="0" w:space="0" w:color="auto"/>
      </w:divBdr>
    </w:div>
    <w:div w:id="2018576858">
      <w:bodyDiv w:val="1"/>
      <w:marLeft w:val="161"/>
      <w:marRight w:val="161"/>
      <w:marTop w:val="0"/>
      <w:marBottom w:val="0"/>
      <w:divBdr>
        <w:top w:val="none" w:sz="0" w:space="0" w:color="auto"/>
        <w:left w:val="none" w:sz="0" w:space="0" w:color="auto"/>
        <w:bottom w:val="none" w:sz="0" w:space="0" w:color="auto"/>
        <w:right w:val="none" w:sz="0" w:space="0" w:color="auto"/>
      </w:divBdr>
      <w:divsChild>
        <w:div w:id="1820615293">
          <w:marLeft w:val="0"/>
          <w:marRight w:val="0"/>
          <w:marTop w:val="0"/>
          <w:marBottom w:val="0"/>
          <w:divBdr>
            <w:top w:val="none" w:sz="0" w:space="0" w:color="auto"/>
            <w:left w:val="none" w:sz="0" w:space="0" w:color="auto"/>
            <w:bottom w:val="none" w:sz="0" w:space="0" w:color="auto"/>
            <w:right w:val="none" w:sz="0" w:space="0" w:color="auto"/>
          </w:divBdr>
        </w:div>
      </w:divsChild>
    </w:div>
    <w:div w:id="2029478810">
      <w:bodyDiv w:val="1"/>
      <w:marLeft w:val="161"/>
      <w:marRight w:val="161"/>
      <w:marTop w:val="0"/>
      <w:marBottom w:val="0"/>
      <w:divBdr>
        <w:top w:val="none" w:sz="0" w:space="0" w:color="auto"/>
        <w:left w:val="none" w:sz="0" w:space="0" w:color="auto"/>
        <w:bottom w:val="none" w:sz="0" w:space="0" w:color="auto"/>
        <w:right w:val="none" w:sz="0" w:space="0" w:color="auto"/>
      </w:divBdr>
      <w:divsChild>
        <w:div w:id="219558328">
          <w:marLeft w:val="0"/>
          <w:marRight w:val="0"/>
          <w:marTop w:val="0"/>
          <w:marBottom w:val="0"/>
          <w:divBdr>
            <w:top w:val="none" w:sz="0" w:space="0" w:color="auto"/>
            <w:left w:val="none" w:sz="0" w:space="0" w:color="auto"/>
            <w:bottom w:val="none" w:sz="0" w:space="0" w:color="auto"/>
            <w:right w:val="none" w:sz="0" w:space="0" w:color="auto"/>
          </w:divBdr>
        </w:div>
      </w:divsChild>
    </w:div>
    <w:div w:id="2040160175">
      <w:bodyDiv w:val="1"/>
      <w:marLeft w:val="161"/>
      <w:marRight w:val="161"/>
      <w:marTop w:val="0"/>
      <w:marBottom w:val="0"/>
      <w:divBdr>
        <w:top w:val="none" w:sz="0" w:space="0" w:color="auto"/>
        <w:left w:val="none" w:sz="0" w:space="0" w:color="auto"/>
        <w:bottom w:val="none" w:sz="0" w:space="0" w:color="auto"/>
        <w:right w:val="none" w:sz="0" w:space="0" w:color="auto"/>
      </w:divBdr>
      <w:divsChild>
        <w:div w:id="1835366405">
          <w:marLeft w:val="0"/>
          <w:marRight w:val="0"/>
          <w:marTop w:val="0"/>
          <w:marBottom w:val="0"/>
          <w:divBdr>
            <w:top w:val="none" w:sz="0" w:space="0" w:color="auto"/>
            <w:left w:val="none" w:sz="0" w:space="0" w:color="auto"/>
            <w:bottom w:val="none" w:sz="0" w:space="0" w:color="auto"/>
            <w:right w:val="none" w:sz="0" w:space="0" w:color="auto"/>
          </w:divBdr>
        </w:div>
      </w:divsChild>
    </w:div>
    <w:div w:id="2044472720">
      <w:bodyDiv w:val="1"/>
      <w:marLeft w:val="161"/>
      <w:marRight w:val="161"/>
      <w:marTop w:val="0"/>
      <w:marBottom w:val="0"/>
      <w:divBdr>
        <w:top w:val="none" w:sz="0" w:space="0" w:color="auto"/>
        <w:left w:val="none" w:sz="0" w:space="0" w:color="auto"/>
        <w:bottom w:val="none" w:sz="0" w:space="0" w:color="auto"/>
        <w:right w:val="none" w:sz="0" w:space="0" w:color="auto"/>
      </w:divBdr>
      <w:divsChild>
        <w:div w:id="1928612342">
          <w:marLeft w:val="0"/>
          <w:marRight w:val="0"/>
          <w:marTop w:val="0"/>
          <w:marBottom w:val="0"/>
          <w:divBdr>
            <w:top w:val="none" w:sz="0" w:space="0" w:color="auto"/>
            <w:left w:val="none" w:sz="0" w:space="0" w:color="auto"/>
            <w:bottom w:val="none" w:sz="0" w:space="0" w:color="auto"/>
            <w:right w:val="none" w:sz="0" w:space="0" w:color="auto"/>
          </w:divBdr>
        </w:div>
      </w:divsChild>
    </w:div>
    <w:div w:id="2047680446">
      <w:bodyDiv w:val="1"/>
      <w:marLeft w:val="161"/>
      <w:marRight w:val="161"/>
      <w:marTop w:val="0"/>
      <w:marBottom w:val="0"/>
      <w:divBdr>
        <w:top w:val="none" w:sz="0" w:space="0" w:color="auto"/>
        <w:left w:val="none" w:sz="0" w:space="0" w:color="auto"/>
        <w:bottom w:val="none" w:sz="0" w:space="0" w:color="auto"/>
        <w:right w:val="none" w:sz="0" w:space="0" w:color="auto"/>
      </w:divBdr>
      <w:divsChild>
        <w:div w:id="1676306222">
          <w:marLeft w:val="0"/>
          <w:marRight w:val="0"/>
          <w:marTop w:val="0"/>
          <w:marBottom w:val="0"/>
          <w:divBdr>
            <w:top w:val="none" w:sz="0" w:space="0" w:color="auto"/>
            <w:left w:val="none" w:sz="0" w:space="0" w:color="auto"/>
            <w:bottom w:val="none" w:sz="0" w:space="0" w:color="auto"/>
            <w:right w:val="none" w:sz="0" w:space="0" w:color="auto"/>
          </w:divBdr>
        </w:div>
      </w:divsChild>
    </w:div>
    <w:div w:id="2051373604">
      <w:bodyDiv w:val="1"/>
      <w:marLeft w:val="0"/>
      <w:marRight w:val="0"/>
      <w:marTop w:val="0"/>
      <w:marBottom w:val="0"/>
      <w:divBdr>
        <w:top w:val="none" w:sz="0" w:space="0" w:color="auto"/>
        <w:left w:val="none" w:sz="0" w:space="0" w:color="auto"/>
        <w:bottom w:val="none" w:sz="0" w:space="0" w:color="auto"/>
        <w:right w:val="none" w:sz="0" w:space="0" w:color="auto"/>
      </w:divBdr>
      <w:divsChild>
        <w:div w:id="533663171">
          <w:marLeft w:val="0"/>
          <w:marRight w:val="0"/>
          <w:marTop w:val="0"/>
          <w:marBottom w:val="0"/>
          <w:divBdr>
            <w:top w:val="none" w:sz="0" w:space="0" w:color="auto"/>
            <w:left w:val="none" w:sz="0" w:space="0" w:color="auto"/>
            <w:bottom w:val="none" w:sz="0" w:space="0" w:color="auto"/>
            <w:right w:val="none" w:sz="0" w:space="0" w:color="auto"/>
          </w:divBdr>
        </w:div>
      </w:divsChild>
    </w:div>
    <w:div w:id="2085451959">
      <w:bodyDiv w:val="1"/>
      <w:marLeft w:val="161"/>
      <w:marRight w:val="161"/>
      <w:marTop w:val="0"/>
      <w:marBottom w:val="0"/>
      <w:divBdr>
        <w:top w:val="none" w:sz="0" w:space="0" w:color="auto"/>
        <w:left w:val="none" w:sz="0" w:space="0" w:color="auto"/>
        <w:bottom w:val="none" w:sz="0" w:space="0" w:color="auto"/>
        <w:right w:val="none" w:sz="0" w:space="0" w:color="auto"/>
      </w:divBdr>
      <w:divsChild>
        <w:div w:id="1497719955">
          <w:marLeft w:val="0"/>
          <w:marRight w:val="0"/>
          <w:marTop w:val="0"/>
          <w:marBottom w:val="0"/>
          <w:divBdr>
            <w:top w:val="none" w:sz="0" w:space="0" w:color="auto"/>
            <w:left w:val="none" w:sz="0" w:space="0" w:color="auto"/>
            <w:bottom w:val="none" w:sz="0" w:space="0" w:color="auto"/>
            <w:right w:val="none" w:sz="0" w:space="0" w:color="auto"/>
          </w:divBdr>
        </w:div>
      </w:divsChild>
    </w:div>
    <w:div w:id="2092115981">
      <w:bodyDiv w:val="1"/>
      <w:marLeft w:val="161"/>
      <w:marRight w:val="161"/>
      <w:marTop w:val="0"/>
      <w:marBottom w:val="0"/>
      <w:divBdr>
        <w:top w:val="none" w:sz="0" w:space="0" w:color="auto"/>
        <w:left w:val="none" w:sz="0" w:space="0" w:color="auto"/>
        <w:bottom w:val="none" w:sz="0" w:space="0" w:color="auto"/>
        <w:right w:val="none" w:sz="0" w:space="0" w:color="auto"/>
      </w:divBdr>
      <w:divsChild>
        <w:div w:id="1333951683">
          <w:marLeft w:val="0"/>
          <w:marRight w:val="0"/>
          <w:marTop w:val="0"/>
          <w:marBottom w:val="0"/>
          <w:divBdr>
            <w:top w:val="none" w:sz="0" w:space="0" w:color="auto"/>
            <w:left w:val="none" w:sz="0" w:space="0" w:color="auto"/>
            <w:bottom w:val="none" w:sz="0" w:space="0" w:color="auto"/>
            <w:right w:val="none" w:sz="0" w:space="0" w:color="auto"/>
          </w:divBdr>
        </w:div>
      </w:divsChild>
    </w:div>
    <w:div w:id="2097089889">
      <w:bodyDiv w:val="1"/>
      <w:marLeft w:val="161"/>
      <w:marRight w:val="161"/>
      <w:marTop w:val="0"/>
      <w:marBottom w:val="0"/>
      <w:divBdr>
        <w:top w:val="none" w:sz="0" w:space="0" w:color="auto"/>
        <w:left w:val="none" w:sz="0" w:space="0" w:color="auto"/>
        <w:bottom w:val="none" w:sz="0" w:space="0" w:color="auto"/>
        <w:right w:val="none" w:sz="0" w:space="0" w:color="auto"/>
      </w:divBdr>
      <w:divsChild>
        <w:div w:id="969936790">
          <w:marLeft w:val="0"/>
          <w:marRight w:val="0"/>
          <w:marTop w:val="0"/>
          <w:marBottom w:val="0"/>
          <w:divBdr>
            <w:top w:val="none" w:sz="0" w:space="0" w:color="auto"/>
            <w:left w:val="none" w:sz="0" w:space="0" w:color="auto"/>
            <w:bottom w:val="none" w:sz="0" w:space="0" w:color="auto"/>
            <w:right w:val="none" w:sz="0" w:space="0" w:color="auto"/>
          </w:divBdr>
        </w:div>
      </w:divsChild>
    </w:div>
    <w:div w:id="2099597878">
      <w:bodyDiv w:val="1"/>
      <w:marLeft w:val="0"/>
      <w:marRight w:val="0"/>
      <w:marTop w:val="0"/>
      <w:marBottom w:val="0"/>
      <w:divBdr>
        <w:top w:val="none" w:sz="0" w:space="0" w:color="auto"/>
        <w:left w:val="none" w:sz="0" w:space="0" w:color="auto"/>
        <w:bottom w:val="none" w:sz="0" w:space="0" w:color="auto"/>
        <w:right w:val="none" w:sz="0" w:space="0" w:color="auto"/>
      </w:divBdr>
      <w:divsChild>
        <w:div w:id="429130355">
          <w:marLeft w:val="0"/>
          <w:marRight w:val="0"/>
          <w:marTop w:val="0"/>
          <w:marBottom w:val="0"/>
          <w:divBdr>
            <w:top w:val="none" w:sz="0" w:space="0" w:color="auto"/>
            <w:left w:val="none" w:sz="0" w:space="0" w:color="auto"/>
            <w:bottom w:val="none" w:sz="0" w:space="0" w:color="auto"/>
            <w:right w:val="none" w:sz="0" w:space="0" w:color="auto"/>
          </w:divBdr>
        </w:div>
      </w:divsChild>
    </w:div>
    <w:div w:id="2101102404">
      <w:bodyDiv w:val="1"/>
      <w:marLeft w:val="161"/>
      <w:marRight w:val="161"/>
      <w:marTop w:val="0"/>
      <w:marBottom w:val="0"/>
      <w:divBdr>
        <w:top w:val="none" w:sz="0" w:space="0" w:color="auto"/>
        <w:left w:val="none" w:sz="0" w:space="0" w:color="auto"/>
        <w:bottom w:val="none" w:sz="0" w:space="0" w:color="auto"/>
        <w:right w:val="none" w:sz="0" w:space="0" w:color="auto"/>
      </w:divBdr>
      <w:divsChild>
        <w:div w:id="1018233632">
          <w:marLeft w:val="0"/>
          <w:marRight w:val="0"/>
          <w:marTop w:val="0"/>
          <w:marBottom w:val="0"/>
          <w:divBdr>
            <w:top w:val="none" w:sz="0" w:space="0" w:color="auto"/>
            <w:left w:val="none" w:sz="0" w:space="0" w:color="auto"/>
            <w:bottom w:val="none" w:sz="0" w:space="0" w:color="auto"/>
            <w:right w:val="none" w:sz="0" w:space="0" w:color="auto"/>
          </w:divBdr>
        </w:div>
      </w:divsChild>
    </w:div>
    <w:div w:id="2114548639">
      <w:bodyDiv w:val="1"/>
      <w:marLeft w:val="161"/>
      <w:marRight w:val="161"/>
      <w:marTop w:val="0"/>
      <w:marBottom w:val="0"/>
      <w:divBdr>
        <w:top w:val="none" w:sz="0" w:space="0" w:color="auto"/>
        <w:left w:val="none" w:sz="0" w:space="0" w:color="auto"/>
        <w:bottom w:val="none" w:sz="0" w:space="0" w:color="auto"/>
        <w:right w:val="none" w:sz="0" w:space="0" w:color="auto"/>
      </w:divBdr>
      <w:divsChild>
        <w:div w:id="1370834969">
          <w:marLeft w:val="0"/>
          <w:marRight w:val="0"/>
          <w:marTop w:val="0"/>
          <w:marBottom w:val="0"/>
          <w:divBdr>
            <w:top w:val="none" w:sz="0" w:space="0" w:color="auto"/>
            <w:left w:val="none" w:sz="0" w:space="0" w:color="auto"/>
            <w:bottom w:val="none" w:sz="0" w:space="0" w:color="auto"/>
            <w:right w:val="none" w:sz="0" w:space="0" w:color="auto"/>
          </w:divBdr>
        </w:div>
      </w:divsChild>
    </w:div>
    <w:div w:id="2143572811">
      <w:bodyDiv w:val="1"/>
      <w:marLeft w:val="161"/>
      <w:marRight w:val="161"/>
      <w:marTop w:val="0"/>
      <w:marBottom w:val="0"/>
      <w:divBdr>
        <w:top w:val="none" w:sz="0" w:space="0" w:color="auto"/>
        <w:left w:val="none" w:sz="0" w:space="0" w:color="auto"/>
        <w:bottom w:val="none" w:sz="0" w:space="0" w:color="auto"/>
        <w:right w:val="none" w:sz="0" w:space="0" w:color="auto"/>
      </w:divBdr>
      <w:divsChild>
        <w:div w:id="186944085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yperlink" TargetMode="External" Target="https://www.e-tar.lt/portal/legalAct.html?documentId=988da5e0429d11ea829bc2bea81c1194"/>
  <Relationship Id="rId8" Type="http://schemas.openxmlformats.org/officeDocument/2006/relationships/hyperlink" TargetMode="External" Target="http://www3.lrs.lt/cgi-bin/preps2?a=403087&amp;b="/>
  <Relationship Id="rId9" Type="http://schemas.openxmlformats.org/officeDocument/2006/relationships/hyperlink" TargetMode="External" Target="https://www.e-tar.lt/portal/legalAct.html?documentId=fa6431f0ac8f11e6b844f0f29024f5ac"/>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lentele" DocPartId="b45d556f0e2744a5bc689d4a8989c927" PartId="3f27bb3c4b694b83a445098aa97058fb"/>
  <Part Type="pastraipa" DocPartId="f06aff7f5b624b42a56b2b692208582b" PartId="4454171c8fde40a6b9e1c97d25cb3421"/>
</Parts>
</file>

<file path=customXml/itemProps1.xml><?xml version="1.0" encoding="utf-8"?>
<ds:datastoreItem xmlns:ds="http://schemas.openxmlformats.org/officeDocument/2006/customXml" ds:itemID="{1EFB951A-9D7A-4DDB-B06D-6F1E5F3831F3}">
  <ds:schemaRefs>
    <ds:schemaRef ds:uri="http://schemas.openxmlformats.org/officeDocument/2006/bibliography"/>
  </ds:schemaRefs>
</ds:datastoreItem>
</file>

<file path=customXml/itemProps2.xml><?xml version="1.0" encoding="utf-8"?>
<ds:datastoreItem xmlns:ds="http://schemas.openxmlformats.org/officeDocument/2006/customXml" ds:itemID="{C594CE21-515F-4ED3-AB35-304BA04B3CB8}">
  <ds:schemaRefs>
    <ds:schemaRef ds:uri="http://lrs.lt/TAIS/DocParts"/>
  </ds:schemaRefs>
</ds:datastoreItem>
</file>

<file path=docMetadata/LabelInfo.xml><?xml version="1.0" encoding="utf-8"?>
<clbl:labelList xmlns:clbl="http://schemas.microsoft.com/office/2020/mipLabelMetadata">
  <clbl:label id="{3d7caaaa-5b58-4151-a93c-a7beabc3b2f0}" enabled="1" method="Privileged" siteId="{6062c8a2-d353-46c2-92d8-0dd75d1f4b63}" contentBits="2"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3</Pages>
  <Words>2320</Words>
  <Characters>16220</Characters>
  <Application>Microsoft Office Word</Application>
  <DocSecurity>4</DocSecurity>
  <Lines>426</Lines>
  <Paragraphs>167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Europos Sąjungos reikalų</vt:lpstr>
      <vt:lpstr>Europos Sąjungos reikalų</vt:lpstr>
    </vt:vector>
  </TitlesOfParts>
  <Company>Soc. apsaugos ir darbo min.</Company>
  <LinksUpToDate>false</LinksUpToDate>
  <CharactersWithSpaces>18373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2026-03-05T11:33:00Z</dcterms:created>
  <dc:creator>LR SADM</dc:creator>
  <lastModifiedBy>adlibuser</lastModifiedBy>
  <lastPrinted>2012-08-08T11:13:00Z</lastPrinted>
  <dcterms:modified xsi:type="dcterms:W3CDTF">2026-03-05T11:33:00Z</dcterms:modified>
  <revision>2</revision>
  <dc:title>Europos Sąjungos reikalų</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FooterShapeIds">
    <vt:lpwstr>46f58453,705d91cd,10d031e4</vt:lpwstr>
  </property>
  <property fmtid="{D5CDD505-2E9C-101B-9397-08002B2CF9AE}" pid="3" name="ClassificationContentMarkingFooterFontProps">
    <vt:lpwstr>#000000,10,Aptos</vt:lpwstr>
  </property>
  <property fmtid="{D5CDD505-2E9C-101B-9397-08002B2CF9AE}" pid="4" name="ClassificationContentMarkingFooterText">
    <vt:lpwstr>Socialinės apsaugos ir darbo ministerija bei pavaldžios įstaigos | Viešam naudojimui</vt:lpwstr>
  </property>
</Properties>
</file>