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6184322532e4b1ea53b4a5c465f6597"/>
        <w:lock w:val="sdtLocked"/>
        <w:richText/>
      </w:sdtPr>
      <w:sdtContent>
        <w:p>
          <w:pPr>
            <w:jc w:val="center"/>
            <w:rPr>
              <w:b/>
              <w:szCs w:val="24"/>
              <w:lang w:eastAsia="lt-LT"/>
            </w:rPr>
          </w:pPr>
          <w:r>
            <w:rPr>
              <w:b/>
              <w:caps/>
              <w:szCs w:val="24"/>
              <w:lang w:eastAsia="lt-LT"/>
            </w:rPr>
            <w:t xml:space="preserve">direktyvOS  2000/78/EB IR </w:t>
          </w:r>
          <w:r>
            <w:rPr>
              <w:b/>
              <w:bCs/>
              <w:szCs w:val="24"/>
              <w:lang w:val="es-ES" w:eastAsia="lt-LT" w:bidi="lt-LT"/>
            </w:rPr>
            <w:t>NACIONALINIŲ TEISĖS AKTŲ ATITIKTIES LENTELĖ</w:t>
          </w:r>
        </w:p>
        <w:p>
          <w:pPr>
            <w:rPr>
              <w:szCs w:val="24"/>
              <w:lang w:eastAsia="lt-LT"/>
            </w:rPr>
          </w:pPr>
        </w:p>
        <w:tbl>
          <w:tblPr>
            <w:tblW w:w="151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10"/>
            <w:gridCol w:w="7110"/>
            <w:gridCol w:w="1800"/>
          </w:tblGrid>
          <w:tr>
            <w:trPr>
              <w:trHeight w:val="1289"/>
            </w:trPr>
            <w:tc>
              <w:tcPr>
                <w:tcW w:w="6210" w:type="dxa"/>
              </w:tcPr>
              <w:p>
                <w:pPr>
                  <w:rPr>
                    <w:b/>
                    <w:bCs/>
                    <w:szCs w:val="24"/>
                    <w:lang w:eastAsia="lt-LT"/>
                  </w:rPr>
                </w:pPr>
                <w:r>
                  <w:rPr>
                    <w:b/>
                    <w:bCs/>
                    <w:szCs w:val="24"/>
                    <w:lang w:eastAsia="lt-LT"/>
                  </w:rPr>
                  <w:t xml:space="preserve">2000 m. lapkričio 27 d. Tarybos direktyva </w:t>
                </w:r>
                <w:fldSimple w:instr="HYPERLINK http://eur-lex.europa.eu/legal-content/LIT/TXT/?uri=CELEX:32000L0078&amp;locale=lt \t _blank">
                  <w:r>
                    <w:rPr>
                      <w:b/>
                      <w:bCs/>
                      <w:szCs w:val="24"/>
                      <w:lang w:eastAsia="lt-LT"/>
                      <w:u w:val="single"/>
                      <w:color w:val="0000FF" w:themeColor="hyperlink"/>
                    </w:rPr>
                    <w:t>2000/78/EB</w:t>
                  </w:r>
                </w:fldSimple>
                <w:r>
                  <w:rPr>
                    <w:b/>
                    <w:bCs/>
                    <w:szCs w:val="24"/>
                    <w:lang w:eastAsia="lt-LT"/>
                  </w:rPr>
                  <w:t>, nustatanti vienodo požiūrio užimtumo ir profesinėje srityje bendruosius pagrindus</w:t>
                </w:r>
              </w:p>
            </w:tc>
            <w:tc>
              <w:tcPr>
                <w:tcW w:w="7110" w:type="dxa"/>
              </w:tcPr>
              <w:p>
                <w:pPr>
                  <w:ind w:left="360" w:hanging="360"/>
                  <w:jc w:val="both"/>
                  <w:rPr>
                    <w:b/>
                    <w:bCs/>
                    <w:szCs w:val="24"/>
                    <w:lang w:eastAsia="lt-LT"/>
                  </w:rPr>
                </w:pPr>
                <w:r>
                  <w:rPr>
                    <w:b/>
                    <w:bCs/>
                    <w:szCs w:val="24"/>
                    <w:lang w:eastAsia="lt-LT"/>
                  </w:rPr>
                  <w:t>1.</w:t>
                  <w:tab/>
                  <w:t>Lietuvos Respublikos lygių galimybių įstatymo Nr. IX-1826 pakeitimo įstatymo projektas (toliau – Projektas)</w:t>
                </w:r>
              </w:p>
              <w:p>
                <w:pPr>
                  <w:jc w:val="both"/>
                  <w:rPr>
                    <w:b/>
                    <w:bCs/>
                    <w:szCs w:val="24"/>
                    <w:lang w:eastAsia="lt-LT"/>
                  </w:rPr>
                </w:pPr>
              </w:p>
              <w:p>
                <w:pPr>
                  <w:jc w:val="both"/>
                  <w:rPr>
                    <w:lang w:eastAsia="lt-LT"/>
                  </w:rPr>
                </w:pPr>
                <w:r>
                  <w:rPr>
                    <w:lang w:eastAsia="lt-LT"/>
                  </w:rPr>
                  <w:t>2. Lietuvos Respublikos darbo kodekso patvirtinimo, įsigaliojimo ir įgyvendinimo įstatymas Nr. XII-2603 (toliau – DK) (suvestinė redakcija nuo 2025-01-01)</w:t>
                </w:r>
              </w:p>
              <w:p/>
              <w:p>
                <w:pPr>
                  <w:jc w:val="both"/>
                  <w:rPr>
                    <w:lang w:eastAsia="lt-LT"/>
                  </w:rPr>
                </w:pPr>
                <w:r>
                  <w:rPr>
                    <w:lang w:eastAsia="lt-LT"/>
                  </w:rPr>
                  <w:t>3. Lietuvos Respublikos civilinio kodekso patvirtinimo, įsigaliojimo ir įgyvendinimo įstatymas. Civilinis kodeksas (toliau – Civilinis kodeksas) (suvestinė redakcija 2025-04-17 - 2025-08-31)</w:t>
                </w:r>
              </w:p>
              <w:p/>
              <w:p>
                <w:pPr>
                  <w:jc w:val="both"/>
                  <w:rPr>
                    <w:szCs w:val="24"/>
                    <w:lang w:eastAsia="lt-LT"/>
                  </w:rPr>
                </w:pPr>
                <w:r>
                  <w:rPr>
                    <w:szCs w:val="24"/>
                    <w:lang w:eastAsia="lt-LT"/>
                  </w:rPr>
                  <w:t>4. Lietuvos Respublikos valstybės tarnybos įstatymas Nr. VIII-1316 (toliau – Valstybės tarnybos įstatymas)</w:t>
                </w:r>
              </w:p>
              <w:p>
                <w:pPr>
                  <w:jc w:val="both"/>
                  <w:rPr>
                    <w:szCs w:val="24"/>
                    <w:lang w:eastAsia="lt-LT"/>
                  </w:rPr>
                </w:pPr>
              </w:p>
              <w:p>
                <w:pPr>
                  <w:jc w:val="both"/>
                  <w:rPr>
                    <w:szCs w:val="24"/>
                    <w:lang w:eastAsia="lt-LT"/>
                  </w:rPr>
                </w:pPr>
                <w:r>
                  <w:rPr>
                    <w:szCs w:val="24"/>
                    <w:lang w:eastAsia="lt-LT"/>
                  </w:rPr>
                  <w:t>5. Lietuvos Respublikos krašto apsaugos sistemos organizavimo ir karo tarnybos įstatymas Nr. VIII-723 (Krašto apsaugos sistemos organizavimo ir karo tarnybos įstatymas) (Suvestinė redakcija 2025-07-01 – 2025-12-31)</w:t>
                </w:r>
              </w:p>
              <w:p>
                <w:pPr>
                  <w:jc w:val="both"/>
                  <w:rPr>
                    <w:szCs w:val="24"/>
                    <w:lang w:eastAsia="lt-LT"/>
                  </w:rPr>
                </w:pPr>
              </w:p>
              <w:p>
                <w:pPr>
                  <w:jc w:val="both"/>
                  <w:rPr>
                    <w:szCs w:val="24"/>
                    <w:lang w:val="es-ES"/>
                  </w:rPr>
                </w:pPr>
                <w:r>
                  <w:rPr>
                    <w:szCs w:val="24"/>
                  </w:rPr>
                  <w:t xml:space="preserve">6. Lietuvos Respublikos diplomatinės tarnybos įstatymas Nr. VIII-1012  (toliau - Diplomatinės tarnybos įstatymas) (Suvestinė redakcija 2025-07-01 – 2025-12-31)</w:t>
                </w:r>
              </w:p>
              <w:p>
                <w:pPr>
                  <w:jc w:val="both"/>
                  <w:rPr>
                    <w:szCs w:val="24"/>
                    <w:lang w:eastAsia="lt-LT"/>
                  </w:rPr>
                </w:pPr>
              </w:p>
              <w:p>
                <w:pPr>
                  <w:jc w:val="both"/>
                  <w:rPr>
                    <w:rFonts w:eastAsia="Arial Unicode MS"/>
                    <w:szCs w:val="24"/>
                  </w:rPr>
                </w:pPr>
                <w:r>
                  <w:rPr>
                    <w:szCs w:val="24"/>
                    <w:lang w:eastAsia="lt-LT"/>
                  </w:rPr>
                  <w:t>7. Lietuvos Respublikos teismų įstatymas Nr. I-480 (toliau – Teismų įstatymas)</w:t>
                </w:r>
              </w:p>
              <w:p>
                <w:pPr>
                  <w:jc w:val="both"/>
                  <w:rPr>
                    <w:szCs w:val="24"/>
                    <w:lang w:eastAsia="lt-LT"/>
                  </w:rPr>
                </w:pPr>
              </w:p>
              <w:p>
                <w:pPr>
                  <w:jc w:val="both"/>
                  <w:rPr>
                    <w:szCs w:val="24"/>
                    <w:lang w:val="en-US" w:eastAsia="lt-LT"/>
                  </w:rPr>
                </w:pPr>
                <w:r>
                  <w:rPr>
                    <w:szCs w:val="24"/>
                    <w:lang w:eastAsia="lt-LT"/>
                  </w:rPr>
                  <w:t>8. Lietuvos Respublikos neįgaliųjų socialinės integracijos įstatymo Nr. I-2044 pakeitimo įstatymas Nr. XIV-1722 (toliau – Įstatymas Nr. XIV-</w:t>
                </w:r>
                <w:r>
                  <w:rPr>
                    <w:szCs w:val="24"/>
                    <w:lang w:val="en-US" w:eastAsia="lt-LT"/>
                  </w:rPr>
                  <w:t>1722)</w:t>
                </w:r>
              </w:p>
              <w:p>
                <w:pPr>
                  <w:jc w:val="both"/>
                  <w:rPr>
                    <w:b/>
                    <w:szCs w:val="24"/>
                    <w:lang w:eastAsia="lt-LT"/>
                  </w:rPr>
                </w:pPr>
              </w:p>
              <w:p>
                <w:pPr>
                  <w:jc w:val="both"/>
                  <w:rPr>
                    <w:b/>
                    <w:bCs/>
                    <w:szCs w:val="24"/>
                    <w:lang w:eastAsia="lt-LT"/>
                  </w:rPr>
                </w:pPr>
              </w:p>
              <w:p>
                <w:pPr>
                  <w:jc w:val="both"/>
                  <w:rPr>
                    <w:b/>
                    <w:bCs/>
                    <w:szCs w:val="24"/>
                    <w:lang w:eastAsia="lt-LT"/>
                  </w:rPr>
                </w:pPr>
              </w:p>
              <w:p>
                <w:pPr>
                  <w:jc w:val="both"/>
                  <w:rPr>
                    <w:b/>
                    <w:szCs w:val="24"/>
                    <w:lang w:eastAsia="lt-LT"/>
                  </w:rPr>
                </w:pPr>
              </w:p>
            </w:tc>
            <w:tc>
              <w:tcPr>
                <w:tcW w:w="1800" w:type="dxa"/>
              </w:tcPr>
              <w:p>
                <w:pPr>
                  <w:tabs>
                    <w:tab w:val="center" w:pos="4153"/>
                    <w:tab w:val="right" w:pos="8306"/>
                  </w:tabs>
                  <w:rPr>
                    <w:b/>
                    <w:bCs/>
                    <w:szCs w:val="24"/>
                    <w:lang w:eastAsia="lt-LT"/>
                  </w:rPr>
                </w:pPr>
                <w:r>
                  <w:rPr>
                    <w:b/>
                    <w:bCs/>
                    <w:szCs w:val="24"/>
                    <w:lang w:eastAsia="lt-LT"/>
                  </w:rPr>
                  <w:t xml:space="preserve">Europos Sąjungos teisės akto perkėlimo (įgyvendinimo) lygis </w:t>
                </w:r>
              </w:p>
            </w:tc>
          </w:tr>
          <w:tr>
            <w:trPr>
              <w:trHeight w:val="17663"/>
            </w:trPr>
            <w:tc>
              <w:tcPr>
                <w:tcW w:w="6210" w:type="dxa"/>
              </w:tcPr>
              <w:p>
                <w:pPr>
                  <w:jc w:val="both"/>
                  <w:rPr>
                    <w:b/>
                    <w:bCs/>
                    <w:iCs/>
                    <w:szCs w:val="24"/>
                    <w:lang w:eastAsia="lt-LT"/>
                  </w:rPr>
                </w:pPr>
                <w:r>
                  <w:rPr>
                    <w:b/>
                    <w:bCs/>
                    <w:iCs/>
                    <w:szCs w:val="24"/>
                    <w:lang w:eastAsia="lt-LT"/>
                  </w:rPr>
                  <w:t>2 straipsnis</w:t>
                </w:r>
              </w:p>
              <w:p>
                <w:pPr>
                  <w:jc w:val="both"/>
                  <w:rPr>
                    <w:b/>
                    <w:bCs/>
                    <w:iCs/>
                    <w:szCs w:val="24"/>
                    <w:lang w:eastAsia="lt-LT"/>
                  </w:rPr>
                </w:pPr>
                <w:r>
                  <w:rPr>
                    <w:b/>
                    <w:bCs/>
                    <w:iCs/>
                    <w:szCs w:val="24"/>
                    <w:lang w:eastAsia="lt-LT"/>
                  </w:rPr>
                  <w:t>Diskriminacijos sąvoka</w:t>
                </w:r>
              </w:p>
              <w:p>
                <w:pPr>
                  <w:jc w:val="both"/>
                  <w:rPr>
                    <w:szCs w:val="24"/>
                    <w:lang w:eastAsia="lt-LT"/>
                  </w:rPr>
                </w:pPr>
                <w:r>
                  <w:rPr>
                    <w:szCs w:val="24"/>
                    <w:lang w:eastAsia="lt-LT"/>
                  </w:rPr>
                  <w:t>1. Šioje direktyvoje „vienodo požiūrio principas“ reiškia, kad dėl kurios nors iš 1 straipsnyje nurodytų priežasčių nėra jokios tiesioginės ar netiesioginės diskriminacijos.</w:t>
                </w:r>
              </w:p>
              <w:p>
                <w:pPr>
                  <w:jc w:val="both"/>
                  <w:rPr>
                    <w:szCs w:val="24"/>
                    <w:lang w:eastAsia="lt-LT"/>
                  </w:rPr>
                </w:pPr>
              </w:p>
              <w:p>
                <w:pPr>
                  <w:jc w:val="both"/>
                  <w:rPr>
                    <w:szCs w:val="24"/>
                    <w:lang w:eastAsia="lt-LT"/>
                  </w:rPr>
                </w:pPr>
                <w:r>
                  <w:rPr>
                    <w:szCs w:val="24"/>
                    <w:lang w:eastAsia="lt-LT"/>
                  </w:rPr>
                  <w:t>2. Šio straipsnio 1 dalyje:</w:t>
                </w:r>
              </w:p>
              <w:p>
                <w:pPr>
                  <w:jc w:val="both"/>
                  <w:rPr>
                    <w:szCs w:val="24"/>
                    <w:lang w:eastAsia="lt-LT"/>
                  </w:rPr>
                </w:pPr>
                <w:r>
                  <w:rPr>
                    <w:szCs w:val="24"/>
                    <w:lang w:eastAsia="lt-LT"/>
                  </w:rPr>
                  <w:t>a) tiesioginė diskriminacija yra akivaizdi tada, kai dėl bet kurios iš 1 straipsnyje nurodytų priežasčių su vienu asmeniu elgiamasi mažiau palankiai nei panašioje situacijoje yra, buvo ar galėjo būti elgiamasi su kitu asmeniu;</w:t>
                </w:r>
              </w:p>
              <w:p>
                <w:pPr>
                  <w:jc w:val="both"/>
                  <w:rPr>
                    <w:szCs w:val="24"/>
                    <w:lang w:eastAsia="lt-LT"/>
                  </w:rPr>
                </w:pPr>
                <w:r>
                  <w:rPr>
                    <w:szCs w:val="24"/>
                    <w:lang w:eastAsia="lt-LT"/>
                  </w:rPr>
                  <w:t>b) netiesioginė diskriminacija yra akivaizdi tada, kai dėl akivaizdžiai neutralių sąlygų, kriterijų ar taikomos praktikos tam tikrą religiją ar įsitikinimus išpažįstantys, tam tikrą negalią turintys, tam tikro amžiaus ar tam tikros seksualinės orientacijos asmenys gali patekti tam tikru atžvilgiu į prastesnę padėtį nei kiti asmenys, nebent:</w:t>
                </w:r>
              </w:p>
              <w:p>
                <w:pPr>
                  <w:jc w:val="both"/>
                  <w:rPr>
                    <w:szCs w:val="24"/>
                    <w:lang w:eastAsia="lt-LT"/>
                  </w:rPr>
                </w:pPr>
                <w:r>
                  <w:rPr>
                    <w:szCs w:val="24"/>
                    <w:lang w:eastAsia="lt-LT"/>
                  </w:rPr>
                  <w:t>i) tas sąlygas, kriterijus ar taikomą praktiką objektyviai pateisina teisėtas tikslas, o šio tikslo siekiama atitinkamomis ir būtinomis priemonėmis arba</w:t>
                </w:r>
              </w:p>
              <w:p>
                <w:pPr>
                  <w:jc w:val="both"/>
                  <w:rPr>
                    <w:szCs w:val="24"/>
                    <w:lang w:eastAsia="lt-LT"/>
                  </w:rPr>
                </w:pPr>
                <w:r>
                  <w:rPr>
                    <w:szCs w:val="24"/>
                    <w:lang w:eastAsia="lt-LT"/>
                  </w:rPr>
                  <w:t>ii) tam tikrą negalią turinčių asmenų atžvilgiu darbdavys, asmuo arba organizacija, kuriems yra taikoma ši direktyva, pagal nacionalinius teisės aktus yra įpareigoti imtis atitinkamų priemonių, atitinkančių 5 straipsnyje išdėstytus principus, kad būtų pašalinti dėl tokių sąlygų, taikomų kriterijų ar praktikos susidarę nepatogumai.</w:t>
                </w:r>
              </w:p>
              <w:p>
                <w:pPr>
                  <w:jc w:val="both"/>
                  <w:rPr>
                    <w:szCs w:val="24"/>
                    <w:lang w:eastAsia="lt-LT"/>
                  </w:rPr>
                </w:pPr>
              </w:p>
              <w:p>
                <w:pPr>
                  <w:jc w:val="both"/>
                  <w:rPr>
                    <w:szCs w:val="24"/>
                    <w:lang w:eastAsia="lt-LT"/>
                  </w:rPr>
                </w:pPr>
                <w:r>
                  <w:rPr>
                    <w:szCs w:val="24"/>
                    <w:lang w:eastAsia="lt-LT"/>
                  </w:rPr>
                  <w:t>3. Priekabiavimas laikomas šio straipsnio 1 dalyje apibrėžta diskriminacija, jei dėl bet kurios iš 1 straipsnyje nurodytų priežasčių nepageidaujamu elgesiu siekiama įžeisti arba įžeidžiamas asmens orumas ir siekiama sukurti arba sukuriama bauginanti, priešiška, žeminanti ar įžeidžianti aplinka. Tokiu atveju priekabiavimo sąvoką galima apibrėžti pagal valstybių narių nacionalinius įstatymus ir praktiką.</w:t>
                </w:r>
              </w:p>
              <w:p>
                <w:pPr>
                  <w:jc w:val="both"/>
                  <w:rPr>
                    <w:szCs w:val="24"/>
                    <w:lang w:eastAsia="lt-LT"/>
                  </w:rPr>
                </w:pPr>
                <w:r>
                  <w:rPr>
                    <w:szCs w:val="24"/>
                    <w:lang w:eastAsia="lt-LT"/>
                  </w:rPr>
                  <w:t>4. Nurodymas diskriminuoti asmenis dėl bet kurios iš 1 straipsnyje nurodytų priežasčių laikomas šio straipsnio 1 dalyje apibrėžta diskriminacija.</w:t>
                </w:r>
              </w:p>
              <w:p>
                <w:pPr>
                  <w:jc w:val="both"/>
                  <w:rPr>
                    <w:b/>
                    <w:bCs/>
                    <w:szCs w:val="24"/>
                    <w:lang w:eastAsia="lt-LT"/>
                  </w:rPr>
                </w:pPr>
              </w:p>
            </w:tc>
            <w:tc>
              <w:tcPr>
                <w:tcW w:w="7110" w:type="dxa"/>
              </w:tcPr>
              <w:p>
                <w:pPr>
                  <w:jc w:val="both"/>
                  <w:rPr>
                    <w:b/>
                    <w:bCs/>
                    <w:szCs w:val="24"/>
                    <w:lang w:eastAsia="lt-LT"/>
                  </w:rPr>
                </w:pPr>
                <w:r>
                  <w:rPr>
                    <w:b/>
                    <w:bCs/>
                    <w:szCs w:val="24"/>
                    <w:lang w:eastAsia="lt-LT"/>
                  </w:rPr>
                  <w:t xml:space="preserve">Projektas </w:t>
                </w:r>
              </w:p>
              <w:p>
                <w:pPr>
                  <w:jc w:val="both"/>
                  <w:rPr>
                    <w:b/>
                    <w:bCs/>
                    <w:szCs w:val="24"/>
                    <w:lang w:eastAsia="lt-LT"/>
                  </w:rPr>
                </w:pPr>
                <w:r>
                  <w:rPr>
                    <w:b/>
                    <w:bCs/>
                    <w:szCs w:val="24"/>
                    <w:lang w:eastAsia="lt-LT"/>
                  </w:rPr>
                  <w:t>2 straipsnis. Pagrindinės šio įstatymo sąvokos</w:t>
                </w:r>
              </w:p>
              <w:p>
                <w:pPr>
                  <w:jc w:val="both"/>
                  <w:rPr>
                    <w:b/>
                    <w:bCs/>
                    <w:szCs w:val="24"/>
                    <w:lang w:eastAsia="lt-LT"/>
                  </w:rPr>
                </w:pPr>
                <w:r>
                  <w:rPr>
                    <w:b/>
                    <w:bCs/>
                    <w:szCs w:val="24"/>
                    <w:lang w:eastAsia="lt-LT"/>
                  </w:rPr>
                  <w:t>[...]</w:t>
                </w:r>
              </w:p>
              <w:p>
                <w:pPr>
                  <w:jc w:val="both"/>
                  <w:rPr>
                    <w:b/>
                    <w:bCs/>
                    <w:szCs w:val="24"/>
                    <w:lang w:eastAsia="lt-LT"/>
                  </w:rPr>
                </w:pPr>
                <w:r>
                  <w:rPr>
                    <w:b/>
                    <w:bCs/>
                    <w:szCs w:val="24"/>
                    <w:lang w:eastAsia="lt-LT"/>
                  </w:rPr>
                  <w:t xml:space="preserve">2. Diskriminacija – naudojimosi teisėmis apribojimas arba privilegijų, pirmenybės ar pranašumo teikimas vienu ar keliais diskriminacijos pagrindais. Diskriminacijos, kuri gali būti ir daugialypė, sąveikinė, siejamoji, formos yra tiesioginė ir netiesioginė, taip pat nurodymas diskriminuoti, priekabiavimas, seksualinis priekabiavimas. </w:t>
                </w:r>
              </w:p>
              <w:p>
                <w:pPr>
                  <w:jc w:val="both"/>
                  <w:rPr>
                    <w:b/>
                    <w:bCs/>
                    <w:szCs w:val="24"/>
                    <w:lang w:eastAsia="lt-LT"/>
                  </w:rPr>
                </w:pPr>
                <w:r>
                  <w:rPr>
                    <w:b/>
                    <w:bCs/>
                    <w:szCs w:val="24"/>
                    <w:lang w:eastAsia="lt-LT"/>
                  </w:rPr>
                  <w:t>[...]</w:t>
                </w:r>
              </w:p>
              <w:p>
                <w:pPr>
                  <w:jc w:val="both"/>
                  <w:rPr>
                    <w:b/>
                    <w:bCs/>
                    <w:szCs w:val="24"/>
                    <w:lang w:eastAsia="lt-LT"/>
                  </w:rPr>
                </w:pPr>
                <w:r>
                  <w:rPr>
                    <w:b/>
                    <w:bCs/>
                    <w:szCs w:val="24"/>
                    <w:lang w:eastAsia="lt-LT"/>
                  </w:rPr>
                  <w:t>8. Netiesioginė diskriminacija – veikimas ar neveikimas, teisės norma ar vertinimo kriterijus, akivaizdžiai neutrali sąlyga ar praktika, kurie formaliai yra vienodi, bet juos įgyvendinant ar pritaikant atsiranda ar gali atsirasti</w:t>
                </w:r>
                <w:r>
                  <w:rPr>
                    <w:b/>
                    <w:bCs/>
                    <w:i/>
                    <w:szCs w:val="24"/>
                    <w:lang w:eastAsia="lt-LT"/>
                  </w:rPr>
                  <w:t xml:space="preserve"> </w:t>
                </w:r>
                <w:r>
                  <w:rPr>
                    <w:b/>
                    <w:bCs/>
                    <w:szCs w:val="24"/>
                    <w:lang w:eastAsia="lt-LT"/>
                  </w:rPr>
                  <w:t xml:space="preserve">faktinis naudojimosi teisėmis apribojimas arba privilegijų, pirmenybės ar pranašumo teikimas vienu ar keliais diskriminacijos pagrindais, nebent šį veikimą ar neveikimą, teisės normą ar vertinimo kriterijų, sąlygą ar praktiką pateisina teisėtas tikslas, o šio tikslo siekiama tinkamomis, būtinomis ir proporcingomis priemonėmis. </w:t>
                </w:r>
              </w:p>
              <w:p>
                <w:pPr>
                  <w:jc w:val="both"/>
                  <w:rPr>
                    <w:b/>
                    <w:bCs/>
                    <w:szCs w:val="24"/>
                    <w:lang w:eastAsia="lt-LT"/>
                  </w:rPr>
                </w:pPr>
                <w:r>
                  <w:rPr>
                    <w:b/>
                    <w:bCs/>
                    <w:szCs w:val="24"/>
                    <w:lang w:eastAsia="lt-LT"/>
                  </w:rPr>
                  <w:t>[...]</w:t>
                </w:r>
              </w:p>
              <w:p>
                <w:pPr>
                  <w:jc w:val="both"/>
                  <w:rPr>
                    <w:b/>
                    <w:bCs/>
                    <w:szCs w:val="24"/>
                    <w:lang w:eastAsia="lt-LT"/>
                  </w:rPr>
                </w:pPr>
                <w:r>
                  <w:rPr>
                    <w:b/>
                    <w:bCs/>
                    <w:szCs w:val="24"/>
                    <w:lang w:eastAsia="lt-LT"/>
                  </w:rPr>
                  <w:t>10. Priekabiavimas – nepageidaujamas elgesys ar reali tokio elgesio grėsmė, kai vienu ar keliais diskriminacijos pagrindais siekiama įžeisti arba įžeidžiamas asmens orumas ir (ar) siekiama sukurti arba sukuriama bauginanti, priešiška, žeminanti ar įžeidžianti aplinka, ir (ar) siekiama padaryti žalą arba ji padaroma.</w:t>
                </w:r>
              </w:p>
              <w:p>
                <w:pPr>
                  <w:jc w:val="both"/>
                  <w:rPr>
                    <w:b/>
                    <w:bCs/>
                    <w:szCs w:val="24"/>
                    <w:lang w:eastAsia="lt-LT"/>
                  </w:rPr>
                </w:pPr>
                <w:r>
                  <w:rPr>
                    <w:b/>
                    <w:bCs/>
                    <w:szCs w:val="24"/>
                    <w:lang w:eastAsia="lt-LT"/>
                  </w:rPr>
                  <w:t>[...]</w:t>
                </w:r>
              </w:p>
              <w:p>
                <w:pPr>
                  <w:jc w:val="both"/>
                  <w:rPr>
                    <w:b/>
                    <w:bCs/>
                    <w:szCs w:val="24"/>
                    <w:lang w:eastAsia="lt-LT"/>
                  </w:rPr>
                </w:pPr>
                <w:r>
                  <w:rPr>
                    <w:b/>
                    <w:bCs/>
                    <w:szCs w:val="24"/>
                    <w:lang w:eastAsia="lt-LT"/>
                  </w:rPr>
                  <w:t>16. Tiesioginė diskriminacija – elgesys</w:t>
                </w:r>
                <w:r>
                  <w:rPr>
                    <w:b/>
                    <w:bCs/>
                    <w:i/>
                    <w:szCs w:val="24"/>
                    <w:lang w:eastAsia="lt-LT"/>
                  </w:rPr>
                  <w:t xml:space="preserve"> </w:t>
                </w:r>
                <w:r>
                  <w:rPr>
                    <w:b/>
                    <w:bCs/>
                    <w:szCs w:val="24"/>
                    <w:lang w:eastAsia="lt-LT"/>
                  </w:rPr>
                  <w:t>su asmeniu, kai vienu ar keliais diskriminacijos pagrindais jam taikomos mažiau palankios sąlygos, negu tokiomis pat ar panašiomis aplinkybėmis jos buvo, yra ar būtų</w:t>
                </w:r>
                <w:r>
                  <w:rPr>
                    <w:b/>
                    <w:bCs/>
                    <w:i/>
                    <w:szCs w:val="24"/>
                    <w:lang w:eastAsia="lt-LT"/>
                  </w:rPr>
                  <w:t xml:space="preserve"> </w:t>
                </w:r>
                <w:r>
                  <w:rPr>
                    <w:b/>
                    <w:bCs/>
                    <w:szCs w:val="24"/>
                    <w:lang w:eastAsia="lt-LT"/>
                  </w:rPr>
                  <w:t>taikomos kitam asmeniui, išskyrus:</w:t>
                </w:r>
              </w:p>
              <w:p>
                <w:pPr>
                  <w:jc w:val="both"/>
                  <w:rPr>
                    <w:b/>
                    <w:bCs/>
                    <w:szCs w:val="24"/>
                    <w:lang w:eastAsia="lt-LT"/>
                  </w:rPr>
                </w:pPr>
                <w:r>
                  <w:rPr>
                    <w:b/>
                    <w:bCs/>
                    <w:szCs w:val="24"/>
                    <w:lang w:eastAsia="lt-LT"/>
                  </w:rPr>
                  <w:t xml:space="preserve">1) įstatymų nustatytus apribojimus dėl amžiaus, kai tai pateisina teisėtas tikslas, siekiamas tinkamomis, būtinomis ir proporcingomis priemonėmis; </w:t>
                </w:r>
              </w:p>
              <w:p>
                <w:pPr>
                  <w:jc w:val="both"/>
                  <w:rPr>
                    <w:b/>
                    <w:bCs/>
                    <w:szCs w:val="24"/>
                    <w:lang w:eastAsia="lt-LT"/>
                  </w:rPr>
                </w:pPr>
                <w:r>
                  <w:rPr>
                    <w:b/>
                    <w:bCs/>
                    <w:szCs w:val="24"/>
                    <w:lang w:eastAsia="lt-LT"/>
                  </w:rPr>
                  <w:t>2) įstatymų nustatytą reikalavimą mokėti valstybinę kalbą;</w:t>
                </w:r>
              </w:p>
              <w:p>
                <w:pPr>
                  <w:jc w:val="both"/>
                  <w:rPr>
                    <w:b/>
                    <w:bCs/>
                    <w:szCs w:val="24"/>
                    <w:lang w:eastAsia="lt-LT"/>
                  </w:rPr>
                </w:pPr>
                <w:r>
                  <w:rPr>
                    <w:b/>
                    <w:bCs/>
                    <w:szCs w:val="24"/>
                    <w:lang w:eastAsia="lt-LT"/>
                  </w:rPr>
                  <w:t>3) įstatymų nustatytais atvejais draudimą dalyvauti politinėje veikloje;</w:t>
                </w:r>
              </w:p>
              <w:p>
                <w:pPr>
                  <w:jc w:val="both"/>
                  <w:rPr>
                    <w:b/>
                    <w:bCs/>
                    <w:szCs w:val="24"/>
                    <w:lang w:eastAsia="lt-LT"/>
                  </w:rPr>
                </w:pPr>
                <w:r>
                  <w:rPr>
                    <w:b/>
                    <w:bCs/>
                    <w:szCs w:val="24"/>
                    <w:lang w:eastAsia="lt-LT"/>
                  </w:rPr>
                  <w:t>4) įstatymų nustatytas dėl pilietybės taikomas skirtingas teises;</w:t>
                </w:r>
              </w:p>
              <w:p>
                <w:pPr>
                  <w:jc w:val="both"/>
                  <w:rPr>
                    <w:b/>
                    <w:bCs/>
                    <w:szCs w:val="24"/>
                    <w:lang w:eastAsia="lt-LT"/>
                  </w:rPr>
                </w:pPr>
                <w:r>
                  <w:rPr>
                    <w:b/>
                    <w:bCs/>
                    <w:szCs w:val="24"/>
                    <w:lang w:eastAsia="lt-LT"/>
                  </w:rPr>
                  <w:t>5) įstatymų nustatytas priemones sveikatos apsaugos, darbuotojų saugos ir sveikatos, užimtumo, darbo rinkos srityse, siekiant užtikrinti darbuotojų saugą ir sveikatą, asmenų užimtumą ir integraciją į darbo rinką;</w:t>
                </w:r>
              </w:p>
              <w:p>
                <w:pPr>
                  <w:jc w:val="both"/>
                  <w:rPr>
                    <w:b/>
                    <w:bCs/>
                    <w:szCs w:val="24"/>
                    <w:lang w:eastAsia="lt-LT"/>
                  </w:rPr>
                </w:pPr>
                <w:r>
                  <w:rPr>
                    <w:b/>
                    <w:bCs/>
                    <w:szCs w:val="24"/>
                    <w:lang w:eastAsia="lt-LT"/>
                  </w:rPr>
                  <w:t>6) specialiąsias laikinąsias priemones;</w:t>
                </w:r>
              </w:p>
              <w:p>
                <w:pPr>
                  <w:jc w:val="both"/>
                  <w:rPr>
                    <w:b/>
                    <w:bCs/>
                    <w:szCs w:val="24"/>
                    <w:lang w:eastAsia="lt-LT"/>
                  </w:rPr>
                </w:pPr>
                <w:r>
                  <w:rPr>
                    <w:b/>
                    <w:bCs/>
                    <w:szCs w:val="24"/>
                    <w:lang w:eastAsia="lt-LT"/>
                  </w:rPr>
                  <w:t>7) atvejus, kai dėl konkrečių profesinės veiklos rūšių pobūdžio arba dėl jų vykdymo sąlygų tam tikras asmens tapatybės bruožas yra esminis ir lemiamas profesinis reikalavimas ir kai tai pateisina teisėtas tikslas, siekiamas tinkamomis, būtinomis ir proporcingomis priemonėmis;</w:t>
                </w:r>
              </w:p>
              <w:p>
                <w:pPr>
                  <w:jc w:val="both"/>
                  <w:rPr>
                    <w:b/>
                    <w:bCs/>
                    <w:szCs w:val="24"/>
                    <w:lang w:eastAsia="lt-LT"/>
                  </w:rPr>
                </w:pPr>
                <w:r>
                  <w:rPr>
                    <w:b/>
                    <w:bCs/>
                    <w:szCs w:val="24"/>
                    <w:lang w:eastAsia="lt-LT"/>
                  </w:rPr>
                  <w:t>8) atvejus, kai ribojimų, reikalavimų arba tam tikrų sąlygų dėl asmens socialinės padėties teisinį reguliavimą pateisina teisėtas tikslas, siekiamas tinkamomis, būtinomis ir proporcingomis priemonėmis;</w:t>
                </w:r>
              </w:p>
              <w:p>
                <w:pPr>
                  <w:jc w:val="both"/>
                  <w:rPr>
                    <w:b/>
                    <w:bCs/>
                    <w:szCs w:val="24"/>
                    <w:lang w:eastAsia="lt-LT"/>
                  </w:rPr>
                </w:pPr>
                <w:r>
                  <w:rPr>
                    <w:b/>
                    <w:bCs/>
                    <w:szCs w:val="24"/>
                    <w:lang w:eastAsia="lt-LT"/>
                  </w:rPr>
                  <w:t>9) atskirų sporto varžybų vyrams, moterims, asmenims su negalia bei sporto varžybų pagal amžiaus grupes rengimą;</w:t>
                </w:r>
              </w:p>
              <w:p>
                <w:pPr>
                  <w:jc w:val="both"/>
                  <w:rPr>
                    <w:b/>
                    <w:bCs/>
                    <w:szCs w:val="24"/>
                    <w:lang w:eastAsia="lt-LT"/>
                  </w:rPr>
                </w:pPr>
                <w:r>
                  <w:rPr>
                    <w:b/>
                    <w:bCs/>
                    <w:szCs w:val="24"/>
                    <w:lang w:eastAsia="lt-LT"/>
                  </w:rPr>
                  <w:t>10) lengvatų teikimą amžiaus, negalios bei socialinės padėties pagrindu, kai tai pateisina teisėtas tikslas, siekiamas tinkamomis, būtinomis ir proporcingomis priemonėmis;</w:t>
                </w:r>
              </w:p>
              <w:p>
                <w:pPr>
                  <w:jc w:val="both"/>
                  <w:rPr>
                    <w:b/>
                    <w:bCs/>
                    <w:szCs w:val="24"/>
                    <w:lang w:eastAsia="lt-LT"/>
                  </w:rPr>
                </w:pPr>
                <w:r>
                  <w:rPr>
                    <w:b/>
                    <w:bCs/>
                    <w:szCs w:val="24"/>
                    <w:lang w:eastAsia="lt-LT"/>
                  </w:rPr>
                  <w:t>11) įstatymuose nustatytos valstybės paramos teikimą amžiaus, negalios bei socialinės padėties pagrindu, kai tai pateisina teisėtas tikslas, siekiamas tinkamomis, būtinomis ir proporcingomis priemonėmis;</w:t>
                </w:r>
              </w:p>
              <w:p>
                <w:pPr>
                  <w:jc w:val="both"/>
                  <w:rPr>
                    <w:b/>
                    <w:bCs/>
                    <w:szCs w:val="24"/>
                    <w:lang w:eastAsia="lt-LT"/>
                  </w:rPr>
                </w:pPr>
                <w:r>
                  <w:rPr>
                    <w:b/>
                    <w:bCs/>
                    <w:szCs w:val="24"/>
                    <w:lang w:eastAsia="lt-LT"/>
                  </w:rPr>
                  <w:t>12) taikomą specialią apsaugą nėštumo, gimdymo ir vaiko žindymo metu;</w:t>
                </w:r>
              </w:p>
              <w:p>
                <w:pPr>
                  <w:jc w:val="both"/>
                  <w:rPr>
                    <w:b/>
                    <w:bCs/>
                    <w:szCs w:val="24"/>
                    <w:lang w:eastAsia="lt-LT"/>
                  </w:rPr>
                </w:pPr>
                <w:r>
                  <w:rPr>
                    <w:b/>
                    <w:bCs/>
                    <w:szCs w:val="24"/>
                    <w:lang w:eastAsia="lt-LT"/>
                  </w:rPr>
                  <w:t>13) atvejus, kai moterims ir vyrams nustatomi skirtingi karo prievolės atlikimo reikalavimai;</w:t>
                </w:r>
              </w:p>
              <w:p>
                <w:pPr>
                  <w:jc w:val="both"/>
                  <w:rPr>
                    <w:b/>
                    <w:bCs/>
                    <w:szCs w:val="24"/>
                    <w:lang w:eastAsia="lt-LT"/>
                  </w:rPr>
                </w:pPr>
                <w:r>
                  <w:rPr>
                    <w:b/>
                    <w:bCs/>
                    <w:szCs w:val="24"/>
                    <w:lang w:eastAsia="lt-LT"/>
                  </w:rPr>
                  <w:t>14) moterims taikomus fizinio parengtumo, darbuotojų saugos ir sveikatos darbe reikalavimus, kuriais, atsižvelgiant į moterų fiziologines savybes, siekiama išsaugoti jų sveikatą;</w:t>
                </w:r>
              </w:p>
              <w:p>
                <w:pPr>
                  <w:jc w:val="both"/>
                  <w:rPr>
                    <w:b/>
                    <w:bCs/>
                    <w:szCs w:val="24"/>
                    <w:lang w:eastAsia="lt-LT"/>
                  </w:rPr>
                </w:pPr>
                <w:r>
                  <w:rPr>
                    <w:b/>
                    <w:bCs/>
                    <w:szCs w:val="24"/>
                    <w:lang w:eastAsia="lt-LT"/>
                  </w:rPr>
                  <w:t>15) taikomą skirtingą tam tikrų bausmių vykdymo tvarką ir sąlygas;</w:t>
                </w:r>
              </w:p>
              <w:p>
                <w:pPr>
                  <w:jc w:val="both"/>
                  <w:rPr>
                    <w:b/>
                    <w:bCs/>
                    <w:szCs w:val="24"/>
                    <w:lang w:eastAsia="lt-LT"/>
                  </w:rPr>
                </w:pPr>
                <w:r>
                  <w:rPr>
                    <w:b/>
                    <w:bCs/>
                    <w:szCs w:val="24"/>
                    <w:lang w:eastAsia="lt-LT"/>
                  </w:rPr>
                  <w:t xml:space="preserve">16) prekių pardavimą ir (ar) paslaugų teikimą vien tik arba pirmiausia vienos lyties asmenims, kai tai pateisina teisėtas tikslas, siekiamas tinkamomis, būtinomis ir proporcingomis priemonėmis.   </w:t>
                </w:r>
              </w:p>
              <w:p>
                <w:pPr>
                  <w:jc w:val="both"/>
                  <w:rPr>
                    <w:szCs w:val="24"/>
                    <w:lang w:eastAsia="lt-LT"/>
                  </w:rPr>
                </w:pPr>
                <w:r>
                  <w:rPr>
                    <w:szCs w:val="24"/>
                    <w:lang w:eastAsia="lt-LT"/>
                  </w:rPr>
                  <w:t>[...]</w:t>
                </w:r>
              </w:p>
              <w:p>
                <w:pPr>
                  <w:jc w:val="both"/>
                  <w:rPr>
                    <w:szCs w:val="24"/>
                    <w:lang w:eastAsia="lt-LT"/>
                  </w:rPr>
                </w:pPr>
              </w:p>
              <w:p>
                <w:pPr>
                  <w:jc w:val="both"/>
                  <w:rPr>
                    <w:szCs w:val="24"/>
                    <w:lang w:eastAsia="lt-LT"/>
                  </w:rPr>
                </w:pPr>
              </w:p>
              <w:p>
                <w:pPr>
                  <w:jc w:val="both"/>
                  <w:rPr>
                    <w:b/>
                    <w:bCs/>
                    <w:szCs w:val="24"/>
                    <w:lang w:eastAsia="lt-LT"/>
                  </w:rPr>
                </w:pPr>
                <w:r>
                  <w:rPr>
                    <w:b/>
                    <w:bCs/>
                    <w:szCs w:val="24"/>
                    <w:lang w:eastAsia="lt-LT"/>
                  </w:rPr>
                  <w:t>DK</w:t>
                </w:r>
              </w:p>
              <w:p>
                <w:pPr>
                  <w:jc w:val="both"/>
                  <w:rPr>
                    <w:szCs w:val="24"/>
                    <w:lang w:eastAsia="lt-LT"/>
                  </w:rPr>
                </w:pPr>
                <w:r>
                  <w:rPr>
                    <w:b/>
                    <w:bCs/>
                    <w:szCs w:val="24"/>
                    <w:lang w:eastAsia="lt-LT"/>
                  </w:rPr>
                  <w:t>26 straipsnis. Darbuotojų lyčių lygybė ir nediskriminavimas kitais pagrindais</w:t>
                </w:r>
              </w:p>
              <w:p>
                <w:pPr>
                  <w:jc w:val="both"/>
                  <w:rPr>
                    <w:szCs w:val="24"/>
                    <w:lang w:eastAsia="lt-LT"/>
                  </w:rPr>
                </w:pPr>
                <w:r>
                  <w:rPr>
                    <w:szCs w:val="24"/>
                    <w:lang w:eastAsia="lt-LT"/>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7" w:tgtFrame="_parent" w:history="1">
                  <w:r>
                    <w:rPr>
                      <w:i/>
                      <w:iCs/>
                      <w:szCs w:val="24"/>
                      <w:u w:val="single"/>
                      <w:lang w:eastAsia="lt-LT"/>
                    </w:rPr>
                    <w:t>XIII-2944</w:t>
                  </w:r>
                </w:hyperlink>
                <w:r>
                  <w:rPr>
                    <w:i/>
                    <w:iCs/>
                    <w:szCs w:val="24"/>
                    <w:lang w:eastAsia="lt-LT"/>
                  </w:rPr>
                  <w:t>, 2020-05-21, paskelbta TAR 2020-06-03, i. k. 2020-12135</w:t>
                </w:r>
              </w:p>
              <w:p>
                <w:pPr>
                  <w:jc w:val="both"/>
                  <w:rPr>
                    <w:szCs w:val="24"/>
                    <w:lang w:eastAsia="lt-LT"/>
                  </w:rPr>
                </w:pPr>
                <w:r>
                  <w:rPr>
                    <w:i/>
                    <w:iCs/>
                    <w:szCs w:val="24"/>
                    <w:lang w:eastAsia="lt-LT"/>
                  </w:rPr>
                  <w:t>Nr. </w:t>
                </w:r>
                <w:hyperlink r:id="rId8" w:tgtFrame="_parent" w:history="1">
                  <w:r>
                    <w:rPr>
                      <w:i/>
                      <w:iCs/>
                      <w:szCs w:val="24"/>
                      <w:u w:val="single"/>
                      <w:lang w:eastAsia="lt-LT"/>
                    </w:rPr>
                    <w:t>XIV-1189</w:t>
                  </w:r>
                </w:hyperlink>
                <w:r>
                  <w:rPr>
                    <w:i/>
                    <w:iCs/>
                    <w:szCs w:val="24"/>
                    <w:lang w:eastAsia="lt-LT"/>
                  </w:rPr>
                  <w:t>, 2022-06-28, paskelbta TAR 2022-07-11, i. k. 2022-15178</w:t>
                </w:r>
              </w:p>
              <w:p>
                <w:pPr>
                  <w:ind w:firstLine="62"/>
                  <w:jc w:val="both"/>
                  <w:rPr>
                    <w:szCs w:val="24"/>
                    <w:lang w:eastAsia="lt-LT"/>
                  </w:rPr>
                </w:pPr>
              </w:p>
              <w:p>
                <w:pPr>
                  <w:jc w:val="both"/>
                  <w:rPr>
                    <w:szCs w:val="24"/>
                    <w:lang w:eastAsia="lt-LT"/>
                  </w:rPr>
                </w:pPr>
                <w:r>
                  <w:rPr>
                    <w:szCs w:val="24"/>
                    <w:lang w:eastAsia="lt-LT"/>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9" w:tgtFrame="_parent" w:history="1">
                  <w:r>
                    <w:rPr>
                      <w:i/>
                      <w:iCs/>
                      <w:szCs w:val="24"/>
                      <w:u w:val="single"/>
                      <w:lang w:eastAsia="lt-LT"/>
                    </w:rPr>
                    <w:t>XIV-1189</w:t>
                  </w:r>
                </w:hyperlink>
                <w:r>
                  <w:rPr>
                    <w:i/>
                    <w:iCs/>
                    <w:szCs w:val="24"/>
                    <w:lang w:eastAsia="lt-LT"/>
                  </w:rPr>
                  <w:t>, 2022-06-28, paskelbta TAR 2022-07-11, i. k. 2022-15178</w:t>
                </w:r>
              </w:p>
              <w:p>
                <w:pPr>
                  <w:jc w:val="both"/>
                  <w:rPr>
                    <w:szCs w:val="24"/>
                    <w:lang w:eastAsia="lt-LT"/>
                  </w:rPr>
                </w:pPr>
                <w:r>
                  <w:rPr>
                    <w:szCs w:val="24"/>
                    <w:lang w:eastAsia="lt-LT"/>
                  </w:rPr>
                  <w:t>1) priimdamas į darbą, taikyti vienodus atrankos kriterijus ir sąlygas;</w:t>
                </w:r>
              </w:p>
              <w:p>
                <w:pPr>
                  <w:jc w:val="both"/>
                  <w:rPr>
                    <w:szCs w:val="24"/>
                    <w:lang w:eastAsia="lt-LT"/>
                  </w:rPr>
                </w:pPr>
                <w:r>
                  <w:rPr>
                    <w:szCs w:val="24"/>
                    <w:lang w:eastAsia="lt-LT"/>
                  </w:rPr>
                  <w:t>2) sudaryti vienodas darbo sąlygas, galimybes tobulinti kvalifikaciją, siekti profesinio tobulėjimo, persikvalifikuoti, įgyti praktinės darbo patirties, taip pat teikti vienodas lengvatas;</w:t>
                </w:r>
              </w:p>
              <w:p>
                <w:pPr>
                  <w:jc w:val="both"/>
                  <w:rPr>
                    <w:szCs w:val="24"/>
                    <w:lang w:eastAsia="lt-LT"/>
                  </w:rPr>
                </w:pPr>
                <w:r>
                  <w:rPr>
                    <w:szCs w:val="24"/>
                    <w:lang w:eastAsia="lt-LT"/>
                  </w:rPr>
                  <w:t>3) taikyti</w:t>
                </w:r>
                <w:r>
                  <w:rPr>
                    <w:b/>
                    <w:bCs/>
                    <w:szCs w:val="24"/>
                    <w:lang w:eastAsia="lt-LT"/>
                  </w:rPr>
                  <w:t> </w:t>
                </w:r>
                <w:r>
                  <w:rPr>
                    <w:szCs w:val="24"/>
                    <w:lang w:eastAsia="lt-LT"/>
                  </w:rPr>
                  <w:t>vienodus darbo vertinimo ir atleidimo iš darbo kriterijus;</w:t>
                </w:r>
              </w:p>
              <w:p>
                <w:pPr>
                  <w:jc w:val="both"/>
                  <w:rPr>
                    <w:szCs w:val="24"/>
                    <w:lang w:eastAsia="lt-LT"/>
                  </w:rPr>
                </w:pPr>
                <w:r>
                  <w:rPr>
                    <w:szCs w:val="24"/>
                    <w:lang w:eastAsia="lt-LT"/>
                  </w:rPr>
                  <w:t>4) už tokį patį ir vienodos vertės darbą mokėti vienodą darbo užmokestį;</w:t>
                </w:r>
              </w:p>
              <w:p>
                <w:pPr>
                  <w:jc w:val="both"/>
                  <w:rPr>
                    <w:szCs w:val="24"/>
                    <w:lang w:eastAsia="lt-LT"/>
                  </w:rPr>
                </w:pPr>
                <w:r>
                  <w:rPr>
                    <w:szCs w:val="24"/>
                    <w:lang w:eastAsia="lt-LT"/>
                  </w:rPr>
                  <w:t>5)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p>
                <w:pPr>
                  <w:jc w:val="both"/>
                  <w:rPr>
                    <w:szCs w:val="24"/>
                    <w:lang w:eastAsia="lt-LT"/>
                  </w:rPr>
                </w:pPr>
                <w:r>
                  <w:rPr>
                    <w:szCs w:val="24"/>
                    <w:lang w:eastAsia="lt-LT"/>
                  </w:rPr>
                  <w:t>6) imtis tinkamų priemonių, kad asmenims su negalia būtų sudarytos sąlygos gauti darbą, dirbti, siekti karjeros arba mokytis, įskaitant tinkamų darbo sąlygų sudarymą, jeigu dėl tokių priemonių nebus neproporcingai apsunkinamos darbdavio pareigos.</w:t>
                </w:r>
              </w:p>
              <w:p>
                <w:pPr>
                  <w:jc w:val="both"/>
                  <w:rPr>
                    <w:szCs w:val="24"/>
                    <w:lang w:eastAsia="lt-LT"/>
                  </w:rPr>
                </w:pPr>
                <w:r>
                  <w:rPr>
                    <w:i/>
                    <w:iCs/>
                    <w:szCs w:val="24"/>
                    <w:lang w:eastAsia="lt-LT"/>
                  </w:rPr>
                  <w:t>Straipsnio punkto pakeitimai:</w:t>
                </w:r>
              </w:p>
              <w:p>
                <w:pPr>
                  <w:jc w:val="both"/>
                  <w:rPr>
                    <w:szCs w:val="24"/>
                    <w:lang w:eastAsia="lt-LT"/>
                  </w:rPr>
                </w:pPr>
                <w:r>
                  <w:rPr>
                    <w:i/>
                    <w:iCs/>
                    <w:szCs w:val="24"/>
                    <w:lang w:eastAsia="lt-LT"/>
                  </w:rPr>
                  <w:t>Nr. </w:t>
                </w:r>
                <w:hyperlink r:id="rId10" w:tgtFrame="_parent" w:history="1">
                  <w:r>
                    <w:rPr>
                      <w:i/>
                      <w:iCs/>
                      <w:szCs w:val="24"/>
                      <w:u w:val="single"/>
                      <w:lang w:eastAsia="lt-LT"/>
                    </w:rPr>
                    <w:t>XIV-1189</w:t>
                  </w:r>
                </w:hyperlink>
                <w:r>
                  <w:rPr>
                    <w:i/>
                    <w:iCs/>
                    <w:szCs w:val="24"/>
                    <w:lang w:eastAsia="lt-LT"/>
                  </w:rPr>
                  <w:t>, 2022-06-28, paskelbta TAR 2022-07-11, i. k. 2022-15178</w:t>
                </w:r>
              </w:p>
              <w:p>
                <w:pPr>
                  <w:jc w:val="both"/>
                  <w:rPr>
                    <w:szCs w:val="24"/>
                    <w:lang w:eastAsia="lt-LT"/>
                  </w:rPr>
                </w:pPr>
                <w:r>
                  <w:rPr>
                    <w:i/>
                    <w:iCs/>
                    <w:szCs w:val="24"/>
                    <w:lang w:eastAsia="lt-LT"/>
                  </w:rPr>
                  <w:t>Nr. </w:t>
                </w:r>
                <w:hyperlink r:id="rId11" w:tgtFrame="_parent" w:history="1">
                  <w:r>
                    <w:rPr>
                      <w:i/>
                      <w:iCs/>
                      <w:szCs w:val="24"/>
                      <w:u w:val="single"/>
                      <w:lang w:eastAsia="lt-LT"/>
                    </w:rPr>
                    <w:t>XIV-2704</w:t>
                  </w:r>
                </w:hyperlink>
                <w:r>
                  <w:rPr>
                    <w:i/>
                    <w:iCs/>
                    <w:szCs w:val="24"/>
                    <w:lang w:eastAsia="lt-LT"/>
                  </w:rPr>
                  <w:t>, 2024-06-13, paskelbta TAR 2024-06-20, i. k. 2024-11228</w:t>
                </w:r>
              </w:p>
              <w:p>
                <w:pPr>
                  <w:ind w:firstLine="62"/>
                  <w:jc w:val="both"/>
                  <w:rPr>
                    <w:szCs w:val="24"/>
                    <w:lang w:eastAsia="lt-LT"/>
                  </w:rPr>
                </w:pP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12" w:tgtFrame="_parent" w:history="1">
                  <w:r>
                    <w:rPr>
                      <w:i/>
                      <w:iCs/>
                      <w:szCs w:val="24"/>
                      <w:u w:val="single"/>
                      <w:lang w:eastAsia="lt-LT"/>
                    </w:rPr>
                    <w:t>XIII-2944</w:t>
                  </w:r>
                </w:hyperlink>
                <w:r>
                  <w:rPr>
                    <w:i/>
                    <w:iCs/>
                    <w:szCs w:val="24"/>
                    <w:lang w:eastAsia="lt-LT"/>
                  </w:rPr>
                  <w:t>, 2020-05-21, paskelbta TAR 2020-06-03, i. k. 2020-12135</w:t>
                </w:r>
              </w:p>
              <w:p>
                <w:pPr>
                  <w:ind w:firstLine="62"/>
                  <w:jc w:val="both"/>
                  <w:rPr>
                    <w:szCs w:val="24"/>
                    <w:lang w:eastAsia="lt-LT"/>
                  </w:rPr>
                </w:pPr>
              </w:p>
              <w:p>
                <w:pPr>
                  <w:jc w:val="both"/>
                  <w:rPr>
                    <w:szCs w:val="24"/>
                    <w:lang w:eastAsia="lt-LT"/>
                  </w:rPr>
                </w:pPr>
                <w:r>
                  <w:rPr>
                    <w:szCs w:val="24"/>
                    <w:lang w:eastAsia="lt-LT"/>
                  </w:rPr>
                  <w:t>3. Lyčių lygybės ir nediskriminavimo kitais pagrindais principų įgyvendinimo ypatumus gali nustatyti kiti įstatymai ir kitos darbo teisės normos.</w:t>
                </w:r>
              </w:p>
              <w:p>
                <w:pPr>
                  <w:jc w:val="both"/>
                  <w:rPr>
                    <w:szCs w:val="24"/>
                    <w:lang w:eastAsia="lt-LT"/>
                  </w:rPr>
                </w:pPr>
              </w:p>
              <w:p>
                <w:pPr>
                  <w:jc w:val="both"/>
                  <w:rPr>
                    <w:szCs w:val="24"/>
                    <w:lang w:eastAsia="lt-LT"/>
                  </w:rPr>
                </w:pPr>
                <w:r>
                  <w:rPr>
                    <w:b/>
                    <w:bCs/>
                    <w:szCs w:val="24"/>
                    <w:lang w:eastAsia="lt-LT"/>
                  </w:rPr>
                  <w:t>30 straipsnis. Darbuotojų garbės ir orumo gynimas, smurto ir priekabiavimo draudimas</w:t>
                </w:r>
              </w:p>
              <w:p>
                <w:pPr>
                  <w:jc w:val="both"/>
                  <w:rPr>
                    <w:szCs w:val="24"/>
                    <w:lang w:eastAsia="lt-LT"/>
                  </w:rPr>
                </w:pPr>
                <w:r>
                  <w:rPr>
                    <w:szCs w:val="24"/>
                    <w:lang w:eastAsia="lt-LT"/>
                  </w:rPr>
                  <w:t>1.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p>
                <w:pPr>
                  <w:jc w:val="both"/>
                  <w:rPr>
                    <w:szCs w:val="24"/>
                    <w:lang w:eastAsia="lt-LT"/>
                  </w:rPr>
                </w:pPr>
                <w:r>
                  <w:rPr>
                    <w:szCs w:val="24"/>
                    <w:lang w:eastAsia="lt-LT"/>
                  </w:rPr>
                  <w:t>2. 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13" w:tgtFrame="_parent" w:history="1">
                  <w:r>
                    <w:rPr>
                      <w:i/>
                      <w:iCs/>
                      <w:szCs w:val="24"/>
                      <w:u w:val="single"/>
                      <w:lang w:eastAsia="lt-LT"/>
                    </w:rPr>
                    <w:t>XIV-3034</w:t>
                  </w:r>
                </w:hyperlink>
                <w:r>
                  <w:rPr>
                    <w:i/>
                    <w:iCs/>
                    <w:szCs w:val="24"/>
                    <w:lang w:eastAsia="lt-LT"/>
                  </w:rPr>
                  <w:t>, 2024-10-17, paskelbta TAR 2024-10-24, i. k. 2024-18430</w:t>
                </w:r>
              </w:p>
              <w:p>
                <w:pPr>
                  <w:jc w:val="both"/>
                  <w:rPr>
                    <w:szCs w:val="24"/>
                    <w:lang w:eastAsia="lt-LT"/>
                  </w:rPr>
                </w:pPr>
                <w:r>
                  <w:rPr>
                    <w:szCs w:val="24"/>
                    <w:lang w:eastAsia="lt-LT"/>
                  </w:rPr>
                  <w:t>1) darbo vietose, įskaitant viešąsias ir privačias vietas, kai darbuotojas yra darbdavio žinioje ar atlieka pareigas pagal darbo sutartį;</w:t>
                </w:r>
              </w:p>
              <w:p>
                <w:pPr>
                  <w:jc w:val="both"/>
                  <w:rPr>
                    <w:szCs w:val="24"/>
                    <w:lang w:eastAsia="lt-LT"/>
                  </w:rPr>
                </w:pPr>
                <w:r>
                  <w:rPr>
                    <w:szCs w:val="24"/>
                    <w:lang w:eastAsia="lt-LT"/>
                  </w:rPr>
                  <w:t>2) pertraukų pailsėti ir pavalgyti metu arba naudojantis buities, sanitarinėmis ir higienos patalpomis;</w:t>
                </w:r>
              </w:p>
              <w:p>
                <w:pPr>
                  <w:jc w:val="both"/>
                  <w:rPr>
                    <w:szCs w:val="24"/>
                    <w:lang w:eastAsia="lt-LT"/>
                  </w:rPr>
                </w:pPr>
                <w:r>
                  <w:rPr>
                    <w:szCs w:val="24"/>
                    <w:lang w:eastAsia="lt-LT"/>
                  </w:rPr>
                  <w:t>3) su darbu susijusių išvykų, kelionių, mokymų, renginių ar socialinės veiklos metu;</w:t>
                </w:r>
              </w:p>
              <w:p>
                <w:pPr>
                  <w:jc w:val="both"/>
                  <w:rPr>
                    <w:szCs w:val="24"/>
                    <w:lang w:eastAsia="lt-LT"/>
                  </w:rPr>
                </w:pPr>
                <w:r>
                  <w:rPr>
                    <w:szCs w:val="24"/>
                    <w:lang w:eastAsia="lt-LT"/>
                  </w:rPr>
                  <w:t>4) su darbu susijusio bendravimo, įskaitant bendravimą informacinėmis ir elektroninių ryšių technologijomis, metu;</w:t>
                </w:r>
              </w:p>
              <w:p>
                <w:pPr>
                  <w:jc w:val="both"/>
                  <w:rPr>
                    <w:szCs w:val="24"/>
                    <w:lang w:eastAsia="lt-LT"/>
                  </w:rPr>
                </w:pPr>
                <w:r>
                  <w:rPr>
                    <w:szCs w:val="24"/>
                    <w:lang w:eastAsia="lt-LT"/>
                  </w:rPr>
                  <w:t>5) darbdavio suteiktame būste;</w:t>
                </w:r>
              </w:p>
              <w:p>
                <w:pPr>
                  <w:jc w:val="both"/>
                  <w:rPr>
                    <w:szCs w:val="24"/>
                    <w:lang w:eastAsia="lt-LT"/>
                  </w:rPr>
                </w:pPr>
                <w:r>
                  <w:rPr>
                    <w:szCs w:val="24"/>
                    <w:lang w:eastAsia="lt-LT"/>
                  </w:rPr>
                  <w:t>6) pakeliui į darbą ar iš darbo.</w:t>
                </w:r>
              </w:p>
              <w:p>
                <w:pPr>
                  <w:jc w:val="both"/>
                  <w:rPr>
                    <w:szCs w:val="24"/>
                    <w:lang w:eastAsia="lt-LT"/>
                  </w:rPr>
                </w:pPr>
              </w:p>
              <w:p>
                <w:pPr>
                  <w:ind w:firstLine="62"/>
                  <w:jc w:val="both"/>
                  <w:rPr>
                    <w:szCs w:val="24"/>
                    <w:lang w:eastAsia="lt-LT"/>
                  </w:rPr>
                </w:pPr>
              </w:p>
              <w:p>
                <w:pPr>
                  <w:jc w:val="both"/>
                  <w:rPr>
                    <w:szCs w:val="24"/>
                    <w:lang w:eastAsia="lt-LT"/>
                  </w:rPr>
                </w:pPr>
                <w:r>
                  <w:rPr>
                    <w:b/>
                    <w:bCs/>
                    <w:szCs w:val="24"/>
                    <w:lang w:eastAsia="lt-LT"/>
                  </w:rPr>
                  <w:t>41 straipsnis. Darbo sutarties šalių ikisutartiniai santykiai</w:t>
                </w:r>
              </w:p>
              <w:p>
                <w:pPr>
                  <w:jc w:val="both"/>
                  <w:rPr>
                    <w:szCs w:val="24"/>
                    <w:lang w:eastAsia="lt-LT"/>
                  </w:rPr>
                </w:pPr>
                <w:r>
                  <w:rPr>
                    <w:szCs w:val="24"/>
                    <w:lang w:eastAsia="lt-LT"/>
                  </w:rPr>
                  <w:t>1.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Draudžiama iš darbuotojo reikalauti informacijos, kuri nėra susijusi su jo sveikatos būkle, kvalifikacija ar kitomis aplinkybėmis, nesusijusiomis su tiesioginiu darbo funkcijos atlikimu.</w:t>
                </w:r>
              </w:p>
              <w:p>
                <w:pPr>
                  <w:jc w:val="both"/>
                  <w:rPr>
                    <w:szCs w:val="24"/>
                    <w:lang w:eastAsia="lt-LT"/>
                  </w:rPr>
                </w:pPr>
              </w:p>
            </w:tc>
            <w:tc>
              <w:tcPr>
                <w:tcW w:w="1800" w:type="dxa"/>
              </w:tcPr>
              <w:p>
                <w:pPr>
                  <w:tabs>
                    <w:tab w:val="center" w:pos="4153"/>
                    <w:tab w:val="right" w:pos="8306"/>
                  </w:tabs>
                  <w:rPr>
                    <w:b/>
                    <w:bCs/>
                    <w:szCs w:val="24"/>
                    <w:lang w:eastAsia="lt-LT"/>
                  </w:rPr>
                </w:pPr>
                <w:r>
                  <w:rPr>
                    <w:b/>
                    <w:bCs/>
                    <w:szCs w:val="24"/>
                    <w:lang w:eastAsia="lt-LT"/>
                  </w:rPr>
                  <w:t>Visiškas</w:t>
                </w:r>
              </w:p>
            </w:tc>
          </w:tr>
          <w:tr>
            <w:trPr>
              <w:trHeight w:val="1289"/>
            </w:trPr>
            <w:tc>
              <w:tcPr>
                <w:tcW w:w="6210" w:type="dxa"/>
              </w:tcPr>
              <w:p>
                <w:pPr>
                  <w:jc w:val="both"/>
                  <w:rPr>
                    <w:b/>
                    <w:bCs/>
                    <w:iCs/>
                    <w:szCs w:val="24"/>
                    <w:lang w:eastAsia="lt-LT"/>
                  </w:rPr>
                </w:pPr>
                <w:r>
                  <w:rPr>
                    <w:b/>
                    <w:bCs/>
                    <w:iCs/>
                    <w:szCs w:val="24"/>
                    <w:lang w:eastAsia="lt-LT"/>
                  </w:rPr>
                  <w:t>3 straipsnis</w:t>
                </w:r>
              </w:p>
              <w:p>
                <w:pPr>
                  <w:jc w:val="both"/>
                  <w:rPr>
                    <w:b/>
                    <w:bCs/>
                    <w:szCs w:val="24"/>
                    <w:lang w:eastAsia="lt-LT"/>
                  </w:rPr>
                </w:pPr>
                <w:r>
                  <w:rPr>
                    <w:b/>
                    <w:bCs/>
                    <w:szCs w:val="24"/>
                    <w:lang w:eastAsia="lt-LT"/>
                  </w:rPr>
                  <w:t>Taikymo sritis</w:t>
                </w:r>
              </w:p>
              <w:p>
                <w:pPr>
                  <w:jc w:val="both"/>
                  <w:rPr>
                    <w:szCs w:val="24"/>
                    <w:lang w:eastAsia="lt-LT"/>
                  </w:rPr>
                </w:pPr>
                <w:r>
                  <w:rPr>
                    <w:szCs w:val="24"/>
                    <w:lang w:eastAsia="lt-LT"/>
                  </w:rPr>
                  <w:t>1. Neviršijant Bendrijai suteiktų įgaliojimų, ši direktyva taikoma visiems asmenims tiek valstybiniame, tiek privačiame sektoriuje, įskaitant valstybines įstaigas:</w:t>
                </w:r>
              </w:p>
              <w:p>
                <w:pPr>
                  <w:jc w:val="both"/>
                  <w:rPr>
                    <w:szCs w:val="24"/>
                    <w:lang w:eastAsia="lt-LT"/>
                  </w:rPr>
                </w:pPr>
                <w:r>
                  <w:rPr>
                    <w:szCs w:val="24"/>
                    <w:lang w:eastAsia="lt-LT"/>
                  </w:rPr>
                  <w:t>a) įsidarbinant, savarankiškai įsidarbinant ar darbo sąlygoms, įskaitant atrankos kriterijus ir priėmimo į darbą sąlygas, visoms veiklos rūšims ir visais profesinės karjeros etapais, įskaitant paaukštinimą;</w:t>
                </w:r>
              </w:p>
              <w:p>
                <w:pPr>
                  <w:jc w:val="both"/>
                  <w:rPr>
                    <w:szCs w:val="24"/>
                    <w:lang w:eastAsia="lt-LT"/>
                  </w:rPr>
                </w:pPr>
                <w:r>
                  <w:rPr>
                    <w:szCs w:val="24"/>
                    <w:lang w:eastAsia="lt-LT"/>
                  </w:rPr>
                  <w:t>b) galimybei gauti visų rūšių ir visų lygių profesinį orientavimą, profesinį mokymą, sudėtingesnį profesinį mokymą ir perkvalifikavimą, įskaitant praktinę darbo patirtį;</w:t>
                </w:r>
              </w:p>
              <w:p>
                <w:pPr>
                  <w:jc w:val="both"/>
                  <w:rPr>
                    <w:szCs w:val="24"/>
                    <w:lang w:eastAsia="lt-LT"/>
                  </w:rPr>
                </w:pPr>
                <w:r>
                  <w:rPr>
                    <w:szCs w:val="24"/>
                    <w:lang w:eastAsia="lt-LT"/>
                  </w:rPr>
                  <w:t>c) įdarbinimui ir darbo sąlygoms, įskaitant atleidimą iš darbo ir atlyginimą;</w:t>
                </w:r>
              </w:p>
              <w:p>
                <w:pPr>
                  <w:jc w:val="both"/>
                  <w:rPr>
                    <w:szCs w:val="24"/>
                    <w:lang w:eastAsia="lt-LT"/>
                  </w:rPr>
                </w:pPr>
                <w:r>
                  <w:rPr>
                    <w:szCs w:val="24"/>
                    <w:lang w:eastAsia="lt-LT"/>
                  </w:rPr>
                  <w:t>d) narystei ir dalyvavimui darbuotojų ar darbdavių organizacijose ar kitose organizacijose, kurių nariai turi tam tikrą profesiją, įskaitant tokių organizacijų teikiamą naudą.</w:t>
                </w:r>
              </w:p>
              <w:p>
                <w:pPr>
                  <w:jc w:val="both"/>
                  <w:rPr>
                    <w:szCs w:val="24"/>
                    <w:lang w:eastAsia="lt-LT"/>
                  </w:rPr>
                </w:pPr>
              </w:p>
              <w:p>
                <w:pPr>
                  <w:jc w:val="both"/>
                  <w:rPr>
                    <w:szCs w:val="24"/>
                    <w:lang w:eastAsia="lt-LT"/>
                  </w:rPr>
                </w:pPr>
                <w:r>
                  <w:rPr>
                    <w:szCs w:val="24"/>
                    <w:lang w:eastAsia="lt-LT"/>
                  </w:rPr>
                  <w:t>2. Šioje direktyvoje neaptariamas skirtingas požiūris dėl pilietybės ir ji nepažeidžia trečiųjų šalių piliečių ir asmenų be pilietybės atvykimui į valstybių narių teritoriją ir apsigyvenimui jose taikomų nuostatų ir sąlygų nei kitų su tokių trečiųjų šalių piliečių ir asmenų be pilietybės teisiniu statusu susijusių sąlygų taikymo.</w:t>
                </w:r>
              </w:p>
              <w:p>
                <w:pPr>
                  <w:jc w:val="both"/>
                  <w:rPr>
                    <w:szCs w:val="24"/>
                    <w:lang w:eastAsia="lt-LT"/>
                  </w:rPr>
                </w:pPr>
              </w:p>
              <w:p>
                <w:pPr>
                  <w:jc w:val="both"/>
                  <w:rPr>
                    <w:szCs w:val="24"/>
                    <w:lang w:eastAsia="lt-LT"/>
                  </w:rPr>
                </w:pPr>
                <w:r>
                  <w:rPr>
                    <w:szCs w:val="24"/>
                    <w:lang w:eastAsia="lt-LT"/>
                  </w:rPr>
                  <w:t>3. Ši direktyva netaikoma bet kokios rūšies išmokoms, mokamos pagal valstybines ar panašias sistemas, įskaitant valstybinio socialinio draudimo ar socialinės apsaugos sistemas.</w:t>
                </w:r>
              </w:p>
              <w:p>
                <w:pPr>
                  <w:jc w:val="both"/>
                  <w:rPr>
                    <w:szCs w:val="24"/>
                    <w:lang w:eastAsia="lt-LT"/>
                  </w:rPr>
                </w:pPr>
              </w:p>
              <w:p>
                <w:pPr>
                  <w:jc w:val="both"/>
                  <w:rPr>
                    <w:szCs w:val="24"/>
                    <w:lang w:eastAsia="lt-LT"/>
                  </w:rPr>
                </w:pPr>
                <w:r>
                  <w:rPr>
                    <w:szCs w:val="24"/>
                    <w:lang w:eastAsia="lt-LT"/>
                  </w:rPr>
                  <w:t>4. Valstybės narės gali numatyti, kad diskriminaciją dėl negalios ar amžiaus reglamentuojančios šios direktyvos nuostatos nebūtų taikomos ginkluotosioms pajėgoms.</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tc>
            <w:tc>
              <w:tcPr>
                <w:tcW w:w="7110" w:type="dxa"/>
              </w:tcPr>
              <w:p>
                <w:pPr>
                  <w:jc w:val="both"/>
                  <w:rPr>
                    <w:b/>
                    <w:bCs/>
                    <w:szCs w:val="24"/>
                    <w:lang w:eastAsia="lt-LT"/>
                  </w:rPr>
                </w:pPr>
                <w:r>
                  <w:rPr>
                    <w:b/>
                    <w:bCs/>
                    <w:szCs w:val="24"/>
                    <w:lang w:eastAsia="lt-LT"/>
                  </w:rPr>
                  <w:t xml:space="preserve">Projektas </w:t>
                </w:r>
              </w:p>
              <w:p>
                <w:pPr>
                  <w:jc w:val="both"/>
                  <w:rPr>
                    <w:b/>
                    <w:bCs/>
                    <w:szCs w:val="24"/>
                    <w:lang w:eastAsia="lt-LT"/>
                  </w:rPr>
                </w:pPr>
                <w:r>
                  <w:rPr>
                    <w:b/>
                    <w:bCs/>
                    <w:szCs w:val="24"/>
                    <w:lang w:eastAsia="lt-LT"/>
                  </w:rPr>
                  <w:t>1 straipsnis. Įstatymo paskirtis ir taikymas</w:t>
                </w:r>
              </w:p>
              <w:p>
                <w:pPr>
                  <w:jc w:val="both"/>
                  <w:rPr>
                    <w:b/>
                    <w:bCs/>
                    <w:szCs w:val="24"/>
                    <w:lang w:eastAsia="lt-LT"/>
                  </w:rPr>
                </w:pPr>
                <w:r>
                  <w:rPr>
                    <w:b/>
                    <w:bCs/>
                    <w:szCs w:val="24"/>
                    <w:lang w:eastAsia="lt-LT"/>
                  </w:rPr>
                  <w:t xml:space="preserve">1. Šio įstatymo paskirtis – užtikrinti, kad būtų įgyvendintos Lietuvos Respublikos Konstitucijos 29 straipsnio nuostatos ir užtikrinta asmenų lygybė ir vienodas požiūris į juos be diskriminacijos visoje Lietuvos Respublikos teritorijoje. </w:t>
                </w:r>
              </w:p>
              <w:p>
                <w:pPr>
                  <w:jc w:val="both"/>
                  <w:rPr>
                    <w:b/>
                    <w:bCs/>
                    <w:szCs w:val="24"/>
                    <w:lang w:eastAsia="lt-LT"/>
                  </w:rPr>
                </w:pPr>
                <w:r>
                  <w:rPr>
                    <w:b/>
                    <w:bCs/>
                    <w:szCs w:val="24"/>
                    <w:lang w:eastAsia="lt-LT"/>
                  </w:rPr>
                  <w:t>[...]</w:t>
                </w:r>
              </w:p>
              <w:p>
                <w:pPr>
                  <w:jc w:val="both"/>
                  <w:rPr>
                    <w:b/>
                    <w:bCs/>
                    <w:szCs w:val="24"/>
                    <w:lang w:eastAsia="lt-LT"/>
                  </w:rPr>
                </w:pPr>
              </w:p>
              <w:p>
                <w:pPr>
                  <w:jc w:val="both"/>
                  <w:rPr>
                    <w:b/>
                    <w:bCs/>
                    <w:szCs w:val="24"/>
                    <w:lang w:eastAsia="lt-LT"/>
                  </w:rPr>
                </w:pPr>
                <w:r>
                  <w:rPr>
                    <w:b/>
                    <w:bCs/>
                    <w:szCs w:val="24"/>
                    <w:lang w:eastAsia="lt-LT"/>
                  </w:rPr>
                  <w:t>2 straipsnis. Pagrindinės šio įstatymo sąvokos</w:t>
                </w:r>
              </w:p>
              <w:p>
                <w:pPr>
                  <w:jc w:val="both"/>
                  <w:rPr>
                    <w:b/>
                    <w:bCs/>
                    <w:szCs w:val="24"/>
                    <w:lang w:eastAsia="lt-LT"/>
                  </w:rPr>
                </w:pPr>
                <w:r>
                  <w:rPr>
                    <w:b/>
                    <w:bCs/>
                    <w:szCs w:val="24"/>
                    <w:lang w:eastAsia="lt-LT"/>
                  </w:rPr>
                  <w:t>[...]</w:t>
                </w:r>
              </w:p>
              <w:p>
                <w:pPr>
                  <w:jc w:val="both"/>
                  <w:rPr>
                    <w:b/>
                    <w:bCs/>
                    <w:szCs w:val="24"/>
                    <w:lang w:eastAsia="lt-LT"/>
                  </w:rPr>
                </w:pPr>
                <w:r>
                  <w:rPr>
                    <w:b/>
                    <w:bCs/>
                    <w:szCs w:val="24"/>
                    <w:lang w:eastAsia="lt-LT"/>
                  </w:rPr>
                  <w:t xml:space="preserve">2. Diskriminacija – naudojimosi teisėmis apribojimas arba privilegijų, pirmenybės ar pranašumo teikimas vienu ar keliais diskriminacijos pagrindais. Diskriminacijos, kuri gali būti ir daugialypė, sąveikinė, siejamoji, formos yra tiesioginė ir netiesioginė, taip pat nurodymas diskriminuoti, priekabiavimas, seksualinis priekabiavimas. </w:t>
                </w:r>
              </w:p>
              <w:p>
                <w:pPr>
                  <w:jc w:val="both"/>
                  <w:rPr>
                    <w:b/>
                    <w:bCs/>
                    <w:szCs w:val="24"/>
                    <w:lang w:eastAsia="lt-LT"/>
                  </w:rPr>
                </w:pPr>
                <w:r>
                  <w:rPr>
                    <w:b/>
                    <w:bCs/>
                    <w:szCs w:val="24"/>
                    <w:lang w:eastAsia="lt-LT"/>
                  </w:rPr>
                  <w:t xml:space="preserve">3. Diskriminacijos pagrindai – amžius, etninė priklausomybė, kalba, kilmė, lyties raiška ar kiti lyties požymiai, lytinė tapatybė, lytis, negalia, odos spalva, pažiūros, pilietybė, rasė, religija ar įsitikinimai, seksualinė orientacija, socialinė padėtis, tautybė, tikėjimas, dėl kurių asmuo gali patirti diskriminaciją, įskaitant ir atvejus, kai asmens tapatybės bruožas jam priskiriamas kitų asmenų. </w:t>
                </w:r>
              </w:p>
              <w:p>
                <w:pPr>
                  <w:jc w:val="both"/>
                  <w:rPr>
                    <w:b/>
                    <w:bCs/>
                    <w:szCs w:val="24"/>
                    <w:lang w:eastAsia="lt-LT"/>
                  </w:rPr>
                </w:pPr>
                <w:r>
                  <w:rPr>
                    <w:b/>
                    <w:bCs/>
                    <w:szCs w:val="24"/>
                    <w:lang w:eastAsia="lt-LT"/>
                  </w:rPr>
                  <w:t>[...]</w:t>
                </w:r>
              </w:p>
              <w:p>
                <w:pPr>
                  <w:jc w:val="both"/>
                  <w:rPr>
                    <w:b/>
                    <w:bCs/>
                    <w:szCs w:val="24"/>
                    <w:lang w:eastAsia="lt-LT"/>
                  </w:rPr>
                </w:pPr>
              </w:p>
              <w:p>
                <w:pPr>
                  <w:jc w:val="both"/>
                  <w:rPr>
                    <w:b/>
                    <w:bCs/>
                    <w:szCs w:val="24"/>
                    <w:lang w:eastAsia="lt-LT"/>
                  </w:rPr>
                </w:pPr>
                <w:r>
                  <w:rPr>
                    <w:b/>
                    <w:bCs/>
                    <w:szCs w:val="24"/>
                    <w:lang w:eastAsia="lt-LT"/>
                  </w:rPr>
                  <w:t>7 straipsnis. Švietimo teikėjų bei mokslo ir studijų institucijų pareiga įgyvendinti lygias galimybes</w:t>
                </w:r>
              </w:p>
              <w:p>
                <w:pPr>
                  <w:jc w:val="both"/>
                  <w:rPr>
                    <w:b/>
                    <w:bCs/>
                    <w:szCs w:val="24"/>
                    <w:lang w:eastAsia="lt-LT"/>
                  </w:rPr>
                </w:pPr>
                <w:r>
                  <w:rPr>
                    <w:b/>
                    <w:bCs/>
                    <w:szCs w:val="24"/>
                    <w:lang w:eastAsia="lt-LT"/>
                  </w:rPr>
                  <w:t>1. Švietimo teikėjai bei mokslo ir studijų institucijos pagal kompetenciją privalo:</w:t>
                </w:r>
              </w:p>
              <w:p>
                <w:pPr>
                  <w:jc w:val="both"/>
                  <w:rPr>
                    <w:b/>
                    <w:bCs/>
                    <w:szCs w:val="24"/>
                    <w:lang w:eastAsia="lt-LT"/>
                  </w:rPr>
                </w:pPr>
                <w:r>
                  <w:rPr>
                    <w:b/>
                    <w:bCs/>
                    <w:szCs w:val="24"/>
                    <w:lang w:eastAsia="lt-LT"/>
                  </w:rPr>
                  <w:t>1) užtikrinti asmenims lygias galimybes:</w:t>
                </w:r>
              </w:p>
              <w:p>
                <w:pPr>
                  <w:jc w:val="both"/>
                  <w:rPr>
                    <w:b/>
                    <w:bCs/>
                    <w:szCs w:val="24"/>
                    <w:lang w:eastAsia="lt-LT"/>
                  </w:rPr>
                </w:pPr>
                <w:r>
                  <w:rPr>
                    <w:b/>
                    <w:bCs/>
                    <w:szCs w:val="24"/>
                    <w:lang w:eastAsia="lt-LT"/>
                  </w:rPr>
                  <w:t xml:space="preserve">a) priimant pas švietimo teikėjus, kurie vykdo mokymo ir ugdymo veiklą, bei į mokslo ir studijų institucijas, kuriose mokoma ir ugdoma pagal formaliojo ir neformaliojo švietimo programas; </w:t>
                </w:r>
              </w:p>
              <w:p>
                <w:pPr>
                  <w:jc w:val="both"/>
                  <w:rPr>
                    <w:b/>
                    <w:bCs/>
                    <w:szCs w:val="24"/>
                    <w:lang w:eastAsia="lt-LT"/>
                  </w:rPr>
                </w:pPr>
                <w:r>
                  <w:rPr>
                    <w:b/>
                    <w:bCs/>
                    <w:szCs w:val="24"/>
                    <w:lang w:eastAsia="lt-LT"/>
                  </w:rPr>
                  <w:t>b) skiriant stipendijas ir (ar) teikiant paskolas;</w:t>
                </w:r>
              </w:p>
              <w:p>
                <w:pPr>
                  <w:jc w:val="both"/>
                  <w:rPr>
                    <w:b/>
                    <w:bCs/>
                    <w:szCs w:val="24"/>
                    <w:lang w:eastAsia="lt-LT"/>
                  </w:rPr>
                </w:pPr>
                <w:r>
                  <w:rPr>
                    <w:b/>
                    <w:bCs/>
                    <w:szCs w:val="24"/>
                    <w:lang w:eastAsia="lt-LT"/>
                  </w:rPr>
                  <w:t>c) rengiant, sudarant, tvirtinant švietimo programas;</w:t>
                </w:r>
              </w:p>
              <w:p>
                <w:pPr>
                  <w:jc w:val="both"/>
                  <w:rPr>
                    <w:b/>
                    <w:bCs/>
                    <w:szCs w:val="24"/>
                    <w:lang w:eastAsia="lt-LT"/>
                  </w:rPr>
                </w:pPr>
                <w:r>
                  <w:rPr>
                    <w:b/>
                    <w:bCs/>
                    <w:szCs w:val="24"/>
                    <w:lang w:eastAsia="lt-LT"/>
                  </w:rPr>
                  <w:t>d) vertinant mokymosi pasiekimus;</w:t>
                </w:r>
              </w:p>
              <w:p>
                <w:pPr>
                  <w:jc w:val="both"/>
                  <w:rPr>
                    <w:b/>
                    <w:bCs/>
                    <w:szCs w:val="24"/>
                    <w:lang w:eastAsia="lt-LT"/>
                  </w:rPr>
                </w:pPr>
                <w:r>
                  <w:rPr>
                    <w:b/>
                    <w:bCs/>
                    <w:szCs w:val="24"/>
                    <w:lang w:eastAsia="lt-LT"/>
                  </w:rPr>
                  <w:t>e) parenkant arba asmenims patiems pasirenkant mokymo programas ir (ar) dėstomus dalykus;</w:t>
                </w:r>
              </w:p>
              <w:p>
                <w:pPr>
                  <w:jc w:val="both"/>
                  <w:rPr>
                    <w:b/>
                    <w:bCs/>
                    <w:szCs w:val="24"/>
                    <w:lang w:eastAsia="lt-LT"/>
                  </w:rPr>
                </w:pPr>
                <w:r>
                  <w:rPr>
                    <w:b/>
                    <w:bCs/>
                    <w:szCs w:val="24"/>
                    <w:lang w:eastAsia="lt-LT"/>
                  </w:rPr>
                  <w:t>f) vykdant profesinio orientavimo veiklą, keliant kvalifikaciją, ugdant profesinius įgūdžius ir (ar) suteikiant praktinio darbo patirtį;</w:t>
                </w:r>
              </w:p>
              <w:p>
                <w:pPr>
                  <w:jc w:val="both"/>
                  <w:rPr>
                    <w:b/>
                    <w:bCs/>
                    <w:szCs w:val="24"/>
                    <w:lang w:eastAsia="lt-LT"/>
                  </w:rPr>
                </w:pPr>
                <w:r>
                  <w:rPr>
                    <w:b/>
                    <w:bCs/>
                    <w:szCs w:val="24"/>
                    <w:lang w:eastAsia="lt-LT"/>
                  </w:rPr>
                  <w:t xml:space="preserve">2) užtikrinti, kad švietimo programose, vadovėliuose ir kitose mokymo priemonėse, įskaitant virtualiąsias mokymo(si) priemones, nebūtų diskriminacijos ar jos propagavimo; </w:t>
                </w:r>
              </w:p>
              <w:p>
                <w:pPr>
                  <w:jc w:val="both"/>
                  <w:rPr>
                    <w:b/>
                    <w:bCs/>
                    <w:szCs w:val="24"/>
                    <w:lang w:eastAsia="lt-LT"/>
                  </w:rPr>
                </w:pPr>
                <w:r>
                  <w:rPr>
                    <w:b/>
                    <w:bCs/>
                    <w:szCs w:val="24"/>
                    <w:lang w:eastAsia="lt-LT"/>
                  </w:rPr>
                  <w:t xml:space="preserve">3) užtikrinti, kad pas švietimo teikėjus bei mokslo ir studijų institucijose nebūtų duodami nurodymai diskriminuoti, priekabiaujama, seksualiai priekabiaujama. </w:t>
                </w:r>
              </w:p>
              <w:p>
                <w:pPr>
                  <w:jc w:val="both"/>
                  <w:rPr>
                    <w:b/>
                    <w:bCs/>
                    <w:szCs w:val="24"/>
                    <w:lang w:eastAsia="lt-LT"/>
                  </w:rPr>
                </w:pPr>
                <w:r>
                  <w:rPr>
                    <w:b/>
                    <w:bCs/>
                    <w:szCs w:val="24"/>
                    <w:lang w:eastAsia="lt-LT"/>
                  </w:rPr>
                  <w:t>2. Švietimo teikėjai bei mokslo ir studijų institucijos privalo imtis priemonių, kad asmenims su negalia būtų užtikrintas tinkamas sąlygų pritaikymas, kurio reikia konkrečiu atveju siekiant užtikrinti jų ugdymosi poreikių tenkinimą, galimybę dalyvauti švietimo procese ir įgyvendinti teisę į švietimą, vadovaujantis Švietimo įstatymo 5 straipsnyje numatytais lygių galimybių ir įtraukties principais.</w:t>
                </w:r>
              </w:p>
              <w:p>
                <w:pPr>
                  <w:jc w:val="both"/>
                  <w:rPr>
                    <w:b/>
                    <w:bCs/>
                    <w:szCs w:val="24"/>
                    <w:lang w:eastAsia="lt-LT"/>
                  </w:rPr>
                </w:pPr>
              </w:p>
              <w:p>
                <w:pPr>
                  <w:jc w:val="both"/>
                  <w:rPr>
                    <w:b/>
                    <w:bCs/>
                    <w:szCs w:val="24"/>
                    <w:lang w:eastAsia="lt-LT"/>
                  </w:rPr>
                </w:pPr>
                <w:r>
                  <w:rPr>
                    <w:b/>
                    <w:bCs/>
                    <w:szCs w:val="24"/>
                    <w:lang w:eastAsia="lt-LT"/>
                  </w:rPr>
                  <w:t>8 straipsnis. Darbdavio pareiga įgyvendinti lygias galimybes darbe, valstybės tarnyboje</w:t>
                </w:r>
              </w:p>
              <w:p>
                <w:pPr>
                  <w:jc w:val="both"/>
                  <w:rPr>
                    <w:b/>
                    <w:bCs/>
                    <w:szCs w:val="24"/>
                    <w:lang w:eastAsia="lt-LT"/>
                  </w:rPr>
                </w:pPr>
                <w:r>
                  <w:rPr>
                    <w:b/>
                    <w:bCs/>
                    <w:szCs w:val="24"/>
                    <w:lang w:eastAsia="lt-LT"/>
                  </w:rPr>
                  <w:t>Įgyvendindamas lygias galimybes, darbdavys privalo:</w:t>
                </w:r>
              </w:p>
              <w:p>
                <w:pPr>
                  <w:jc w:val="both"/>
                  <w:rPr>
                    <w:b/>
                    <w:bCs/>
                    <w:szCs w:val="24"/>
                    <w:lang w:eastAsia="lt-LT"/>
                  </w:rPr>
                </w:pPr>
                <w:r>
                  <w:rPr>
                    <w:b/>
                    <w:bCs/>
                    <w:szCs w:val="24"/>
                    <w:lang w:eastAsia="lt-LT"/>
                  </w:rPr>
                  <w:t>1) priimdamas į darbą ar valstybės tarnybą, taikyti vienodus darbuotojų ar valstybės tarnautojų atrankos kriterijus ir (ar) sąlygas, išskyrus šio įstatymo 2 straipsnio 16 dalies 4 ir 7 punktuose nustatytus atvejus;</w:t>
                </w:r>
              </w:p>
              <w:p>
                <w:pPr>
                  <w:jc w:val="both"/>
                  <w:rPr>
                    <w:b/>
                    <w:bCs/>
                    <w:szCs w:val="24"/>
                    <w:lang w:eastAsia="lt-LT"/>
                  </w:rPr>
                </w:pPr>
                <w:r>
                  <w:rPr>
                    <w:b/>
                    <w:bCs/>
                    <w:szCs w:val="24"/>
                    <w:lang w:eastAsia="lt-LT"/>
                  </w:rPr>
                  <w:t>2) sudaryti vienodas darbo ar valstybės tarnybos sąlygas, vienodas galimybes darbuotojams ar valstybės tarnautojams kelti kvalifikaciją, siekti profesinio mokymo, persikvalifikuoti, įgyti praktinio darbo patirties, taip pat teikti darbuotojams ar valstybės tarnautojams vienodas lengvatas;</w:t>
                </w:r>
              </w:p>
              <w:p>
                <w:pPr>
                  <w:jc w:val="both"/>
                  <w:rPr>
                    <w:b/>
                    <w:bCs/>
                    <w:szCs w:val="24"/>
                    <w:lang w:eastAsia="lt-LT"/>
                  </w:rPr>
                </w:pPr>
                <w:r>
                  <w:rPr>
                    <w:b/>
                    <w:bCs/>
                    <w:szCs w:val="24"/>
                    <w:lang w:eastAsia="lt-LT"/>
                  </w:rPr>
                  <w:t>3) naudoti vienodus darbuotojų darbo, valstybės tarnautojų tarnybinės veiklos vertinimo kriterijus;</w:t>
                </w:r>
              </w:p>
              <w:p>
                <w:pPr>
                  <w:jc w:val="both"/>
                  <w:rPr>
                    <w:b/>
                    <w:bCs/>
                    <w:szCs w:val="24"/>
                    <w:lang w:eastAsia="lt-LT"/>
                  </w:rPr>
                </w:pPr>
                <w:r>
                  <w:rPr>
                    <w:b/>
                    <w:bCs/>
                    <w:szCs w:val="24"/>
                    <w:lang w:eastAsia="lt-LT"/>
                  </w:rPr>
                  <w:t>4) naudoti vienodus atleidimo iš darbo ar iš valstybės tarnybos kriterijus;</w:t>
                </w:r>
              </w:p>
              <w:p>
                <w:pPr>
                  <w:jc w:val="both"/>
                  <w:rPr>
                    <w:b/>
                    <w:bCs/>
                    <w:szCs w:val="24"/>
                    <w:lang w:eastAsia="lt-LT"/>
                  </w:rPr>
                </w:pPr>
                <w:r>
                  <w:rPr>
                    <w:b/>
                    <w:bCs/>
                    <w:szCs w:val="24"/>
                    <w:lang w:eastAsia="lt-LT"/>
                  </w:rPr>
                  <w:t>5) už tokį patį ar vienodos vertės darbą mokėti vienodą darbo užmokestį;</w:t>
                </w:r>
              </w:p>
              <w:p>
                <w:pPr>
                  <w:jc w:val="both"/>
                  <w:rPr>
                    <w:b/>
                    <w:bCs/>
                    <w:szCs w:val="24"/>
                    <w:lang w:eastAsia="lt-LT"/>
                  </w:rPr>
                </w:pPr>
                <w:r>
                  <w:rPr>
                    <w:b/>
                    <w:bCs/>
                    <w:szCs w:val="24"/>
                    <w:lang w:eastAsia="lt-LT"/>
                  </w:rPr>
                  <w:t>6) užtikrinti, kad nebūtų duodami nurodymai diskriminuoti ir siekiantys įsidarbinti asmenys, darbuotojai, valstybės tarnautojai, praktikantai ar stažuotojai darbo vietoje nepatirtų priekabiavimo, seksualinio priekabiavimo;</w:t>
                </w:r>
              </w:p>
              <w:p>
                <w:pPr>
                  <w:jc w:val="both"/>
                  <w:rPr>
                    <w:b/>
                    <w:bCs/>
                    <w:szCs w:val="24"/>
                    <w:lang w:eastAsia="lt-LT"/>
                  </w:rPr>
                </w:pPr>
                <w:r>
                  <w:rPr>
                    <w:b/>
                    <w:bCs/>
                    <w:szCs w:val="24"/>
                    <w:lang w:eastAsia="lt-LT"/>
                  </w:rPr>
                  <w:t>7) imtis tinkamų ir proporcingų priemonių, kad asmenims su negalia būtų užtikrintas tinkamas sąlygų pritaikymas, kurio reikia konkrečiu atveju jiems siekiant gauti darbą (taip pat ir valstybės tarnyboje), dirbti, taip pat siekiant karjeros arba mokytis;</w:t>
                </w:r>
              </w:p>
              <w:p>
                <w:pPr>
                  <w:jc w:val="both"/>
                  <w:rPr>
                    <w:szCs w:val="24"/>
                    <w:lang w:eastAsia="lt-LT"/>
                  </w:rPr>
                </w:pPr>
                <w:r>
                  <w:rPr>
                    <w:b/>
                    <w:bCs/>
                    <w:szCs w:val="24"/>
                    <w:lang w:eastAsia="lt-LT"/>
                  </w:rPr>
                  <w:t>8) imtis priemonių, kad darbuotojai ar valstybės tarnautojai darbo vietoje nebūtų diskriminuojami dėl nėštumo ir gimdymo atostogų, tėvystės atostogų, atostogų vaikui prižiūrėti, papildomų poilsio dienų darbuotojams, auginantiems vaikus, nemokamų atostogų suteikimo ir darbo laiko režimo pasirinkimo.</w:t>
                </w:r>
              </w:p>
              <w:p>
                <w:pPr>
                  <w:jc w:val="both"/>
                  <w:rPr>
                    <w:szCs w:val="24"/>
                    <w:lang w:eastAsia="lt-LT"/>
                  </w:rPr>
                </w:pPr>
              </w:p>
              <w:p>
                <w:pPr>
                  <w:jc w:val="both"/>
                  <w:rPr>
                    <w:szCs w:val="24"/>
                    <w:lang w:eastAsia="lt-LT"/>
                  </w:rPr>
                </w:pPr>
              </w:p>
              <w:p>
                <w:pPr>
                  <w:jc w:val="both"/>
                  <w:rPr>
                    <w:rFonts w:ascii="Aptos" w:eastAsia="Aptos" w:hAnsi="Aptos" w:cs="Aptos"/>
                    <w:b/>
                    <w:szCs w:val="24"/>
                    <w:lang w:eastAsia="lt-LT"/>
                  </w:rPr>
                </w:pPr>
                <w:r>
                  <w:rPr>
                    <w:b/>
                    <w:szCs w:val="24"/>
                    <w:lang w:eastAsia="lt-LT"/>
                  </w:rPr>
                  <w:t>1</w:t>
                </w:r>
                <w:r>
                  <w:rPr>
                    <w:b/>
                    <w:szCs w:val="24"/>
                    <w:lang w:val="es-ES" w:eastAsia="lt-LT"/>
                  </w:rPr>
                  <w:t>1</w:t>
                </w:r>
                <w:r>
                  <w:rPr>
                    <w:b/>
                    <w:szCs w:val="24"/>
                    <w:lang w:eastAsia="lt-LT"/>
                  </w:rPr>
                  <w:t xml:space="preserve"> straipsnis. Draudimas diskriminuoti organizacijose (asociacijose)</w:t>
                </w:r>
              </w:p>
              <w:p>
                <w:pPr>
                  <w:jc w:val="both"/>
                  <w:rPr>
                    <w:b/>
                    <w:szCs w:val="24"/>
                    <w:lang w:eastAsia="lt-LT"/>
                  </w:rPr>
                </w:pPr>
                <w:r>
                  <w:rPr>
                    <w:b/>
                    <w:szCs w:val="24"/>
                    <w:lang w:eastAsia="lt-LT"/>
                  </w:rPr>
                  <w:t>Organizacijos (asociacijos) privalo:</w:t>
                </w:r>
              </w:p>
              <w:p>
                <w:pPr>
                  <w:jc w:val="both"/>
                  <w:rPr>
                    <w:b/>
                    <w:szCs w:val="24"/>
                    <w:lang w:eastAsia="lt-LT"/>
                  </w:rPr>
                </w:pPr>
                <w:r>
                  <w:rPr>
                    <w:b/>
                    <w:szCs w:val="24"/>
                    <w:lang w:eastAsia="lt-LT"/>
                  </w:rPr>
                  <w:t>1) užtikrinti, kad į jas priimami asmenys, dalyvaujantys jų veikloje ir gaunantys jų teikiamą naudą, nepatirtų diskriminacijos;</w:t>
                </w:r>
              </w:p>
              <w:p>
                <w:pPr>
                  <w:jc w:val="both"/>
                  <w:rPr>
                    <w:b/>
                    <w:szCs w:val="24"/>
                    <w:lang w:eastAsia="lt-LT"/>
                  </w:rPr>
                </w:pPr>
                <w:r>
                  <w:rPr>
                    <w:rFonts w:eastAsia="Aptos"/>
                    <w:b/>
                    <w:szCs w:val="24"/>
                    <w:lang w:eastAsia="lt-LT"/>
                  </w:rPr>
                  <w:t xml:space="preserve">2) užtikrinti, kad nebūtų duodami nurodymai diskriminuoti ir asmenys, </w:t>
                </w:r>
                <w:r>
                  <w:rPr>
                    <w:b/>
                    <w:szCs w:val="24"/>
                    <w:lang w:eastAsia="lt-LT"/>
                  </w:rPr>
                  <w:t>dalyvaujantys organizacijų (asociacijų) veikloje,</w:t>
                </w:r>
                <w:r>
                  <w:rPr>
                    <w:rFonts w:eastAsia="Aptos"/>
                    <w:b/>
                    <w:szCs w:val="24"/>
                    <w:lang w:eastAsia="lt-LT"/>
                  </w:rPr>
                  <w:t xml:space="preserve"> nepatirtų priekabiavimo, seksualinio priekabiavimo;</w:t>
                </w:r>
              </w:p>
              <w:p>
                <w:pPr>
                  <w:jc w:val="both"/>
                  <w:rPr>
                    <w:b/>
                    <w:szCs w:val="24"/>
                    <w:lang w:eastAsia="lt-LT"/>
                  </w:rPr>
                </w:pPr>
                <w:r>
                  <w:rPr>
                    <w:rFonts w:eastAsia="Aptos"/>
                    <w:b/>
                    <w:szCs w:val="24"/>
                    <w:lang w:eastAsia="lt-LT"/>
                  </w:rPr>
                  <w:t>3) imtis priemonių, kad asmenims su negalia būtų užtikrintas tinkamas sąlygų pritaikymas, kurio reikia konkrečiu atveju jiems siekiant dalyvauti šių organizacijų (asociacijų) veikloje ir gauti jų teikiamą naudą.</w:t>
                </w:r>
              </w:p>
              <w:p>
                <w:pPr>
                  <w:jc w:val="both"/>
                  <w:rPr>
                    <w:b/>
                    <w:bCs/>
                    <w:szCs w:val="24"/>
                    <w:lang w:eastAsia="lt-LT"/>
                  </w:rPr>
                </w:pPr>
              </w:p>
              <w:p>
                <w:pPr>
                  <w:jc w:val="both"/>
                  <w:rPr>
                    <w:szCs w:val="24"/>
                    <w:lang w:eastAsia="lt-LT"/>
                  </w:rPr>
                </w:pPr>
              </w:p>
              <w:p>
                <w:pPr>
                  <w:jc w:val="both"/>
                  <w:rPr>
                    <w:b/>
                    <w:bCs/>
                    <w:szCs w:val="24"/>
                    <w:lang w:eastAsia="lt-LT"/>
                  </w:rPr>
                </w:pPr>
                <w:r>
                  <w:rPr>
                    <w:b/>
                    <w:bCs/>
                    <w:szCs w:val="24"/>
                    <w:lang w:eastAsia="lt-LT"/>
                  </w:rPr>
                  <w:t>DK</w:t>
                </w:r>
              </w:p>
              <w:p>
                <w:pPr>
                  <w:jc w:val="both"/>
                  <w:rPr>
                    <w:b/>
                    <w:szCs w:val="24"/>
                    <w:lang w:eastAsia="lt-LT"/>
                  </w:rPr>
                </w:pPr>
              </w:p>
              <w:p>
                <w:pPr>
                  <w:jc w:val="both"/>
                  <w:rPr>
                    <w:b/>
                    <w:szCs w:val="24"/>
                    <w:lang w:eastAsia="lt-LT"/>
                  </w:rPr>
                </w:pPr>
                <w:r>
                  <w:rPr>
                    <w:b/>
                    <w:bCs/>
                    <w:szCs w:val="24"/>
                    <w:lang w:eastAsia="lt-LT"/>
                  </w:rPr>
                  <w:t>26 straipsnis. Darbuotojų lyčių lygybė ir nediskriminavimas kitais pagrindais</w:t>
                </w:r>
              </w:p>
              <w:p>
                <w:pPr>
                  <w:jc w:val="both"/>
                  <w:rPr>
                    <w:bCs/>
                    <w:szCs w:val="24"/>
                    <w:lang w:eastAsia="lt-LT"/>
                  </w:rPr>
                </w:pPr>
                <w:r>
                  <w:rPr>
                    <w:bCs/>
                    <w:szCs w:val="24"/>
                    <w:lang w:eastAsia="lt-LT"/>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pPr>
                  <w:jc w:val="both"/>
                  <w:rPr>
                    <w:bCs/>
                    <w:szCs w:val="24"/>
                    <w:lang w:eastAsia="lt-LT"/>
                  </w:rPr>
                </w:pPr>
                <w:r>
                  <w:rPr>
                    <w:bCs/>
                    <w:i/>
                    <w:iCs/>
                    <w:szCs w:val="24"/>
                    <w:lang w:eastAsia="lt-LT"/>
                  </w:rPr>
                  <w:t>Straipsnio dalies pakeitimai:</w:t>
                </w:r>
              </w:p>
              <w:p>
                <w:pPr>
                  <w:jc w:val="both"/>
                  <w:rPr>
                    <w:bCs/>
                    <w:szCs w:val="24"/>
                    <w:lang w:eastAsia="lt-LT"/>
                  </w:rPr>
                </w:pPr>
                <w:r>
                  <w:rPr>
                    <w:bCs/>
                    <w:i/>
                    <w:iCs/>
                    <w:szCs w:val="24"/>
                    <w:lang w:eastAsia="lt-LT"/>
                  </w:rPr>
                  <w:t>Nr. </w:t>
                </w:r>
                <w:hyperlink r:id="rId14" w:tgtFrame="_parent" w:history="1">
                  <w:r>
                    <w:rPr>
                      <w:bCs/>
                      <w:i/>
                      <w:iCs/>
                      <w:szCs w:val="24"/>
                      <w:u w:val="single"/>
                      <w:lang w:eastAsia="lt-LT"/>
                    </w:rPr>
                    <w:t>XIII-2944</w:t>
                  </w:r>
                </w:hyperlink>
                <w:r>
                  <w:rPr>
                    <w:bCs/>
                    <w:i/>
                    <w:iCs/>
                    <w:szCs w:val="24"/>
                    <w:lang w:eastAsia="lt-LT"/>
                  </w:rPr>
                  <w:t>, 2020-05-21, paskelbta TAR 2020-06-03, i. k. 2020-12135</w:t>
                </w:r>
              </w:p>
              <w:p>
                <w:pPr>
                  <w:jc w:val="both"/>
                  <w:rPr>
                    <w:bCs/>
                    <w:szCs w:val="24"/>
                    <w:lang w:eastAsia="lt-LT"/>
                  </w:rPr>
                </w:pPr>
                <w:r>
                  <w:rPr>
                    <w:bCs/>
                    <w:i/>
                    <w:iCs/>
                    <w:szCs w:val="24"/>
                    <w:lang w:eastAsia="lt-LT"/>
                  </w:rPr>
                  <w:t>Nr. </w:t>
                </w:r>
                <w:hyperlink r:id="rId15" w:tgtFrame="_parent" w:history="1">
                  <w:r>
                    <w:rPr>
                      <w:bCs/>
                      <w:i/>
                      <w:iCs/>
                      <w:szCs w:val="24"/>
                      <w:u w:val="single"/>
                      <w:lang w:eastAsia="lt-LT"/>
                    </w:rPr>
                    <w:t>XIV-1189</w:t>
                  </w:r>
                </w:hyperlink>
                <w:r>
                  <w:rPr>
                    <w:bCs/>
                    <w:i/>
                    <w:iCs/>
                    <w:szCs w:val="24"/>
                    <w:lang w:eastAsia="lt-LT"/>
                  </w:rPr>
                  <w:t>, 2022-06-28, paskelbta TAR 2022-07-11, i. k. 2022-15178</w:t>
                </w:r>
              </w:p>
              <w:p>
                <w:pPr>
                  <w:ind w:firstLine="62"/>
                  <w:jc w:val="both"/>
                  <w:rPr>
                    <w:bCs/>
                    <w:szCs w:val="24"/>
                    <w:lang w:eastAsia="lt-LT"/>
                  </w:rPr>
                </w:pPr>
              </w:p>
              <w:p>
                <w:pPr>
                  <w:jc w:val="both"/>
                  <w:rPr>
                    <w:bCs/>
                    <w:szCs w:val="24"/>
                    <w:lang w:eastAsia="lt-LT"/>
                  </w:rPr>
                </w:pPr>
                <w:r>
                  <w:rPr>
                    <w:bCs/>
                    <w:szCs w:val="24"/>
                    <w:lang w:eastAsia="lt-LT"/>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pPr>
                  <w:jc w:val="both"/>
                  <w:rPr>
                    <w:bCs/>
                    <w:szCs w:val="24"/>
                    <w:lang w:eastAsia="lt-LT"/>
                  </w:rPr>
                </w:pPr>
                <w:r>
                  <w:rPr>
                    <w:bCs/>
                    <w:i/>
                    <w:iCs/>
                    <w:szCs w:val="24"/>
                    <w:lang w:eastAsia="lt-LT"/>
                  </w:rPr>
                  <w:t>Straipsnio dalies pakeitimai:</w:t>
                </w:r>
              </w:p>
              <w:p>
                <w:pPr>
                  <w:jc w:val="both"/>
                  <w:rPr>
                    <w:bCs/>
                    <w:szCs w:val="24"/>
                    <w:lang w:eastAsia="lt-LT"/>
                  </w:rPr>
                </w:pPr>
                <w:r>
                  <w:rPr>
                    <w:bCs/>
                    <w:i/>
                    <w:iCs/>
                    <w:szCs w:val="24"/>
                    <w:lang w:eastAsia="lt-LT"/>
                  </w:rPr>
                  <w:t>Nr. </w:t>
                </w:r>
                <w:hyperlink r:id="rId16" w:tgtFrame="_parent" w:history="1">
                  <w:r>
                    <w:rPr>
                      <w:bCs/>
                      <w:i/>
                      <w:iCs/>
                      <w:szCs w:val="24"/>
                      <w:u w:val="single"/>
                      <w:lang w:eastAsia="lt-LT"/>
                    </w:rPr>
                    <w:t>XIV-1189</w:t>
                  </w:r>
                </w:hyperlink>
                <w:r>
                  <w:rPr>
                    <w:bCs/>
                    <w:i/>
                    <w:iCs/>
                    <w:szCs w:val="24"/>
                    <w:lang w:eastAsia="lt-LT"/>
                  </w:rPr>
                  <w:t>, 2022-06-28, paskelbta TAR 2022-07-11, i. k. 2022-15178</w:t>
                </w:r>
              </w:p>
              <w:p>
                <w:pPr>
                  <w:jc w:val="both"/>
                  <w:rPr>
                    <w:bCs/>
                    <w:szCs w:val="24"/>
                    <w:lang w:eastAsia="lt-LT"/>
                  </w:rPr>
                </w:pPr>
                <w:r>
                  <w:rPr>
                    <w:bCs/>
                    <w:szCs w:val="24"/>
                    <w:lang w:eastAsia="lt-LT"/>
                  </w:rPr>
                  <w:t>1) priimdamas į darbą, taikyti vienodus atrankos kriterijus ir sąlygas;</w:t>
                </w:r>
              </w:p>
              <w:p>
                <w:pPr>
                  <w:jc w:val="both"/>
                  <w:rPr>
                    <w:bCs/>
                    <w:szCs w:val="24"/>
                    <w:lang w:eastAsia="lt-LT"/>
                  </w:rPr>
                </w:pPr>
                <w:r>
                  <w:rPr>
                    <w:bCs/>
                    <w:szCs w:val="24"/>
                    <w:lang w:eastAsia="lt-LT"/>
                  </w:rPr>
                  <w:t>2) sudaryti vienodas darbo sąlygas, galimybes tobulinti kvalifikaciją, siekti profesinio tobulėjimo, persikvalifikuoti, įgyti praktinės darbo patirties, taip pat teikti vienodas lengvatas;</w:t>
                </w:r>
              </w:p>
              <w:p>
                <w:pPr>
                  <w:jc w:val="both"/>
                  <w:rPr>
                    <w:bCs/>
                    <w:szCs w:val="24"/>
                    <w:lang w:eastAsia="lt-LT"/>
                  </w:rPr>
                </w:pPr>
                <w:r>
                  <w:rPr>
                    <w:bCs/>
                    <w:szCs w:val="24"/>
                    <w:lang w:eastAsia="lt-LT"/>
                  </w:rPr>
                  <w:t>3) taikyti vienodus darbo vertinimo ir atleidimo iš darbo kriterijus;</w:t>
                </w:r>
              </w:p>
              <w:p>
                <w:pPr>
                  <w:jc w:val="both"/>
                  <w:rPr>
                    <w:bCs/>
                    <w:szCs w:val="24"/>
                    <w:lang w:eastAsia="lt-LT"/>
                  </w:rPr>
                </w:pPr>
                <w:r>
                  <w:rPr>
                    <w:bCs/>
                    <w:szCs w:val="24"/>
                    <w:lang w:eastAsia="lt-LT"/>
                  </w:rPr>
                  <w:t>4) už tokį patį ir vienodos vertės darbą mokėti vienodą darbo užmokestį;</w:t>
                </w:r>
              </w:p>
              <w:p>
                <w:pPr>
                  <w:jc w:val="both"/>
                  <w:rPr>
                    <w:bCs/>
                    <w:szCs w:val="24"/>
                    <w:lang w:eastAsia="lt-LT"/>
                  </w:rPr>
                </w:pPr>
                <w:r>
                  <w:rPr>
                    <w:bCs/>
                    <w:szCs w:val="24"/>
                    <w:lang w:eastAsia="lt-LT"/>
                  </w:rPr>
                  <w:t>5)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p>
                <w:pPr>
                  <w:jc w:val="both"/>
                  <w:rPr>
                    <w:bCs/>
                    <w:szCs w:val="24"/>
                    <w:lang w:eastAsia="lt-LT"/>
                  </w:rPr>
                </w:pPr>
                <w:r>
                  <w:rPr>
                    <w:bCs/>
                    <w:szCs w:val="24"/>
                    <w:lang w:eastAsia="lt-LT"/>
                  </w:rPr>
                  <w:t>6) imtis tinkamų priemonių, kad asmenims su negalia būtų sudarytos sąlygos gauti darbą, dirbti, siekti karjeros arba mokytis, įskaitant tinkamų darbo sąlygų sudarymą, jeigu dėl tokių priemonių nebus neproporcingai apsunkinamos darbdavio pareigos.</w:t>
                </w:r>
              </w:p>
              <w:p>
                <w:pPr>
                  <w:jc w:val="both"/>
                  <w:rPr>
                    <w:bCs/>
                    <w:szCs w:val="24"/>
                    <w:lang w:eastAsia="lt-LT"/>
                  </w:rPr>
                </w:pPr>
                <w:r>
                  <w:rPr>
                    <w:bCs/>
                    <w:i/>
                    <w:iCs/>
                    <w:szCs w:val="24"/>
                    <w:lang w:eastAsia="lt-LT"/>
                  </w:rPr>
                  <w:t>Straipsnio punkto pakeitimai:</w:t>
                </w:r>
              </w:p>
              <w:p>
                <w:pPr>
                  <w:jc w:val="both"/>
                  <w:rPr>
                    <w:bCs/>
                    <w:szCs w:val="24"/>
                    <w:lang w:eastAsia="lt-LT"/>
                  </w:rPr>
                </w:pPr>
                <w:r>
                  <w:rPr>
                    <w:bCs/>
                    <w:i/>
                    <w:iCs/>
                    <w:szCs w:val="24"/>
                    <w:lang w:eastAsia="lt-LT"/>
                  </w:rPr>
                  <w:t>Nr. </w:t>
                </w:r>
                <w:hyperlink r:id="rId17" w:tgtFrame="_parent" w:history="1">
                  <w:r>
                    <w:rPr>
                      <w:bCs/>
                      <w:i/>
                      <w:iCs/>
                      <w:szCs w:val="24"/>
                      <w:u w:val="single"/>
                      <w:lang w:eastAsia="lt-LT"/>
                    </w:rPr>
                    <w:t>XIV-1189</w:t>
                  </w:r>
                </w:hyperlink>
                <w:r>
                  <w:rPr>
                    <w:bCs/>
                    <w:i/>
                    <w:iCs/>
                    <w:szCs w:val="24"/>
                    <w:lang w:eastAsia="lt-LT"/>
                  </w:rPr>
                  <w:t>, 2022-06-28, paskelbta TAR 2022-07-11, i. k. 2022-15178</w:t>
                </w:r>
              </w:p>
              <w:p>
                <w:pPr>
                  <w:jc w:val="both"/>
                  <w:rPr>
                    <w:bCs/>
                    <w:szCs w:val="24"/>
                    <w:lang w:eastAsia="lt-LT"/>
                  </w:rPr>
                </w:pPr>
                <w:r>
                  <w:rPr>
                    <w:bCs/>
                    <w:i/>
                    <w:iCs/>
                    <w:szCs w:val="24"/>
                    <w:lang w:eastAsia="lt-LT"/>
                  </w:rPr>
                  <w:t>Nr. </w:t>
                </w:r>
                <w:hyperlink r:id="rId18" w:tgtFrame="_parent" w:history="1">
                  <w:r>
                    <w:rPr>
                      <w:bCs/>
                      <w:i/>
                      <w:iCs/>
                      <w:szCs w:val="24"/>
                      <w:u w:val="single"/>
                      <w:lang w:eastAsia="lt-LT"/>
                    </w:rPr>
                    <w:t>XIV-2704</w:t>
                  </w:r>
                </w:hyperlink>
                <w:r>
                  <w:rPr>
                    <w:bCs/>
                    <w:i/>
                    <w:iCs/>
                    <w:szCs w:val="24"/>
                    <w:lang w:eastAsia="lt-LT"/>
                  </w:rPr>
                  <w:t>, 2024-06-13, paskelbta TAR 2024-06-20, i. k. 2024-11228</w:t>
                </w:r>
              </w:p>
              <w:p>
                <w:pPr>
                  <w:ind w:firstLine="62"/>
                  <w:jc w:val="both"/>
                  <w:rPr>
                    <w:bCs/>
                    <w:szCs w:val="24"/>
                    <w:lang w:eastAsia="lt-LT"/>
                  </w:rPr>
                </w:pPr>
              </w:p>
              <w:p>
                <w:pPr>
                  <w:jc w:val="both"/>
                  <w:rPr>
                    <w:bCs/>
                    <w:szCs w:val="24"/>
                    <w:lang w:eastAsia="lt-LT"/>
                  </w:rPr>
                </w:pPr>
                <w:r>
                  <w:rPr>
                    <w:bCs/>
                    <w:i/>
                    <w:iCs/>
                    <w:szCs w:val="24"/>
                    <w:lang w:eastAsia="lt-LT"/>
                  </w:rPr>
                  <w:t>Straipsnio dalies pakeitimai:</w:t>
                </w:r>
              </w:p>
              <w:p>
                <w:pPr>
                  <w:jc w:val="both"/>
                  <w:rPr>
                    <w:bCs/>
                    <w:szCs w:val="24"/>
                    <w:lang w:eastAsia="lt-LT"/>
                  </w:rPr>
                </w:pPr>
                <w:r>
                  <w:rPr>
                    <w:bCs/>
                    <w:i/>
                    <w:iCs/>
                    <w:szCs w:val="24"/>
                    <w:lang w:eastAsia="lt-LT"/>
                  </w:rPr>
                  <w:t>Nr. </w:t>
                </w:r>
                <w:hyperlink r:id="rId19" w:tgtFrame="_parent" w:history="1">
                  <w:r>
                    <w:rPr>
                      <w:bCs/>
                      <w:i/>
                      <w:iCs/>
                      <w:szCs w:val="24"/>
                      <w:u w:val="single"/>
                      <w:lang w:eastAsia="lt-LT"/>
                    </w:rPr>
                    <w:t>XIII-2944</w:t>
                  </w:r>
                </w:hyperlink>
                <w:r>
                  <w:rPr>
                    <w:bCs/>
                    <w:i/>
                    <w:iCs/>
                    <w:szCs w:val="24"/>
                    <w:lang w:eastAsia="lt-LT"/>
                  </w:rPr>
                  <w:t>, 2020-05-21, paskelbta TAR 2020-06-03, i. k. 2020-12135</w:t>
                </w:r>
              </w:p>
              <w:p>
                <w:pPr>
                  <w:ind w:firstLine="62"/>
                  <w:jc w:val="both"/>
                  <w:rPr>
                    <w:bCs/>
                    <w:szCs w:val="24"/>
                    <w:lang w:eastAsia="lt-LT"/>
                  </w:rPr>
                </w:pPr>
              </w:p>
              <w:p>
                <w:pPr>
                  <w:jc w:val="both"/>
                  <w:rPr>
                    <w:bCs/>
                    <w:szCs w:val="24"/>
                    <w:lang w:eastAsia="lt-LT"/>
                  </w:rPr>
                </w:pPr>
                <w:r>
                  <w:rPr>
                    <w:bCs/>
                    <w:szCs w:val="24"/>
                    <w:lang w:eastAsia="lt-LT"/>
                  </w:rPr>
                  <w:t>3. Lyčių lygybės ir nediskriminavimo kitais pagrindais principų įgyvendinimo ypatumus gali nustatyti kiti įstatymai ir kitos darbo teisės normos.</w:t>
                </w:r>
              </w:p>
              <w:p>
                <w:pPr>
                  <w:jc w:val="both"/>
                  <w:rPr>
                    <w:bCs/>
                    <w:szCs w:val="24"/>
                    <w:lang w:eastAsia="lt-LT"/>
                  </w:rPr>
                </w:pPr>
                <w:r>
                  <w:rPr>
                    <w:bCs/>
                    <w:szCs w:val="24"/>
                    <w:lang w:eastAsia="lt-LT"/>
                  </w:rPr>
                  <w:t>4. Nagrinėjant diskriminacijos dėl darbo užmokesčio bylas, atlyginimu už darbą laikomas darbo užmokestis ar bet koks kitas atlygis, įskaitant atlygį grynaisiais pinigais arba natūra, kurį darbuotojas tiesiogiai ar netiesiogiai gauna iš darbdavio už savo darbą.</w:t>
                </w:r>
              </w:p>
              <w:p>
                <w:pPr>
                  <w:jc w:val="both"/>
                  <w:rPr>
                    <w:bCs/>
                    <w:szCs w:val="24"/>
                    <w:lang w:eastAsia="lt-LT"/>
                  </w:rPr>
                </w:pPr>
                <w:r>
                  <w:rPr>
                    <w:bCs/>
                    <w:szCs w:val="24"/>
                    <w:lang w:eastAsia="lt-LT"/>
                  </w:rPr>
                  <w:t>5.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p>
                <w:pPr>
                  <w:jc w:val="both"/>
                  <w:rPr>
                    <w:bCs/>
                    <w:szCs w:val="24"/>
                    <w:lang w:eastAsia="lt-LT"/>
                  </w:rPr>
                </w:pPr>
                <w:r>
                  <w:rPr>
                    <w:bCs/>
                    <w:szCs w:val="24"/>
                    <w:lang w:eastAsia="lt-LT"/>
                  </w:rPr>
                  <w:t>6. Darbdavys, kurio vidutinis darbuotojų skaičius yra daugiau kaip penkiasdešimt, privalo priimti ir įprastais darbovietėje būdais paskelbti lygių galimybių politikos įgyvendinimo ir vykdymo priežiūros principų įgyvendinimo priemones.</w:t>
                </w:r>
              </w:p>
              <w:p>
                <w:pPr>
                  <w:jc w:val="both"/>
                  <w:rPr>
                    <w:b/>
                    <w:bCs/>
                    <w:szCs w:val="24"/>
                    <w:lang w:eastAsia="lt-LT"/>
                  </w:rPr>
                </w:pPr>
              </w:p>
              <w:p>
                <w:pPr>
                  <w:jc w:val="both"/>
                  <w:rPr>
                    <w:b/>
                    <w:bCs/>
                    <w:szCs w:val="24"/>
                    <w:lang w:eastAsia="lt-LT"/>
                  </w:rPr>
                </w:pPr>
                <w:r>
                  <w:rPr>
                    <w:b/>
                    <w:bCs/>
                    <w:szCs w:val="24"/>
                    <w:lang w:eastAsia="lt-LT"/>
                  </w:rPr>
                  <w:t>41 straipsnis. Darbo sutarties šalių ikisutartiniai santykiai</w:t>
                </w:r>
              </w:p>
              <w:p>
                <w:pPr>
                  <w:jc w:val="both"/>
                  <w:rPr>
                    <w:szCs w:val="24"/>
                    <w:lang w:eastAsia="lt-LT"/>
                  </w:rPr>
                </w:pPr>
                <w:r>
                  <w:rPr>
                    <w:szCs w:val="24"/>
                    <w:lang w:eastAsia="lt-LT"/>
                  </w:rPr>
                  <w:t>1.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Draudžiama iš darbuotojo reikalauti informacijos, kuri nėra susijusi su jo sveikatos būkle, kvalifikacija ar kitomis aplinkybėmis, nesusijusiomis su tiesioginiu darbo funkcijos atlikimu.</w:t>
                </w:r>
              </w:p>
              <w:p>
                <w:pPr>
                  <w:jc w:val="both"/>
                  <w:rPr>
                    <w:szCs w:val="24"/>
                    <w:lang w:eastAsia="lt-LT"/>
                  </w:rPr>
                </w:pPr>
                <w:r>
                  <w:rPr>
                    <w:szCs w:val="24"/>
                    <w:lang w:eastAsia="lt-LT"/>
                  </w:rPr>
                  <w:t>2.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p>
                <w:pPr>
                  <w:jc w:val="both"/>
                  <w:rPr>
                    <w:b/>
                    <w:bCs/>
                    <w:szCs w:val="24"/>
                    <w:lang w:eastAsia="lt-LT"/>
                  </w:rPr>
                </w:pPr>
              </w:p>
              <w:p>
                <w:pPr>
                  <w:jc w:val="both"/>
                  <w:rPr>
                    <w:b/>
                    <w:bCs/>
                    <w:szCs w:val="24"/>
                    <w:lang w:eastAsia="lt-LT"/>
                  </w:rPr>
                </w:pPr>
                <w:r>
                  <w:rPr>
                    <w:b/>
                    <w:bCs/>
                    <w:szCs w:val="24"/>
                    <w:lang w:eastAsia="lt-LT"/>
                  </w:rPr>
                  <w:t>140 straipsnis. Darbo užmokesčio nustatymas</w:t>
                </w:r>
              </w:p>
              <w:p>
                <w:pPr>
                  <w:jc w:val="both"/>
                  <w:rPr>
                    <w:szCs w:val="24"/>
                    <w:lang w:eastAsia="lt-LT"/>
                  </w:rPr>
                </w:pPr>
                <w:r>
                  <w:rPr>
                    <w:b/>
                    <w:bCs/>
                    <w:szCs w:val="24"/>
                    <w:lang w:eastAsia="lt-LT"/>
                  </w:rPr>
                  <w:br/>
                </w:r>
                <w:r>
                  <w:rPr>
                    <w:szCs w:val="24"/>
                    <w:lang w:eastAsia="lt-LT"/>
                  </w:rPr>
                  <w:t>5.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w:t>
                </w:r>
              </w:p>
              <w:p>
                <w:pPr>
                  <w:jc w:val="both"/>
                  <w:rPr>
                    <w:szCs w:val="24"/>
                    <w:lang w:eastAsia="lt-LT"/>
                  </w:rPr>
                </w:pPr>
                <w:r>
                  <w:rPr>
                    <w:szCs w:val="24"/>
                    <w:lang w:eastAsia="lt-LT"/>
                  </w:rPr>
                  <w:t>6.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w:t>
                </w:r>
              </w:p>
              <w:p>
                <w:pPr>
                  <w:jc w:val="both"/>
                  <w:rPr>
                    <w:b/>
                    <w:bCs/>
                    <w:szCs w:val="24"/>
                    <w:lang w:eastAsia="lt-LT"/>
                  </w:rPr>
                </w:pPr>
              </w:p>
              <w:p>
                <w:pPr>
                  <w:jc w:val="both"/>
                  <w:rPr>
                    <w:b/>
                    <w:bCs/>
                    <w:szCs w:val="24"/>
                    <w:lang w:eastAsia="lt-LT"/>
                  </w:rPr>
                </w:pPr>
                <w:r>
                  <w:rPr>
                    <w:b/>
                    <w:bCs/>
                    <w:szCs w:val="24"/>
                    <w:lang w:eastAsia="lt-LT"/>
                  </w:rPr>
                  <w:br/>
                  <w:t>168 straipsnis. Darbuotojų atstovavimą darbdavio lygmeniu įgyvendinančių asmenų garantijos ir apsauga nuo diskriminacijos</w:t>
                </w:r>
              </w:p>
              <w:p>
                <w:pPr>
                  <w:jc w:val="both"/>
                  <w:rPr>
                    <w:szCs w:val="24"/>
                    <w:lang w:eastAsia="lt-LT"/>
                  </w:rPr>
                </w:pPr>
                <w:r>
                  <w:rPr>
                    <w:szCs w:val="24"/>
                    <w:lang w:eastAsia="lt-LT"/>
                  </w:rPr>
                  <w:t>3.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darbuotojų atstovavimą įgyvendinančiais asmenimis negali būti nutraukta tol, kol vyksta darbo ginčas.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p>
              <w:p>
                <w:pPr>
                  <w:jc w:val="both"/>
                  <w:rPr>
                    <w:szCs w:val="24"/>
                    <w:lang w:eastAsia="lt-LT"/>
                  </w:rPr>
                </w:pPr>
                <w:r>
                  <w:rPr>
                    <w:i/>
                    <w:iCs/>
                    <w:szCs w:val="24"/>
                    <w:lang w:eastAsia="lt-LT"/>
                  </w:rPr>
                  <w:t>Straipsnio dalies pakeitimai:</w:t>
                </w:r>
              </w:p>
              <w:p>
                <w:pPr>
                  <w:jc w:val="both"/>
                  <w:rPr>
                    <w:b/>
                    <w:bCs/>
                    <w:szCs w:val="24"/>
                    <w:lang w:eastAsia="lt-LT"/>
                  </w:rPr>
                </w:pPr>
                <w:r>
                  <w:rPr>
                    <w:i/>
                    <w:iCs/>
                    <w:szCs w:val="24"/>
                    <w:lang w:eastAsia="lt-LT"/>
                  </w:rPr>
                  <w:t>Nr. </w:t>
                </w:r>
                <w:hyperlink r:id="rId20" w:tgtFrame="_parent" w:history="1">
                  <w:r>
                    <w:rPr>
                      <w:i/>
                      <w:iCs/>
                      <w:szCs w:val="24"/>
                      <w:u w:val="single"/>
                      <w:lang w:eastAsia="lt-LT"/>
                    </w:rPr>
                    <w:t>XIII-413</w:t>
                  </w:r>
                </w:hyperlink>
                <w:r>
                  <w:rPr>
                    <w:i/>
                    <w:iCs/>
                    <w:szCs w:val="24"/>
                    <w:lang w:eastAsia="lt-LT"/>
                  </w:rPr>
                  <w:t>, 2017-06-06, paskelbta TAR 2017-06-14, i. k. 2017-10021</w:t>
                </w:r>
              </w:p>
              <w:p>
                <w:pPr>
                  <w:jc w:val="both"/>
                  <w:rPr>
                    <w:b/>
                    <w:bCs/>
                    <w:szCs w:val="24"/>
                    <w:lang w:eastAsia="lt-LT"/>
                  </w:rPr>
                </w:pPr>
              </w:p>
            </w:tc>
            <w:tc>
              <w:tcPr>
                <w:tcW w:w="1800" w:type="dxa"/>
              </w:tcPr>
              <w:p>
                <w:pPr>
                  <w:tabs>
                    <w:tab w:val="center" w:pos="4153"/>
                    <w:tab w:val="right" w:pos="8306"/>
                  </w:tabs>
                  <w:rPr>
                    <w:b/>
                    <w:bCs/>
                    <w:szCs w:val="24"/>
                    <w:lang w:eastAsia="lt-LT"/>
                  </w:rPr>
                </w:pPr>
                <w:r>
                  <w:rPr>
                    <w:b/>
                    <w:bCs/>
                    <w:szCs w:val="24"/>
                    <w:lang w:eastAsia="lt-LT"/>
                  </w:rPr>
                  <w:t>V</w:t>
                </w:r>
                <w:r>
                  <w:rPr>
                    <w:b/>
                    <w:bCs/>
                    <w:szCs w:val="24"/>
                    <w:lang w:val="en-US" w:eastAsia="lt-LT"/>
                  </w:rPr>
                  <w:t>isi</w:t>
                </w:r>
                <w:r>
                  <w:rPr>
                    <w:b/>
                    <w:bCs/>
                    <w:szCs w:val="24"/>
                    <w:lang w:eastAsia="lt-LT"/>
                  </w:rPr>
                  <w:t>škas</w:t>
                </w:r>
              </w:p>
            </w:tc>
          </w:tr>
          <w:tr>
            <w:trPr>
              <w:trHeight w:val="7336"/>
            </w:trPr>
            <w:tc>
              <w:tcPr>
                <w:tcW w:w="6210" w:type="dxa"/>
              </w:tcPr>
              <w:p>
                <w:pPr>
                  <w:jc w:val="both"/>
                  <w:rPr>
                    <w:b/>
                    <w:bCs/>
                    <w:iCs/>
                    <w:szCs w:val="24"/>
                    <w:lang w:eastAsia="lt-LT"/>
                  </w:rPr>
                </w:pPr>
                <w:r>
                  <w:rPr>
                    <w:b/>
                    <w:bCs/>
                    <w:iCs/>
                    <w:szCs w:val="24"/>
                    <w:lang w:eastAsia="lt-LT"/>
                  </w:rPr>
                  <w:t>4 straipsnis</w:t>
                </w:r>
              </w:p>
              <w:p>
                <w:pPr>
                  <w:jc w:val="both"/>
                  <w:rPr>
                    <w:iCs/>
                    <w:szCs w:val="24"/>
                    <w:lang w:eastAsia="lt-LT"/>
                  </w:rPr>
                </w:pPr>
                <w:r>
                  <w:rPr>
                    <w:b/>
                    <w:bCs/>
                    <w:iCs/>
                    <w:szCs w:val="24"/>
                    <w:lang w:eastAsia="lt-LT"/>
                  </w:rPr>
                  <w:t>Profesiniai reikalavimai</w:t>
                </w:r>
                <w:r>
                  <w:rPr>
                    <w:iCs/>
                    <w:szCs w:val="24"/>
                    <w:lang w:eastAsia="lt-LT"/>
                  </w:rPr>
                  <w:t xml:space="preserve"> </w:t>
                </w:r>
              </w:p>
              <w:p>
                <w:pPr>
                  <w:jc w:val="both"/>
                  <w:rPr>
                    <w:szCs w:val="24"/>
                    <w:lang w:eastAsia="lt-LT"/>
                  </w:rPr>
                </w:pPr>
                <w:r>
                  <w:rPr>
                    <w:szCs w:val="24"/>
                    <w:lang w:eastAsia="lt-LT"/>
                  </w:rPr>
                  <w:t>1. Nepaisant 2 straipsnio 1 ir 2 dalies, valstybės narės gali numatyti, kad skirtingas požiūris remiantis savybe, susijusia su kuria nors iš 1 straipsnyje nurodytų priežasčių, nebūtų laikomas diskriminacija, jei dėl konkrečių profesinės veiklos rūšių pobūdžio arba dėl jų vykdymo sąlygų tokia savybė yra įprastas ir lemiantis profesinis reikalavimas, šis tikslas yra teisėtas, o reikalavimas proporcingas.</w:t>
                </w:r>
              </w:p>
              <w:p>
                <w:pPr>
                  <w:jc w:val="both"/>
                  <w:rPr>
                    <w:szCs w:val="24"/>
                    <w:lang w:eastAsia="lt-LT"/>
                  </w:rPr>
                </w:pPr>
              </w:p>
              <w:p>
                <w:pPr>
                  <w:jc w:val="both"/>
                  <w:rPr>
                    <w:szCs w:val="24"/>
                    <w:lang w:eastAsia="lt-LT"/>
                  </w:rPr>
                </w:pPr>
                <w:r>
                  <w:rPr>
                    <w:szCs w:val="24"/>
                    <w:lang w:eastAsia="lt-LT"/>
                  </w:rPr>
                  <w:t xml:space="preserve">2. Valstybės narės gali toliau taikyti šios direktyvos priėmimo dieną galiojančius nacionalinius teisės aktus arba numatyti ateityje priimti teisės aktus, kuriuose būtų taikoma šios direktyvos priėmimo dieną galiojusi nacionalinė praktika, pagal kuriuos bažnytinių ir kitų valstybinių arba privačių organizacijų, kurių veiklą reguliuojančios normos grindžiamos religija ar įsitikinimais, skirtingas požiūris profesinėje veikloje dėl asmens religijos ar įsitikinimų nėra diskriminacija, jei dėl tokios veiklos pobūdžio arba dėl aplinkybių, kuriomis ji vykdoma, asmens išpažįstama religija ar įsitikinimai atsižvelgiant į organizacijos veiklos normas yra įprastas, teisėtas ir pateisinamas profesinis reikalavimas. Taikant skirtingą požiūrį atsižvelgiama į valstybių narių konstitucines nuostatas ir principus bei į bendruosius Bendrijos teisės principus ir diskriminavimas dėl kitos priežasties yra nepateisinamas. </w:t>
                </w:r>
              </w:p>
              <w:p>
                <w:pPr>
                  <w:jc w:val="both"/>
                  <w:rPr>
                    <w:szCs w:val="24"/>
                    <w:lang w:eastAsia="lt-LT"/>
                  </w:rPr>
                </w:pPr>
                <w:r>
                  <w:rPr>
                    <w:szCs w:val="24"/>
                    <w:lang w:eastAsia="lt-LT"/>
                  </w:rPr>
                  <w:t>Jei šios direktyvos nuostatų laikomasi kitu būdu, ji nepažeidžia bažnytinių ir kitų valstybinių arba privačių organizacijų, kurių veiklą reguliuojančios normos remiasi religija ar įsitikinimais, teisės pagal nacionalines konstitucijas ir įstatymus reikalauti, kad jiems dirbantys asmenys sąžiningai ir ištikimai laikytųsi minėtų organizacijų veiklos normų.</w:t>
                </w:r>
              </w:p>
              <w:p>
                <w:pPr>
                  <w:jc w:val="both"/>
                  <w:rPr>
                    <w:szCs w:val="24"/>
                    <w:lang w:eastAsia="lt-LT"/>
                  </w:rPr>
                </w:pPr>
              </w:p>
            </w:tc>
            <w:tc>
              <w:tcPr>
                <w:tcW w:w="7110" w:type="dxa"/>
              </w:tcPr>
              <w:p>
                <w:pPr>
                  <w:jc w:val="both"/>
                  <w:rPr>
                    <w:b/>
                    <w:bCs/>
                    <w:szCs w:val="24"/>
                    <w:lang w:eastAsia="lt-LT"/>
                  </w:rPr>
                </w:pPr>
                <w:r>
                  <w:rPr>
                    <w:b/>
                    <w:bCs/>
                    <w:szCs w:val="24"/>
                    <w:lang w:eastAsia="lt-LT"/>
                  </w:rPr>
                  <w:t xml:space="preserve">Projektas </w:t>
                </w:r>
              </w:p>
              <w:p>
                <w:pPr>
                  <w:jc w:val="both"/>
                  <w:rPr>
                    <w:b/>
                    <w:bCs/>
                    <w:szCs w:val="24"/>
                    <w:lang w:eastAsia="lt-LT"/>
                  </w:rPr>
                </w:pPr>
                <w:r>
                  <w:rPr>
                    <w:b/>
                    <w:bCs/>
                    <w:szCs w:val="24"/>
                    <w:lang w:eastAsia="lt-LT"/>
                  </w:rPr>
                  <w:t>2 straipsnis. Pagrindinės šio įstatymo sąvokos</w:t>
                </w:r>
              </w:p>
              <w:p>
                <w:pPr>
                  <w:jc w:val="both"/>
                  <w:rPr>
                    <w:b/>
                    <w:bCs/>
                    <w:szCs w:val="24"/>
                    <w:lang w:eastAsia="lt-LT"/>
                  </w:rPr>
                </w:pPr>
                <w:r>
                  <w:rPr>
                    <w:b/>
                    <w:bCs/>
                    <w:szCs w:val="24"/>
                    <w:lang w:eastAsia="lt-LT"/>
                  </w:rPr>
                  <w:t>[...]</w:t>
                </w:r>
              </w:p>
              <w:p>
                <w:pPr>
                  <w:jc w:val="both"/>
                  <w:rPr>
                    <w:b/>
                    <w:bCs/>
                    <w:szCs w:val="24"/>
                    <w:lang w:eastAsia="lt-LT"/>
                  </w:rPr>
                </w:pPr>
                <w:r>
                  <w:rPr>
                    <w:b/>
                    <w:bCs/>
                    <w:szCs w:val="24"/>
                    <w:lang w:eastAsia="lt-LT"/>
                  </w:rPr>
                  <w:t>16. Tiesioginė diskriminacija – elgesys</w:t>
                </w:r>
                <w:r>
                  <w:rPr>
                    <w:b/>
                    <w:bCs/>
                    <w:i/>
                    <w:szCs w:val="24"/>
                    <w:lang w:eastAsia="lt-LT"/>
                  </w:rPr>
                  <w:t xml:space="preserve"> </w:t>
                </w:r>
                <w:r>
                  <w:rPr>
                    <w:b/>
                    <w:bCs/>
                    <w:szCs w:val="24"/>
                    <w:lang w:eastAsia="lt-LT"/>
                  </w:rPr>
                  <w:t>su asmeniu, kai vienu ar keliais diskriminacijos pagrindais jam taikomos mažiau palankios sąlygos, negu tokiomis pat ar panašiomis aplinkybėmis jos buvo, yra ar būtų</w:t>
                </w:r>
                <w:r>
                  <w:rPr>
                    <w:b/>
                    <w:bCs/>
                    <w:i/>
                    <w:szCs w:val="24"/>
                    <w:lang w:eastAsia="lt-LT"/>
                  </w:rPr>
                  <w:t xml:space="preserve"> </w:t>
                </w:r>
                <w:r>
                  <w:rPr>
                    <w:b/>
                    <w:bCs/>
                    <w:szCs w:val="24"/>
                    <w:lang w:eastAsia="lt-LT"/>
                  </w:rPr>
                  <w:t>taikomos kitam asmeniui, išskyrus:</w:t>
                </w:r>
              </w:p>
              <w:p>
                <w:pPr>
                  <w:jc w:val="both"/>
                  <w:rPr>
                    <w:b/>
                    <w:bCs/>
                    <w:szCs w:val="24"/>
                    <w:lang w:eastAsia="lt-LT"/>
                  </w:rPr>
                </w:pPr>
                <w:r>
                  <w:rPr>
                    <w:b/>
                    <w:bCs/>
                    <w:szCs w:val="24"/>
                    <w:lang w:eastAsia="lt-LT"/>
                  </w:rPr>
                  <w:t>[...]</w:t>
                </w:r>
              </w:p>
              <w:p>
                <w:pPr>
                  <w:jc w:val="both"/>
                  <w:rPr>
                    <w:b/>
                    <w:bCs/>
                    <w:szCs w:val="24"/>
                    <w:lang w:eastAsia="lt-LT"/>
                  </w:rPr>
                </w:pPr>
                <w:r>
                  <w:rPr>
                    <w:b/>
                    <w:bCs/>
                    <w:szCs w:val="24"/>
                    <w:lang w:eastAsia="lt-LT"/>
                  </w:rPr>
                  <w:t>7) atvejus, kai dėl konkrečių profesinės veiklos rūšių pobūdžio arba dėl jų vykdymo sąlygų tam tikras asmens tapatybės bruožas yra esminis ir lemiamas profesinis reikalavimas ir kai tai pateisina teisėtas tikslas, siekiamas tinkamomis, būtinomis ir proporcingomis priemonėmis;</w:t>
                </w:r>
              </w:p>
              <w:p>
                <w:pPr>
                  <w:jc w:val="both"/>
                  <w:rPr>
                    <w:szCs w:val="24"/>
                    <w:lang w:eastAsia="lt-LT"/>
                  </w:rPr>
                </w:pPr>
                <w:r>
                  <w:rPr>
                    <w:szCs w:val="24"/>
                    <w:lang w:eastAsia="lt-LT"/>
                  </w:rPr>
                  <w:t>[...]</w:t>
                </w:r>
              </w:p>
            </w:tc>
            <w:tc>
              <w:tcPr>
                <w:tcW w:w="1800" w:type="dxa"/>
              </w:tcPr>
              <w:p>
                <w:pPr>
                  <w:tabs>
                    <w:tab w:val="center" w:pos="4153"/>
                    <w:tab w:val="right" w:pos="8306"/>
                  </w:tabs>
                  <w:rPr>
                    <w:b/>
                    <w:bCs/>
                    <w:szCs w:val="24"/>
                    <w:lang w:eastAsia="lt-LT"/>
                  </w:rPr>
                </w:pPr>
                <w:r>
                  <w:rPr>
                    <w:b/>
                    <w:bCs/>
                    <w:szCs w:val="24"/>
                    <w:lang w:eastAsia="lt-LT"/>
                  </w:rPr>
                  <w:t>Visiškas</w:t>
                </w:r>
              </w:p>
            </w:tc>
          </w:tr>
          <w:tr>
            <w:trPr>
              <w:trHeight w:val="3519"/>
            </w:trPr>
            <w:tc>
              <w:tcPr>
                <w:tcW w:w="6210" w:type="dxa"/>
              </w:tcPr>
              <w:p>
                <w:pPr>
                  <w:jc w:val="both"/>
                  <w:rPr>
                    <w:b/>
                    <w:bCs/>
                    <w:szCs w:val="24"/>
                    <w:lang w:eastAsia="lt-LT"/>
                  </w:rPr>
                </w:pPr>
                <w:r>
                  <w:rPr>
                    <w:b/>
                    <w:bCs/>
                    <w:szCs w:val="24"/>
                    <w:lang w:eastAsia="lt-LT"/>
                  </w:rPr>
                  <w:t>C1↓ 5 straipsnis</w:t>
                </w:r>
              </w:p>
              <w:p>
                <w:pPr>
                  <w:jc w:val="both"/>
                  <w:rPr>
                    <w:b/>
                    <w:bCs/>
                    <w:szCs w:val="24"/>
                    <w:lang w:eastAsia="lt-LT"/>
                  </w:rPr>
                </w:pPr>
                <w:r>
                  <w:rPr>
                    <w:b/>
                    <w:bCs/>
                    <w:szCs w:val="24"/>
                    <w:lang w:eastAsia="lt-LT"/>
                  </w:rPr>
                  <w:t>Neįgaliesiems tinkamų sąlygų pritaikymas</w:t>
                </w:r>
              </w:p>
              <w:p>
                <w:pPr>
                  <w:jc w:val="both"/>
                  <w:rPr>
                    <w:szCs w:val="24"/>
                    <w:lang w:eastAsia="lt-LT"/>
                  </w:rPr>
                </w:pPr>
                <w:r>
                  <w:rPr>
                    <w:szCs w:val="24"/>
                    <w:lang w:eastAsia="lt-LT"/>
                  </w:rPr>
                  <w:t>Siekiant garantuoti, kad neįgaliųjų atžvilgiu būtų laikomasi vienodo požiūrio principo, jiems sudaromos tinkamos sąlygos. Tai reiškia, kad prireikus konkrečiu atveju darbdaviai imasi tinkamų priemonių, kad neįgaliajam būtų sudarytos sąlygos gauti darbą, dirbti, kilti tarnyboje arba mokytis, nebent dėl tokių priemonių būtų neproporcingai apsunkinamos darbdavio pareigos. Pareigos nėra neproporcingai apsunkinamos, jei jam pakankamai atlyginama konkrečios valstybės narės neįgalumo politikos srityje numatytomis priemonėmis.</w:t>
                </w:r>
              </w:p>
            </w:tc>
            <w:tc>
              <w:tcPr>
                <w:tcW w:w="7110" w:type="dxa"/>
              </w:tcPr>
              <w:p>
                <w:pPr>
                  <w:jc w:val="both"/>
                  <w:rPr>
                    <w:b/>
                    <w:bCs/>
                    <w:szCs w:val="24"/>
                    <w:lang w:eastAsia="lt-LT"/>
                  </w:rPr>
                </w:pPr>
                <w:r>
                  <w:rPr>
                    <w:b/>
                    <w:bCs/>
                    <w:szCs w:val="24"/>
                    <w:lang w:eastAsia="lt-LT"/>
                  </w:rPr>
                  <w:t>Projektas</w:t>
                </w:r>
              </w:p>
              <w:p>
                <w:pPr>
                  <w:jc w:val="both"/>
                  <w:rPr>
                    <w:b/>
                    <w:bCs/>
                    <w:szCs w:val="24"/>
                    <w:lang w:eastAsia="lt-LT"/>
                  </w:rPr>
                </w:pPr>
                <w:r>
                  <w:rPr>
                    <w:b/>
                    <w:bCs/>
                    <w:szCs w:val="24"/>
                    <w:lang w:eastAsia="lt-LT"/>
                  </w:rPr>
                  <w:t>2 straipsnis. Pagrindinės šio įstatymo sąvokos</w:t>
                </w:r>
              </w:p>
              <w:p>
                <w:pPr>
                  <w:jc w:val="both"/>
                  <w:rPr>
                    <w:b/>
                    <w:bCs/>
                    <w:szCs w:val="24"/>
                    <w:lang w:eastAsia="lt-LT"/>
                  </w:rPr>
                </w:pPr>
                <w:r>
                  <w:rPr>
                    <w:b/>
                    <w:bCs/>
                    <w:szCs w:val="24"/>
                    <w:lang w:eastAsia="lt-LT"/>
                  </w:rPr>
                  <w:t>[...]</w:t>
                </w:r>
              </w:p>
              <w:p>
                <w:pPr>
                  <w:jc w:val="both"/>
                  <w:rPr>
                    <w:b/>
                    <w:bCs/>
                    <w:szCs w:val="24"/>
                    <w:lang w:eastAsia="lt-LT"/>
                  </w:rPr>
                </w:pPr>
                <w:r>
                  <w:rPr>
                    <w:b/>
                    <w:bCs/>
                    <w:szCs w:val="24"/>
                    <w:lang w:eastAsia="lt-LT"/>
                  </w:rPr>
                  <w:t>16. Tiesioginė diskriminacija – elgesys</w:t>
                </w:r>
                <w:r>
                  <w:rPr>
                    <w:b/>
                    <w:bCs/>
                    <w:i/>
                    <w:szCs w:val="24"/>
                    <w:lang w:eastAsia="lt-LT"/>
                  </w:rPr>
                  <w:t xml:space="preserve"> </w:t>
                </w:r>
                <w:r>
                  <w:rPr>
                    <w:b/>
                    <w:bCs/>
                    <w:szCs w:val="24"/>
                    <w:lang w:eastAsia="lt-LT"/>
                  </w:rPr>
                  <w:t>su asmeniu, kai vienu ar keliais diskriminacijos pagrindais jam taikomos mažiau palankios sąlygos, negu tokiomis pat ar panašiomis aplinkybėmis jos buvo, yra ar būtų</w:t>
                </w:r>
                <w:r>
                  <w:rPr>
                    <w:b/>
                    <w:bCs/>
                    <w:i/>
                    <w:szCs w:val="24"/>
                    <w:lang w:eastAsia="lt-LT"/>
                  </w:rPr>
                  <w:t xml:space="preserve"> </w:t>
                </w:r>
                <w:r>
                  <w:rPr>
                    <w:b/>
                    <w:bCs/>
                    <w:szCs w:val="24"/>
                    <w:lang w:eastAsia="lt-LT"/>
                  </w:rPr>
                  <w:t>taikomos kitam asmeniui, išskyrus:</w:t>
                </w:r>
              </w:p>
              <w:p>
                <w:pPr>
                  <w:jc w:val="both"/>
                  <w:rPr>
                    <w:b/>
                    <w:bCs/>
                    <w:szCs w:val="24"/>
                    <w:lang w:eastAsia="lt-LT"/>
                  </w:rPr>
                </w:pPr>
                <w:r>
                  <w:rPr>
                    <w:b/>
                    <w:bCs/>
                    <w:szCs w:val="24"/>
                    <w:lang w:eastAsia="lt-LT"/>
                  </w:rPr>
                  <w:t>[...]</w:t>
                </w:r>
              </w:p>
              <w:p>
                <w:pPr>
                  <w:jc w:val="both"/>
                  <w:rPr>
                    <w:b/>
                    <w:bCs/>
                    <w:szCs w:val="24"/>
                    <w:lang w:eastAsia="lt-LT"/>
                  </w:rPr>
                </w:pPr>
              </w:p>
              <w:p>
                <w:pPr>
                  <w:jc w:val="both"/>
                  <w:rPr>
                    <w:b/>
                    <w:bCs/>
                    <w:szCs w:val="24"/>
                    <w:lang w:eastAsia="lt-LT"/>
                  </w:rPr>
                </w:pPr>
              </w:p>
              <w:p>
                <w:pPr>
                  <w:jc w:val="both"/>
                  <w:rPr>
                    <w:b/>
                    <w:bCs/>
                    <w:szCs w:val="24"/>
                    <w:lang w:eastAsia="lt-LT"/>
                  </w:rPr>
                </w:pPr>
                <w:r>
                  <w:rPr>
                    <w:b/>
                    <w:bCs/>
                    <w:szCs w:val="24"/>
                    <w:lang w:eastAsia="lt-LT"/>
                  </w:rPr>
                  <w:t>8 straipsnis. Darbdavio pareiga įgyvendinti lygias galimybes darbe, valstybės tarnyboje</w:t>
                </w:r>
              </w:p>
              <w:p>
                <w:pPr>
                  <w:jc w:val="both"/>
                  <w:rPr>
                    <w:b/>
                    <w:bCs/>
                    <w:szCs w:val="24"/>
                    <w:lang w:eastAsia="lt-LT"/>
                  </w:rPr>
                </w:pPr>
                <w:r>
                  <w:rPr>
                    <w:b/>
                    <w:bCs/>
                    <w:szCs w:val="24"/>
                    <w:lang w:eastAsia="lt-LT"/>
                  </w:rPr>
                  <w:t>Įgyvendindamas lygias galimybes, darbdavys privalo:</w:t>
                </w:r>
              </w:p>
              <w:p>
                <w:pPr>
                  <w:jc w:val="both"/>
                  <w:rPr>
                    <w:b/>
                    <w:bCs/>
                    <w:szCs w:val="24"/>
                    <w:lang w:eastAsia="lt-LT"/>
                  </w:rPr>
                </w:pPr>
                <w:r>
                  <w:rPr>
                    <w:b/>
                    <w:bCs/>
                    <w:szCs w:val="24"/>
                    <w:lang w:eastAsia="lt-LT"/>
                  </w:rPr>
                  <w:t>[...]</w:t>
                </w:r>
              </w:p>
              <w:p>
                <w:pPr>
                  <w:jc w:val="both"/>
                  <w:rPr>
                    <w:b/>
                    <w:bCs/>
                    <w:szCs w:val="24"/>
                    <w:lang w:eastAsia="lt-LT"/>
                  </w:rPr>
                </w:pPr>
                <w:r>
                  <w:rPr>
                    <w:b/>
                    <w:bCs/>
                    <w:szCs w:val="24"/>
                    <w:lang w:eastAsia="lt-LT"/>
                  </w:rPr>
                  <w:t>7) imtis tinkamų ir proporcingų priemonių, kad asmenims su negalia būtų užtikrintas tinkamas sąlygų pritaikymas, kurio reikia konkrečiu atveju jiems siekiant gauti darbą (taip pat ir valstybės tarnyboje), dirbti, taip pat siekiant karjeros arba mokytis;</w:t>
                </w:r>
              </w:p>
              <w:p>
                <w:pPr>
                  <w:jc w:val="both"/>
                  <w:rPr>
                    <w:bCs/>
                    <w:szCs w:val="24"/>
                    <w:lang w:eastAsia="lt-LT"/>
                  </w:rPr>
                </w:pPr>
                <w:r>
                  <w:rPr>
                    <w:bCs/>
                    <w:szCs w:val="24"/>
                    <w:lang w:eastAsia="lt-LT"/>
                  </w:rPr>
                  <w:t>[...]</w:t>
                </w:r>
              </w:p>
              <w:p>
                <w:pPr>
                  <w:jc w:val="both"/>
                  <w:rPr>
                    <w:szCs w:val="24"/>
                    <w:lang w:eastAsia="lt-LT"/>
                  </w:rPr>
                </w:pPr>
              </w:p>
              <w:p>
                <w:pPr>
                  <w:jc w:val="both"/>
                  <w:rPr>
                    <w:b/>
                    <w:bCs/>
                    <w:szCs w:val="24"/>
                    <w:lang w:eastAsia="lt-LT"/>
                  </w:rPr>
                </w:pPr>
                <w:r>
                  <w:rPr>
                    <w:b/>
                    <w:bCs/>
                    <w:szCs w:val="24"/>
                    <w:lang w:eastAsia="lt-LT"/>
                  </w:rPr>
                  <w:t>DK</w:t>
                </w:r>
              </w:p>
              <w:p>
                <w:pPr>
                  <w:jc w:val="both"/>
                  <w:rPr>
                    <w:szCs w:val="24"/>
                    <w:lang w:eastAsia="lt-LT"/>
                  </w:rPr>
                </w:pPr>
                <w:r>
                  <w:rPr>
                    <w:b/>
                    <w:bCs/>
                    <w:szCs w:val="24"/>
                    <w:lang w:eastAsia="lt-LT"/>
                  </w:rPr>
                  <w:t>158 straipsnis. Darbuotojų saugos ir sveikatos organizavimas</w:t>
                </w:r>
              </w:p>
              <w:p>
                <w:pPr>
                  <w:jc w:val="both"/>
                  <w:rPr>
                    <w:szCs w:val="24"/>
                    <w:lang w:eastAsia="lt-LT"/>
                  </w:rPr>
                </w:pPr>
                <w:r>
                  <w:rPr>
                    <w:szCs w:val="24"/>
                    <w:lang w:eastAsia="lt-LT"/>
                  </w:rPr>
                  <w:t>1.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tam tikrų darbuotojų grupių (nėščių, neseniai pagimdžiusių ar krūtimi maitinančių darbuotojų, asmenų iki aštuoniolikos metų) apsaugos nuostatas.</w:t>
                </w: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21" w:tgtFrame="_parent" w:history="1">
                  <w:r>
                    <w:rPr>
                      <w:i/>
                      <w:iCs/>
                      <w:szCs w:val="24"/>
                      <w:u w:val="single"/>
                      <w:lang w:eastAsia="lt-LT"/>
                    </w:rPr>
                    <w:t>XIV-2704</w:t>
                  </w:r>
                </w:hyperlink>
                <w:r>
                  <w:rPr>
                    <w:i/>
                    <w:iCs/>
                    <w:szCs w:val="24"/>
                    <w:lang w:eastAsia="lt-LT"/>
                  </w:rPr>
                  <w:t>, 2024-06-13, paskelbta TAR 2024-06-20, i. k. 2024-11228</w:t>
                </w:r>
              </w:p>
              <w:p>
                <w:pPr>
                  <w:ind w:firstLine="62"/>
                  <w:jc w:val="both"/>
                  <w:rPr>
                    <w:szCs w:val="24"/>
                    <w:lang w:eastAsia="lt-LT"/>
                  </w:rPr>
                </w:pPr>
              </w:p>
              <w:p>
                <w:pPr>
                  <w:jc w:val="both"/>
                  <w:rPr>
                    <w:szCs w:val="24"/>
                    <w:lang w:eastAsia="lt-LT"/>
                  </w:rPr>
                </w:pPr>
                <w:r>
                  <w:rPr>
                    <w:szCs w:val="24"/>
                    <w:lang w:eastAsia="lt-LT"/>
                  </w:rPr>
                  <w:t>2. Kiekvieno darbuotojo darbo vieta ir aplinka turi būti saugi ir nekenksminga sveikatai, įrengta pagal darbuotojų saugos ir sveikatos norminių teisės aktų reikalavimus. </w:t>
                </w:r>
              </w:p>
              <w:p>
                <w:pPr>
                  <w:jc w:val="both"/>
                  <w:rPr>
                    <w:szCs w:val="24"/>
                    <w:lang w:eastAsia="lt-LT"/>
                  </w:rPr>
                </w:pPr>
              </w:p>
              <w:p>
                <w:pPr>
                  <w:jc w:val="both"/>
                  <w:rPr>
                    <w:b/>
                    <w:bCs/>
                    <w:szCs w:val="24"/>
                    <w:lang w:eastAsia="lt-LT"/>
                  </w:rPr>
                </w:pPr>
                <w:r>
                  <w:rPr>
                    <w:b/>
                    <w:bCs/>
                    <w:szCs w:val="24"/>
                    <w:lang w:eastAsia="lt-LT"/>
                  </w:rPr>
                  <w:t>26 straipsnis. Darbuotojų lyčių lygybė ir nediskriminavimas kitais pagrindais</w:t>
                </w:r>
              </w:p>
              <w:p>
                <w:pPr>
                  <w:jc w:val="both"/>
                  <w:rPr>
                    <w:szCs w:val="24"/>
                    <w:lang w:eastAsia="lt-LT"/>
                  </w:rPr>
                </w:pPr>
                <w:r>
                  <w:rPr>
                    <w:szCs w:val="24"/>
                    <w:lang w:eastAsia="lt-LT"/>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22" w:tgtFrame="_parent" w:history="1">
                  <w:r>
                    <w:rPr>
                      <w:i/>
                      <w:iCs/>
                      <w:szCs w:val="24"/>
                      <w:u w:val="single"/>
                      <w:lang w:eastAsia="lt-LT"/>
                    </w:rPr>
                    <w:t>XIV-1189</w:t>
                  </w:r>
                </w:hyperlink>
                <w:r>
                  <w:rPr>
                    <w:i/>
                    <w:iCs/>
                    <w:szCs w:val="24"/>
                    <w:lang w:eastAsia="lt-LT"/>
                  </w:rPr>
                  <w:t>, 2022-06-28, paskelbta TAR 2022-07-11, i. k. 2022-15178</w:t>
                </w:r>
              </w:p>
              <w:p>
                <w:pPr>
                  <w:jc w:val="both"/>
                  <w:rPr>
                    <w:szCs w:val="24"/>
                    <w:lang w:eastAsia="lt-LT"/>
                  </w:rPr>
                </w:pPr>
              </w:p>
              <w:p>
                <w:pPr>
                  <w:jc w:val="both"/>
                  <w:rPr>
                    <w:szCs w:val="24"/>
                    <w:lang w:eastAsia="lt-LT"/>
                  </w:rPr>
                </w:pPr>
                <w:r>
                  <w:rPr>
                    <w:szCs w:val="24"/>
                    <w:lang w:eastAsia="lt-LT"/>
                  </w:rPr>
                  <w:t>6) imtis tinkamų priemonių, kad asmenims su negalia būtų sudarytos sąlygos gauti darbą, dirbti, siekti karjeros arba mokytis, įskaitant tinkamų darbo sąlygų sudarymą, jeigu dėl tokių priemonių nebus neproporcingai apsunkinamos darbdavio pareigos.</w:t>
                </w:r>
              </w:p>
              <w:p>
                <w:pPr>
                  <w:jc w:val="both"/>
                  <w:rPr>
                    <w:szCs w:val="24"/>
                    <w:lang w:eastAsia="lt-LT"/>
                  </w:rPr>
                </w:pPr>
                <w:r>
                  <w:rPr>
                    <w:i/>
                    <w:iCs/>
                    <w:szCs w:val="24"/>
                    <w:lang w:eastAsia="lt-LT"/>
                  </w:rPr>
                  <w:t>Straipsnio punkto pakeitimai:</w:t>
                </w:r>
              </w:p>
              <w:p>
                <w:pPr>
                  <w:jc w:val="both"/>
                  <w:rPr>
                    <w:szCs w:val="24"/>
                    <w:lang w:eastAsia="lt-LT"/>
                  </w:rPr>
                </w:pPr>
                <w:r>
                  <w:rPr>
                    <w:i/>
                    <w:iCs/>
                    <w:szCs w:val="24"/>
                    <w:lang w:eastAsia="lt-LT"/>
                  </w:rPr>
                  <w:t>Nr. </w:t>
                </w:r>
                <w:hyperlink r:id="rId23" w:tgtFrame="_parent" w:history="1">
                  <w:r>
                    <w:rPr>
                      <w:i/>
                      <w:iCs/>
                      <w:szCs w:val="24"/>
                      <w:u w:val="single"/>
                      <w:lang w:eastAsia="lt-LT"/>
                    </w:rPr>
                    <w:t>XIV-1189</w:t>
                  </w:r>
                </w:hyperlink>
                <w:r>
                  <w:rPr>
                    <w:i/>
                    <w:iCs/>
                    <w:szCs w:val="24"/>
                    <w:lang w:eastAsia="lt-LT"/>
                  </w:rPr>
                  <w:t>, 2022-06-28, paskelbta TAR 2022-07-11, i. k. 2022-15178</w:t>
                </w:r>
              </w:p>
              <w:p>
                <w:pPr>
                  <w:jc w:val="both"/>
                  <w:rPr>
                    <w:szCs w:val="24"/>
                    <w:lang w:eastAsia="lt-LT"/>
                  </w:rPr>
                </w:pPr>
                <w:r>
                  <w:rPr>
                    <w:i/>
                    <w:iCs/>
                    <w:szCs w:val="24"/>
                    <w:lang w:eastAsia="lt-LT"/>
                  </w:rPr>
                  <w:t>Nr. </w:t>
                </w:r>
                <w:hyperlink r:id="rId24" w:tgtFrame="_parent" w:history="1">
                  <w:r>
                    <w:rPr>
                      <w:i/>
                      <w:iCs/>
                      <w:szCs w:val="24"/>
                      <w:u w:val="single"/>
                      <w:lang w:eastAsia="lt-LT"/>
                    </w:rPr>
                    <w:t>XIV-2704</w:t>
                  </w:r>
                </w:hyperlink>
                <w:r>
                  <w:rPr>
                    <w:i/>
                    <w:iCs/>
                    <w:szCs w:val="24"/>
                    <w:lang w:eastAsia="lt-LT"/>
                  </w:rPr>
                  <w:t>, 2024-06-13, paskelbta TAR 2024-06-20, i. k. 2024-11228</w:t>
                </w:r>
              </w:p>
              <w:p>
                <w:pPr>
                  <w:ind w:firstLine="62"/>
                  <w:jc w:val="both"/>
                  <w:rPr>
                    <w:szCs w:val="24"/>
                    <w:lang w:eastAsia="lt-LT"/>
                  </w:rPr>
                </w:pP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25" w:tgtFrame="_parent" w:history="1">
                  <w:r>
                    <w:rPr>
                      <w:i/>
                      <w:iCs/>
                      <w:szCs w:val="24"/>
                      <w:u w:val="single"/>
                      <w:lang w:eastAsia="lt-LT"/>
                    </w:rPr>
                    <w:t>XIII-2944</w:t>
                  </w:r>
                </w:hyperlink>
                <w:r>
                  <w:rPr>
                    <w:i/>
                    <w:iCs/>
                    <w:szCs w:val="24"/>
                    <w:lang w:eastAsia="lt-LT"/>
                  </w:rPr>
                  <w:t>, 2020-05-21, paskelbta TAR 2020-06-03, i. k. 2020-12135</w:t>
                </w:r>
              </w:p>
              <w:p>
                <w:pPr>
                  <w:jc w:val="both"/>
                  <w:rPr>
                    <w:szCs w:val="24"/>
                    <w:lang w:eastAsia="lt-LT"/>
                  </w:rPr>
                </w:pPr>
              </w:p>
              <w:p>
                <w:pPr>
                  <w:jc w:val="both"/>
                  <w:rPr>
                    <w:szCs w:val="24"/>
                    <w:lang w:eastAsia="lt-LT"/>
                  </w:rPr>
                </w:pPr>
              </w:p>
              <w:p>
                <w:pPr>
                  <w:jc w:val="both"/>
                  <w:rPr>
                    <w:b/>
                    <w:bCs/>
                    <w:szCs w:val="24"/>
                    <w:lang w:eastAsia="lt-LT"/>
                  </w:rPr>
                </w:pPr>
                <w:r>
                  <w:rPr>
                    <w:b/>
                    <w:bCs/>
                    <w:szCs w:val="24"/>
                    <w:lang w:eastAsia="lt-LT"/>
                  </w:rPr>
                  <w:t>40 straipsnis. Susitarimas dėl ne viso darbo laiko</w:t>
                </w:r>
              </w:p>
              <w:p>
                <w:pPr>
                  <w:jc w:val="both"/>
                  <w:rPr>
                    <w:szCs w:val="24"/>
                    <w:lang w:eastAsia="lt-LT"/>
                  </w:rPr>
                </w:pPr>
                <w:r>
                  <w:rPr>
                    <w:szCs w:val="24"/>
                    <w:lang w:eastAsia="lt-LT"/>
                  </w:rPr>
                  <w:t>5. Šio straipsnio 4 dalyje nustatyti ribojimai dėl ne viso darbo laiko nustatymo ir jo trukmės negalioja, jeigu darbdavys sutinka su kitokiomis darbuotojo pasiūlytomis ne viso darbo laiko sąlygomis arba jeigu darbuotojo prašymas pagal sveikatos priežiūros įstaigos išvadą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26" w:tgtFrame="_parent" w:history="1">
                  <w:r>
                    <w:rPr>
                      <w:i/>
                      <w:iCs/>
                      <w:szCs w:val="24"/>
                      <w:u w:val="single"/>
                      <w:lang w:eastAsia="lt-LT"/>
                    </w:rPr>
                    <w:t>XIV-1189</w:t>
                  </w:r>
                </w:hyperlink>
                <w:r>
                  <w:rPr>
                    <w:i/>
                    <w:iCs/>
                    <w:szCs w:val="24"/>
                    <w:lang w:eastAsia="lt-LT"/>
                  </w:rPr>
                  <w:t>, 2022-06-28, paskelbta TAR 2022-07-11, i. k. 2022-15178</w:t>
                </w:r>
              </w:p>
              <w:p>
                <w:pPr>
                  <w:jc w:val="both"/>
                  <w:rPr>
                    <w:szCs w:val="24"/>
                    <w:lang w:eastAsia="lt-LT"/>
                  </w:rPr>
                </w:pPr>
                <w:r>
                  <w:rPr>
                    <w:i/>
                    <w:iCs/>
                    <w:szCs w:val="24"/>
                    <w:lang w:eastAsia="lt-LT"/>
                  </w:rPr>
                  <w:t>Nr. </w:t>
                </w:r>
                <w:hyperlink r:id="rId27" w:tgtFrame="_parent" w:history="1">
                  <w:r>
                    <w:rPr>
                      <w:i/>
                      <w:iCs/>
                      <w:szCs w:val="24"/>
                      <w:u w:val="single"/>
                      <w:lang w:eastAsia="lt-LT"/>
                    </w:rPr>
                    <w:t>XIV-2704</w:t>
                  </w:r>
                </w:hyperlink>
                <w:r>
                  <w:rPr>
                    <w:i/>
                    <w:iCs/>
                    <w:szCs w:val="24"/>
                    <w:lang w:eastAsia="lt-LT"/>
                  </w:rPr>
                  <w:t>, 2024-06-13, paskelbta TAR 2024-06-20, i. k. 2024-11228</w:t>
                </w:r>
              </w:p>
              <w:p>
                <w:pPr>
                  <w:ind w:firstLine="62"/>
                  <w:jc w:val="both"/>
                  <w:rPr>
                    <w:szCs w:val="24"/>
                    <w:lang w:eastAsia="lt-LT"/>
                  </w:rPr>
                </w:pPr>
              </w:p>
              <w:p>
                <w:pPr>
                  <w:jc w:val="both"/>
                  <w:rPr>
                    <w:szCs w:val="24"/>
                    <w:lang w:eastAsia="lt-LT"/>
                  </w:rPr>
                </w:pPr>
                <w:r>
                  <w:rPr>
                    <w:szCs w:val="24"/>
                    <w:lang w:eastAsia="lt-LT"/>
                  </w:rPr>
                  <w:t>6. 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p>
              <w:p>
                <w:pPr>
                  <w:jc w:val="both"/>
                  <w:rPr>
                    <w:szCs w:val="24"/>
                    <w:lang w:eastAsia="lt-LT"/>
                  </w:rPr>
                </w:pPr>
              </w:p>
              <w:p>
                <w:pPr>
                  <w:jc w:val="both"/>
                  <w:rPr>
                    <w:szCs w:val="24"/>
                    <w:lang w:eastAsia="lt-LT"/>
                  </w:rPr>
                </w:pPr>
                <w:r>
                  <w:rPr>
                    <w:b/>
                    <w:bCs/>
                    <w:szCs w:val="24"/>
                    <w:lang w:eastAsia="lt-LT"/>
                  </w:rPr>
                  <w:t>137 straipsnis. Nemokamos atostogos ir nemokamas laisvas laikas</w:t>
                </w:r>
              </w:p>
              <w:p>
                <w:pPr>
                  <w:jc w:val="both"/>
                  <w:rPr>
                    <w:szCs w:val="24"/>
                    <w:lang w:eastAsia="lt-LT"/>
                  </w:rPr>
                </w:pPr>
                <w:r>
                  <w:rPr>
                    <w:szCs w:val="24"/>
                    <w:lang w:eastAsia="lt-LT"/>
                  </w:rPr>
                  <w:t>1. Darbdavys privalo tenkinti darbuotojo prašymą suteikti ne trumpesnės, negu prašo darbuotojas, trukmės nemokamas atostogas, jeigu jį pateikia:</w:t>
                </w:r>
              </w:p>
              <w:p>
                <w:pPr>
                  <w:jc w:val="both"/>
                  <w:rPr>
                    <w:szCs w:val="24"/>
                    <w:lang w:eastAsia="lt-LT"/>
                  </w:rPr>
                </w:pPr>
                <w:r>
                  <w:rPr>
                    <w:szCs w:val="24"/>
                    <w:lang w:eastAsia="lt-LT"/>
                  </w:rPr>
                  <w:t>1) darbuotojas, auginantis vaiką iki keturiolikos metų, – iki keturiolikos kalendorinių dienų;</w:t>
                </w:r>
              </w:p>
              <w:p>
                <w:pPr>
                  <w:jc w:val="both"/>
                  <w:rPr>
                    <w:szCs w:val="24"/>
                    <w:lang w:eastAsia="lt-LT"/>
                  </w:rPr>
                </w:pPr>
                <w:r>
                  <w:rPr>
                    <w:szCs w:val="24"/>
                    <w:lang w:eastAsia="lt-LT"/>
                  </w:rPr>
                  <w:t>2) darbuotojas</w:t>
                </w:r>
                <w:r>
                  <w:rPr>
                    <w:b/>
                    <w:bCs/>
                    <w:szCs w:val="24"/>
                    <w:lang w:eastAsia="lt-LT"/>
                  </w:rPr>
                  <w:t> </w:t>
                </w:r>
                <w:r>
                  <w:rPr>
                    <w:szCs w:val="24"/>
                    <w:lang w:eastAsia="lt-LT"/>
                  </w:rPr>
                  <w:t>su negalia, taip pat darbuotojas, auginantis vaiką su negalia iki aštuoniolikos metų arba slaugantis ar prižiūrintis asmenį su negalia, kuriam nustatytas individualios pagalbos teikimo išlaidų kompensacijos poreikis (iki 2023 m. gruodžio 31 d. – specialusis nuolatinės slaugos ar specialusis nuolatinės priežiūros (pagalbos) poreikis), – iki trisdešimties kalendorinių dienų;</w:t>
                </w:r>
              </w:p>
              <w:p>
                <w:pPr>
                  <w:jc w:val="both"/>
                  <w:rPr>
                    <w:szCs w:val="24"/>
                    <w:lang w:eastAsia="lt-LT"/>
                  </w:rPr>
                </w:pPr>
                <w:r>
                  <w:rPr>
                    <w:i/>
                    <w:iCs/>
                    <w:szCs w:val="24"/>
                    <w:lang w:eastAsia="lt-LT"/>
                  </w:rPr>
                  <w:t>Straipsnio punkto pakeitimai:</w:t>
                </w:r>
              </w:p>
              <w:p>
                <w:pPr>
                  <w:jc w:val="both"/>
                  <w:rPr>
                    <w:szCs w:val="24"/>
                    <w:lang w:eastAsia="lt-LT"/>
                  </w:rPr>
                </w:pPr>
                <w:r>
                  <w:rPr>
                    <w:i/>
                    <w:iCs/>
                    <w:szCs w:val="24"/>
                    <w:lang w:eastAsia="lt-LT"/>
                  </w:rPr>
                  <w:t>Nr. </w:t>
                </w:r>
                <w:hyperlink r:id="rId28" w:tgtFrame="_parent" w:history="1">
                  <w:r>
                    <w:rPr>
                      <w:i/>
                      <w:iCs/>
                      <w:szCs w:val="24"/>
                      <w:u w:val="single"/>
                      <w:lang w:eastAsia="lt-LT"/>
                    </w:rPr>
                    <w:t>XIV-2704</w:t>
                  </w:r>
                </w:hyperlink>
                <w:r>
                  <w:rPr>
                    <w:i/>
                    <w:iCs/>
                    <w:szCs w:val="24"/>
                    <w:lang w:eastAsia="lt-LT"/>
                  </w:rPr>
                  <w:t>, 2024-06-13, paskelbta TAR 2024-06-20, i. k. 2024-11228</w:t>
                </w:r>
              </w:p>
              <w:p>
                <w:pPr>
                  <w:ind w:firstLine="62"/>
                  <w:jc w:val="both"/>
                  <w:rPr>
                    <w:szCs w:val="24"/>
                    <w:lang w:eastAsia="lt-LT"/>
                  </w:rPr>
                </w:pPr>
              </w:p>
              <w:p>
                <w:pPr>
                  <w:jc w:val="both"/>
                  <w:rPr>
                    <w:szCs w:val="24"/>
                    <w:lang w:eastAsia="lt-LT"/>
                  </w:rPr>
                </w:pPr>
                <w:r>
                  <w:rPr>
                    <w:szCs w:val="24"/>
                    <w:lang w:eastAsia="lt-LT"/>
                  </w:rPr>
                  <w:t>3) vaiko motinos nėštumo ir gimdymo atostogų metu ir atostogų vaikui prižiūrėti metu tėvas jo pageidavimu (motina – tėvo atostogų vaikui prižiūrėti metu); šių atostogų bendra trukmė negali viršyti trijų mėnesių;</w:t>
                </w:r>
              </w:p>
              <w:p>
                <w:pPr>
                  <w:jc w:val="both"/>
                  <w:rPr>
                    <w:szCs w:val="24"/>
                    <w:lang w:eastAsia="lt-LT"/>
                  </w:rPr>
                </w:pPr>
                <w:r>
                  <w:rPr>
                    <w:szCs w:val="24"/>
                    <w:lang w:eastAsia="lt-LT"/>
                  </w:rPr>
                  <w:t>4) darbuotojas, slaugantis sergantį šeimos narį ar kartu su darbuotoju gyvenantį asmenį, arba darbuotojas, pateikęs sveikatos priežiūros įstaigos išvadą apie jo sveikatos būklę, – tiek laiko, kiek rekomenduoja sveikatos priežiūros įstaiga;</w:t>
                </w:r>
              </w:p>
              <w:p>
                <w:pPr>
                  <w:jc w:val="both"/>
                  <w:rPr>
                    <w:szCs w:val="24"/>
                    <w:lang w:eastAsia="lt-LT"/>
                  </w:rPr>
                </w:pPr>
                <w:r>
                  <w:rPr>
                    <w:szCs w:val="24"/>
                    <w:lang w:eastAsia="lt-LT"/>
                  </w:rPr>
                  <w:t>5) darbuotojas santuokai sudaryti, – iki trijų kalendorinių dienų;</w:t>
                </w:r>
              </w:p>
              <w:p>
                <w:pPr>
                  <w:jc w:val="both"/>
                  <w:rPr>
                    <w:szCs w:val="24"/>
                    <w:lang w:eastAsia="lt-LT"/>
                  </w:rPr>
                </w:pPr>
                <w:r>
                  <w:rPr>
                    <w:szCs w:val="24"/>
                    <w:lang w:eastAsia="lt-LT"/>
                  </w:rPr>
                  <w:t>6) darbuotojas dalyvauti mirusio šeimos nario laidotuvėse, – iki penkių kalendorinių dienų;</w:t>
                </w:r>
              </w:p>
              <w:p>
                <w:pPr>
                  <w:jc w:val="both"/>
                  <w:rPr>
                    <w:szCs w:val="24"/>
                    <w:lang w:eastAsia="lt-LT"/>
                  </w:rPr>
                </w:pPr>
                <w:r>
                  <w:rPr>
                    <w:szCs w:val="24"/>
                    <w:lang w:eastAsia="lt-LT"/>
                  </w:rPr>
                  <w:t>7) darbuotojas kolektyvinėje sutartyje nustatytais atvejais ir tvarka, – joje nustatytos trukmės.</w:t>
                </w:r>
              </w:p>
              <w:p>
                <w:pPr>
                  <w:jc w:val="both"/>
                  <w:rPr>
                    <w:szCs w:val="24"/>
                    <w:lang w:eastAsia="lt-LT"/>
                  </w:rPr>
                </w:pPr>
              </w:p>
              <w:p>
                <w:pPr>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lang w:eastAsia="lt-LT"/>
                  </w:rPr>
                </w:pPr>
                <w:r>
                  <w:rPr>
                    <w:b/>
                    <w:bCs/>
                    <w:szCs w:val="24"/>
                    <w:lang w:eastAsia="lt-LT"/>
                  </w:rPr>
                  <w:t>Įstatymas Nr. XIV-1722</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b/>
                    <w:bCs/>
                    <w:szCs w:val="24"/>
                  </w:rPr>
                </w:pPr>
                <w:r>
                  <w:rPr>
                    <w:rFonts w:eastAsia="Courier New"/>
                    <w:b/>
                    <w:bCs/>
                    <w:szCs w:val="24"/>
                  </w:rPr>
                  <w:t>5 straipsnis. Asmens su negalia teisė į prieinamą aplinką ir šios teisės įgyvendinimas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1. Asmuo su negalia turi teisę į prieinamą aplinką visoje Lietuvos Respublikos teritorijoje.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2. Valstybės ir savivaldybių institucijos ir įstaigos, užtikrindamos šio straipsnio 1 dalyje nurodytą teisę, pagal kompetenciją: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1) koordinuoja prieinamos aplinkos visoje Lietuvos Respublikos teritorijoje kūrimą;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2) rengia ir tvirtina prieinamos aplinkos standartus ir (ar) gaires, prižiūri ir kontroliuoja, kaip jų laikomasi;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3) šviečia visuomenę ir rengia mokymus prieinamos aplinkos užtikrinimo klausimais.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3. Šio straipsnio 2 dalies nuostatos įgyvendinamos atliekant teritorijų planavimą ir statinių projektavimą bei fizinės ir informacinės aplinkos pritaikymą asmens su negalia poreikiams.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ourier New"/>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4. Už asmens su negalia teisės į prieinamą aplinką įgyvendinimą atsako: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1) Lietuvos Respublikos aplinkos ministerija – už fizinės aplinkos pritaikymo asmens su negalia poreikiams statybos normatyvinių techninių dokumentų parengimą, patvirtinimą ir jų įgyvendinimo priežiūrą;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2)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3) statinių naudotojai – už statinių pritaikymą asmens su negalia poreikiams;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Cs w:val="24"/>
                    <w:lang w:val="es-ES"/>
                  </w:rPr>
                </w:pPr>
                <w:r>
                  <w:rPr>
                    <w:rFonts w:eastAsia="Courier New"/>
                    <w:szCs w:val="24"/>
                    <w:lang w:val="es-ES"/>
                  </w:rPr>
                  <w:t>4)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ourier New"/>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ourier New"/>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ourier New"/>
                    <w:szCs w:val="24"/>
                  </w:rPr>
                </w:pPr>
              </w:p>
            </w:tc>
            <w:tc>
              <w:tcPr>
                <w:tcW w:w="1800" w:type="dxa"/>
              </w:tcPr>
              <w:p>
                <w:pPr>
                  <w:tabs>
                    <w:tab w:val="center" w:pos="4153"/>
                    <w:tab w:val="right" w:pos="8306"/>
                  </w:tabs>
                  <w:rPr>
                    <w:b/>
                    <w:bCs/>
                    <w:szCs w:val="24"/>
                    <w:lang w:eastAsia="lt-LT"/>
                  </w:rPr>
                </w:pPr>
                <w:r>
                  <w:rPr>
                    <w:b/>
                    <w:bCs/>
                    <w:szCs w:val="24"/>
                    <w:lang w:eastAsia="lt-LT"/>
                  </w:rPr>
                  <w:t>Visiškas</w:t>
                </w:r>
              </w:p>
            </w:tc>
          </w:tr>
          <w:tr>
            <w:trPr>
              <w:trHeight w:val="8348"/>
            </w:trPr>
            <w:tc>
              <w:tcPr>
                <w:tcW w:w="6210" w:type="dxa"/>
              </w:tcPr>
              <w:p>
                <w:pPr>
                  <w:jc w:val="both"/>
                  <w:rPr>
                    <w:b/>
                    <w:bCs/>
                    <w:iCs/>
                    <w:szCs w:val="24"/>
                    <w:lang w:eastAsia="lt-LT"/>
                  </w:rPr>
                </w:pPr>
                <w:r>
                  <w:rPr>
                    <w:b/>
                    <w:bCs/>
                    <w:iCs/>
                    <w:szCs w:val="24"/>
                    <w:lang w:eastAsia="lt-LT"/>
                  </w:rPr>
                  <w:t>6 straipsnis</w:t>
                </w:r>
              </w:p>
              <w:p>
                <w:pPr>
                  <w:jc w:val="both"/>
                  <w:rPr>
                    <w:b/>
                    <w:bCs/>
                    <w:szCs w:val="24"/>
                    <w:lang w:eastAsia="lt-LT"/>
                  </w:rPr>
                </w:pPr>
                <w:r>
                  <w:rPr>
                    <w:b/>
                    <w:bCs/>
                    <w:szCs w:val="24"/>
                    <w:lang w:eastAsia="lt-LT"/>
                  </w:rPr>
                  <w:t>Skirtingo požiūrio dėl amžiaus pateisinimas</w:t>
                </w:r>
              </w:p>
              <w:p>
                <w:pPr>
                  <w:jc w:val="both"/>
                  <w:rPr>
                    <w:szCs w:val="24"/>
                    <w:lang w:eastAsia="lt-LT"/>
                  </w:rPr>
                </w:pPr>
                <w:r>
                  <w:rPr>
                    <w:szCs w:val="24"/>
                    <w:lang w:eastAsia="lt-LT"/>
                  </w:rPr>
                  <w:t>1. Nepaisydamos 2 straipsnio 2 dalies, valstybės narės gali numatyti, kad skirtingas požiūris dėl amžiaus nėra diskriminacija, jei pagal nacionalinę teisę jį objektyviai ir tinkamai pateisina teisėtas tikslas, įskaitant teisėtos užimtumo politikos, darbo rinkos ir profesinio mokymo tikslus, o šio tikslo siekiama tinkamomis ir būtinomis priemonėmis.</w:t>
                </w:r>
              </w:p>
              <w:p>
                <w:pPr>
                  <w:jc w:val="both"/>
                  <w:rPr>
                    <w:szCs w:val="24"/>
                    <w:lang w:eastAsia="lt-LT"/>
                  </w:rPr>
                </w:pPr>
              </w:p>
              <w:p>
                <w:pPr>
                  <w:jc w:val="both"/>
                  <w:rPr>
                    <w:szCs w:val="24"/>
                    <w:lang w:eastAsia="lt-LT"/>
                  </w:rPr>
                </w:pPr>
                <w:r>
                  <w:rPr>
                    <w:szCs w:val="24"/>
                    <w:lang w:eastAsia="lt-LT"/>
                  </w:rPr>
                  <w:t>Toks skirtingas poveikis be kitų dalykų gali apimti:</w:t>
                </w:r>
              </w:p>
              <w:p>
                <w:pPr>
                  <w:jc w:val="both"/>
                  <w:rPr>
                    <w:szCs w:val="24"/>
                    <w:lang w:eastAsia="lt-LT"/>
                  </w:rPr>
                </w:pPr>
                <w:r>
                  <w:rPr>
                    <w:szCs w:val="24"/>
                    <w:lang w:eastAsia="lt-LT"/>
                  </w:rPr>
                  <w:t>a) specialių sąlygų nustatymą siekiant įsidarbinti ir profesinio mokymo, įdarbinimui ir darbui, įskaitant atleidimą iš darbo ir apmokėjimo sąlygas, jaunimui, pagyvenusio amžiaus asmenims ir už priežiūrą atsakingiems asmenims, siekiant skatinti jų profesinę integraciją ir užtikrinti jų apsaugą;</w:t>
                </w:r>
              </w:p>
              <w:p>
                <w:pPr>
                  <w:jc w:val="both"/>
                  <w:rPr>
                    <w:szCs w:val="24"/>
                    <w:lang w:eastAsia="lt-LT"/>
                  </w:rPr>
                </w:pPr>
                <w:r>
                  <w:rPr>
                    <w:szCs w:val="24"/>
                    <w:lang w:eastAsia="lt-LT"/>
                  </w:rPr>
                  <w:t>b) minimalaus amžiaus, profesinės patirties ar darbo stažo nustatymą siekiant įsidarbinti arba gauti tam tikrų su darbu susijusių privilegijų;</w:t>
                </w:r>
              </w:p>
              <w:p>
                <w:pPr>
                  <w:jc w:val="both"/>
                  <w:rPr>
                    <w:szCs w:val="24"/>
                    <w:lang w:eastAsia="lt-LT"/>
                  </w:rPr>
                </w:pPr>
                <w:r>
                  <w:rPr>
                    <w:szCs w:val="24"/>
                    <w:lang w:eastAsia="lt-LT"/>
                  </w:rPr>
                  <w:t>c) maksimalaus įdarbinimo amžiaus nustatymą, paremtą su konkrečiomis pareigomis susijusiam mokymui keliamais reikalavimais arba su poreikiu nustatyti atitinkamą išdirbtą laikotarpį iki išėjimo į pensiją.</w:t>
                </w:r>
              </w:p>
              <w:p>
                <w:pPr>
                  <w:jc w:val="both"/>
                  <w:rPr>
                    <w:szCs w:val="24"/>
                    <w:lang w:eastAsia="lt-LT"/>
                  </w:rPr>
                </w:pPr>
                <w:r>
                  <w:rPr>
                    <w:szCs w:val="24"/>
                    <w:lang w:eastAsia="lt-LT"/>
                  </w:rPr>
                  <w:t>2. Nepaisydamos 2 straipsnio 2 dalies, valstybės narės gali numatyti, kad amžiaus, kurio sulaukus suteikiama arba įgyjama teisė gauti senatvės ar invalidumo pensiją, nustatymas pagal profesinės socialinės apsaugos sistemas, įskaitant pagal šias sistemas nustatomą skirtingą darbuotojų amžių arba sudaromas darbuotojų grupes arba nustatomas darbuotojų kategorijas, ir pagal tokias sistemas aktuariniams apskaičiavimams taikomi su amžiumi susiję kriterijai nelaikomi diskriminacija dėl amžiaus, jei dėl to nepradedama diskriminuoti dėl lyties.</w:t>
                </w:r>
              </w:p>
              <w:p>
                <w:pPr>
                  <w:jc w:val="both"/>
                  <w:rPr>
                    <w:b/>
                    <w:bCs/>
                    <w:szCs w:val="24"/>
                    <w:lang w:eastAsia="lt-LT"/>
                  </w:rPr>
                </w:pPr>
              </w:p>
            </w:tc>
            <w:tc>
              <w:tcPr>
                <w:tcW w:w="7110" w:type="dxa"/>
              </w:tcPr>
              <w:p>
                <w:pPr>
                  <w:jc w:val="both"/>
                  <w:rPr>
                    <w:b/>
                    <w:bCs/>
                    <w:szCs w:val="24"/>
                    <w:lang w:eastAsia="lt-LT"/>
                  </w:rPr>
                </w:pPr>
                <w:r>
                  <w:rPr>
                    <w:b/>
                    <w:bCs/>
                    <w:szCs w:val="24"/>
                    <w:lang w:eastAsia="lt-LT"/>
                  </w:rPr>
                  <w:t>Projektas</w:t>
                </w:r>
              </w:p>
              <w:p>
                <w:pPr>
                  <w:jc w:val="both"/>
                  <w:rPr>
                    <w:b/>
                    <w:bCs/>
                    <w:szCs w:val="24"/>
                    <w:lang w:eastAsia="lt-LT"/>
                  </w:rPr>
                </w:pPr>
                <w:r>
                  <w:rPr>
                    <w:b/>
                    <w:bCs/>
                    <w:szCs w:val="24"/>
                    <w:lang w:eastAsia="lt-LT"/>
                  </w:rPr>
                  <w:t>2 straipsnis. Pagrindinės šio įstatymo sąvokos</w:t>
                </w:r>
              </w:p>
              <w:p>
                <w:pPr>
                  <w:jc w:val="both"/>
                  <w:rPr>
                    <w:szCs w:val="24"/>
                    <w:lang w:eastAsia="lt-LT"/>
                  </w:rPr>
                </w:pPr>
                <w:r>
                  <w:rPr>
                    <w:szCs w:val="24"/>
                    <w:lang w:eastAsia="lt-LT"/>
                  </w:rPr>
                  <w:t>[...]</w:t>
                </w:r>
              </w:p>
              <w:p>
                <w:pPr>
                  <w:jc w:val="both"/>
                  <w:rPr>
                    <w:b/>
                    <w:bCs/>
                    <w:szCs w:val="24"/>
                    <w:lang w:eastAsia="lt-LT"/>
                  </w:rPr>
                </w:pPr>
                <w:r>
                  <w:rPr>
                    <w:b/>
                    <w:bCs/>
                    <w:szCs w:val="24"/>
                    <w:lang w:eastAsia="lt-LT"/>
                  </w:rPr>
                  <w:t>16. Tiesioginė diskriminacija – elgesys</w:t>
                </w:r>
                <w:r>
                  <w:rPr>
                    <w:b/>
                    <w:bCs/>
                    <w:i/>
                    <w:szCs w:val="24"/>
                    <w:lang w:eastAsia="lt-LT"/>
                  </w:rPr>
                  <w:t xml:space="preserve"> </w:t>
                </w:r>
                <w:r>
                  <w:rPr>
                    <w:b/>
                    <w:bCs/>
                    <w:szCs w:val="24"/>
                    <w:lang w:eastAsia="lt-LT"/>
                  </w:rPr>
                  <w:t>su asmeniu, kai vienu ar keliais diskriminacijos pagrindais jam taikomos mažiau palankios sąlygos, negu tokiomis pat ar panašiomis aplinkybėmis jos buvo, yra ar būtų</w:t>
                </w:r>
                <w:r>
                  <w:rPr>
                    <w:b/>
                    <w:bCs/>
                    <w:i/>
                    <w:szCs w:val="24"/>
                    <w:lang w:eastAsia="lt-LT"/>
                  </w:rPr>
                  <w:t xml:space="preserve"> </w:t>
                </w:r>
                <w:r>
                  <w:rPr>
                    <w:b/>
                    <w:bCs/>
                    <w:szCs w:val="24"/>
                    <w:lang w:eastAsia="lt-LT"/>
                  </w:rPr>
                  <w:t>taikomos kitam asmeniui, išskyrus:</w:t>
                </w:r>
              </w:p>
              <w:p>
                <w:pPr>
                  <w:jc w:val="both"/>
                  <w:rPr>
                    <w:b/>
                    <w:bCs/>
                    <w:szCs w:val="24"/>
                    <w:lang w:eastAsia="lt-LT"/>
                  </w:rPr>
                </w:pPr>
                <w:r>
                  <w:rPr>
                    <w:b/>
                    <w:bCs/>
                    <w:szCs w:val="24"/>
                    <w:lang w:eastAsia="lt-LT"/>
                  </w:rPr>
                  <w:t xml:space="preserve">1) įstatymų nustatytus apribojimus dėl amžiaus, kai tai pateisina teisėtas tikslas, siekiamas tinkamomis, būtinomis ir proporcingomis priemonėmis; </w:t>
                </w:r>
              </w:p>
              <w:p>
                <w:pPr>
                  <w:rPr>
                    <w:bCs/>
                    <w:szCs w:val="24"/>
                    <w:lang w:eastAsia="lt-LT"/>
                  </w:rPr>
                </w:pPr>
                <w:r>
                  <w:rPr>
                    <w:bCs/>
                    <w:szCs w:val="24"/>
                    <w:lang w:eastAsia="lt-LT"/>
                  </w:rPr>
                  <w:t xml:space="preserve">[...] </w:t>
                </w:r>
              </w:p>
              <w:p>
                <w:pPr>
                  <w:rPr>
                    <w:bCs/>
                    <w:szCs w:val="24"/>
                    <w:lang w:eastAsia="lt-LT"/>
                  </w:rPr>
                </w:pPr>
              </w:p>
              <w:p>
                <w:pPr>
                  <w:jc w:val="both"/>
                  <w:rPr>
                    <w:szCs w:val="24"/>
                    <w:lang w:eastAsia="lt-LT"/>
                  </w:rPr>
                </w:pPr>
              </w:p>
              <w:p>
                <w:pPr>
                  <w:jc w:val="both"/>
                  <w:rPr>
                    <w:b/>
                    <w:bCs/>
                    <w:szCs w:val="24"/>
                    <w:lang w:eastAsia="lt-LT"/>
                  </w:rPr>
                </w:pPr>
                <w:r>
                  <w:rPr>
                    <w:b/>
                    <w:bCs/>
                    <w:szCs w:val="24"/>
                    <w:lang w:eastAsia="lt-LT"/>
                  </w:rPr>
                  <w:t>Valstybės tarnybos įstatymas</w:t>
                </w:r>
              </w:p>
              <w:p>
                <w:pPr>
                  <w:ind w:right="-17"/>
                  <w:jc w:val="both"/>
                  <w:rPr>
                    <w:b/>
                    <w:bCs/>
                    <w:spacing w:val="2"/>
                    <w:szCs w:val="24"/>
                    <w:lang w:eastAsia="lt-LT"/>
                  </w:rPr>
                </w:pPr>
                <w:r>
                  <w:rPr>
                    <w:b/>
                    <w:bCs/>
                    <w:spacing w:val="2"/>
                    <w:szCs w:val="24"/>
                    <w:lang w:eastAsia="lt-LT"/>
                  </w:rPr>
                  <w:t>9 straipsnis. Priėmimo į valstybės tarnautojų pareigas reikalavimai</w:t>
                </w:r>
              </w:p>
              <w:p>
                <w:pPr>
                  <w:ind w:right="-17"/>
                  <w:jc w:val="both"/>
                  <w:rPr>
                    <w:spacing w:val="2"/>
                    <w:szCs w:val="24"/>
                    <w:lang w:eastAsia="lt-LT"/>
                  </w:rPr>
                </w:pPr>
                <w:r>
                  <w:rPr>
                    <w:spacing w:val="2"/>
                    <w:szCs w:val="24"/>
                    <w:lang w:eastAsia="lt-LT"/>
                  </w:rPr>
                  <w:t>1. Asmenys, priimami į valstybės tarnautojų pareigas, turi atitikti šiuos bendruosius reikalavimus:</w:t>
                </w:r>
              </w:p>
              <w:p>
                <w:pPr>
                  <w:ind w:right="-17"/>
                  <w:jc w:val="both"/>
                  <w:rPr>
                    <w:spacing w:val="2"/>
                    <w:szCs w:val="24"/>
                    <w:lang w:eastAsia="lt-LT"/>
                  </w:rPr>
                </w:pPr>
                <w:r>
                  <w:rPr>
                    <w:spacing w:val="2"/>
                    <w:szCs w:val="24"/>
                    <w:lang w:eastAsia="lt-LT"/>
                  </w:rPr>
                  <w:t>&lt;...&gt;</w:t>
                </w:r>
              </w:p>
              <w:p>
                <w:pPr>
                  <w:ind w:right="-17"/>
                  <w:jc w:val="both"/>
                  <w:rPr>
                    <w:spacing w:val="2"/>
                    <w:szCs w:val="24"/>
                    <w:lang w:eastAsia="lt-LT"/>
                  </w:rPr>
                </w:pPr>
                <w:r>
                  <w:rPr>
                    <w:spacing w:val="2"/>
                    <w:szCs w:val="24"/>
                    <w:lang w:eastAsia="lt-LT"/>
                  </w:rPr>
                  <w:t>2) būti ne jaunesni kaip 18 metų ir ne vyresni kaip 65 metų. Reikalavimas būti ne vyresniam kaip 65 metų netaikomas politinio (asmeninio) pasitikėjimo valstybės tarnautojams;</w:t>
                </w:r>
              </w:p>
              <w:p>
                <w:pPr>
                  <w:ind w:right="-17"/>
                  <w:jc w:val="both"/>
                  <w:rPr>
                    <w:rFonts w:ascii="Arial Unicode MS" w:hAnsi="Arial Unicode MS" w:cs="Arial Unicode MS"/>
                    <w:spacing w:val="2"/>
                    <w:szCs w:val="24"/>
                    <w:lang w:eastAsia="lt-LT"/>
                  </w:rPr>
                </w:pPr>
              </w:p>
              <w:p>
                <w:pPr>
                  <w:jc w:val="both"/>
                  <w:rPr>
                    <w:rFonts w:eastAsia="Arial Unicode MS"/>
                    <w:b/>
                    <w:bCs/>
                    <w:spacing w:val="20"/>
                    <w:szCs w:val="24"/>
                  </w:rPr>
                </w:pPr>
                <w:r>
                  <w:rPr>
                    <w:rFonts w:eastAsia="Arial Unicode MS"/>
                    <w:b/>
                    <w:bCs/>
                    <w:szCs w:val="24"/>
                  </w:rPr>
                  <w:t>Krašto apsaugos sistemos organizavimo ir karo tarnybos</w:t>
                </w:r>
                <w:r>
                  <w:rPr>
                    <w:rFonts w:ascii="Tahoma" w:eastAsia="Arial Unicode MS" w:hAnsi="Tahoma" w:cs="Tahoma"/>
                    <w:b/>
                    <w:bCs/>
                    <w:szCs w:val="24"/>
                  </w:rPr>
                  <w:t xml:space="preserve"> </w:t>
                </w:r>
                <w:r>
                  <w:rPr>
                    <w:rFonts w:eastAsia="Arial Unicode MS"/>
                    <w:b/>
                    <w:bCs/>
                    <w:spacing w:val="20"/>
                    <w:szCs w:val="24"/>
                  </w:rPr>
                  <w:t>įstatymas</w:t>
                </w:r>
              </w:p>
              <w:p>
                <w:pPr>
                  <w:jc w:val="both"/>
                  <w:rPr>
                    <w:rFonts w:eastAsia="Arial Unicode MS"/>
                    <w:spacing w:val="20"/>
                    <w:szCs w:val="24"/>
                  </w:rPr>
                </w:pPr>
              </w:p>
              <w:p>
                <w:pPr>
                  <w:jc w:val="both"/>
                  <w:rPr>
                    <w:szCs w:val="24"/>
                    <w:lang w:eastAsia="lt-LT"/>
                  </w:rPr>
                </w:pPr>
                <w:r>
                  <w:rPr>
                    <w:b/>
                    <w:bCs/>
                    <w:szCs w:val="24"/>
                    <w:lang w:eastAsia="lt-LT"/>
                  </w:rPr>
                  <w:t>45 straipsnis. Profesinės karo tarnybos karių išleidimas į atsargą</w:t>
                </w:r>
              </w:p>
              <w:p>
                <w:pPr>
                  <w:jc w:val="both"/>
                  <w:rPr>
                    <w:szCs w:val="24"/>
                    <w:lang w:eastAsia="lt-LT"/>
                  </w:rPr>
                </w:pPr>
                <w:r>
                  <w:rPr>
                    <w:szCs w:val="24"/>
                    <w:lang w:eastAsia="lt-LT"/>
                  </w:rPr>
                  <w:t>1. Kai profesinės karo tarnybos sutartis nutraukiama šio įstatymo 37 ir 38 straipsniuose numatytais pagrindais, išskyrus nurodytus šio straipsnio 2 dalyje, arba kai pasibaigia profesinės karo tarnybos sutarties terminas ir ji toliau nepratęsiama, karys atleidžiamas iš pareigų, jas perduoda ir ne vėliau kaip per 14 kalendorinių dienų atleidžiamas iš profesinės karo tarnybos.</w:t>
                </w:r>
              </w:p>
              <w:p>
                <w:pPr>
                  <w:jc w:val="both"/>
                  <w:rPr>
                    <w:szCs w:val="24"/>
                    <w:lang w:eastAsia="lt-LT"/>
                  </w:rPr>
                </w:pPr>
                <w:r>
                  <w:rPr>
                    <w:szCs w:val="24"/>
                    <w:lang w:eastAsia="lt-LT"/>
                  </w:rPr>
                  <w:t>2. Kai profesinės karo tarnybos sutartis nutraukiama dėl negalios (šio įstatymo 38 straipsnio 1 dalies 9 punktas) ir sveikatos būklės (šio įstatymo 38 straipsnio 2 dalies 5 punktas), karys atleidžiamas iš pareigų ir ne vėliau kaip per 28 dienas iš profesinės karo tarnybos išleidžiamas į atsargą.</w:t>
                </w: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29" w:tgtFrame="_parent" w:history="1">
                  <w:r>
                    <w:rPr>
                      <w:i/>
                      <w:iCs/>
                      <w:szCs w:val="24"/>
                      <w:u w:val="single"/>
                      <w:lang w:eastAsia="lt-LT"/>
                    </w:rPr>
                    <w:t>XII-1158</w:t>
                  </w:r>
                </w:hyperlink>
                <w:r>
                  <w:rPr>
                    <w:i/>
                    <w:iCs/>
                    <w:szCs w:val="24"/>
                    <w:lang w:eastAsia="lt-LT"/>
                  </w:rPr>
                  <w:t>, 2014-09-25, paskelbta TAR 2014-10-03, i. k. 2014-13595</w:t>
                </w:r>
              </w:p>
              <w:p>
                <w:pPr>
                  <w:jc w:val="both"/>
                  <w:rPr>
                    <w:szCs w:val="24"/>
                    <w:lang w:eastAsia="lt-LT"/>
                  </w:rPr>
                </w:pPr>
                <w:r>
                  <w:rPr>
                    <w:i/>
                    <w:iCs/>
                    <w:szCs w:val="24"/>
                    <w:lang w:eastAsia="lt-LT"/>
                  </w:rPr>
                  <w:t>Nr. </w:t>
                </w:r>
                <w:hyperlink r:id="rId30" w:tgtFrame="_parent" w:history="1">
                  <w:r>
                    <w:rPr>
                      <w:i/>
                      <w:iCs/>
                      <w:szCs w:val="24"/>
                      <w:u w:val="single"/>
                      <w:lang w:eastAsia="lt-LT"/>
                    </w:rPr>
                    <w:t>XIV-2368</w:t>
                  </w:r>
                </w:hyperlink>
                <w:r>
                  <w:rPr>
                    <w:i/>
                    <w:iCs/>
                    <w:szCs w:val="24"/>
                    <w:lang w:eastAsia="lt-LT"/>
                  </w:rPr>
                  <w:t>, 2023-12-14, paskelbta TAR 2023-12-28, i. k. 2023-25621</w:t>
                </w:r>
              </w:p>
              <w:p>
                <w:pPr>
                  <w:ind w:firstLine="62"/>
                  <w:jc w:val="both"/>
                  <w:rPr>
                    <w:szCs w:val="24"/>
                    <w:lang w:eastAsia="lt-LT"/>
                  </w:rPr>
                </w:pPr>
              </w:p>
              <w:p>
                <w:pPr>
                  <w:jc w:val="both"/>
                  <w:rPr>
                    <w:szCs w:val="24"/>
                    <w:lang w:eastAsia="lt-LT"/>
                  </w:rPr>
                </w:pPr>
                <w:r>
                  <w:rPr>
                    <w:szCs w:val="24"/>
                    <w:lang w:eastAsia="lt-LT"/>
                  </w:rPr>
                  <w:t>3. Karys per laikotarpį nuo jo atleidimo iš pareigų iki išleidimo į atsargą perduoda savo pareigas. Už šį laikotarpį jam mokamas kario tarnybinis atlyginimas.</w:t>
                </w:r>
              </w:p>
              <w:p>
                <w:pPr>
                  <w:jc w:val="both"/>
                  <w:rPr>
                    <w:szCs w:val="24"/>
                    <w:lang w:eastAsia="lt-LT"/>
                  </w:rPr>
                </w:pPr>
                <w:r>
                  <w:rPr>
                    <w:szCs w:val="24"/>
                    <w:lang w:eastAsia="lt-LT"/>
                  </w:rPr>
                  <w:t>4. Į atsargą profesinės karo tarnybos kariai, išskyrus nurodytus šio straipsnio 6 dalyje, išleidžiami sukakę:</w:t>
                </w:r>
              </w:p>
              <w:p>
                <w:pPr>
                  <w:jc w:val="both"/>
                  <w:rPr>
                    <w:szCs w:val="24"/>
                    <w:lang w:eastAsia="lt-LT"/>
                  </w:rPr>
                </w:pPr>
                <w:r>
                  <w:rPr>
                    <w:szCs w:val="24"/>
                    <w:lang w:eastAsia="lt-LT"/>
                  </w:rPr>
                  <w:t>1) kareiviai, jūreiviai – 40 metų;</w:t>
                </w:r>
              </w:p>
              <w:p>
                <w:pPr>
                  <w:jc w:val="both"/>
                  <w:rPr>
                    <w:szCs w:val="24"/>
                    <w:lang w:eastAsia="lt-LT"/>
                  </w:rPr>
                </w:pPr>
                <w:r>
                  <w:rPr>
                    <w:szCs w:val="24"/>
                    <w:lang w:eastAsia="lt-LT"/>
                  </w:rPr>
                  <w:t>2) puskarininkiai, jaunesnieji ir vyresnieji karininkai – 56 metus;</w:t>
                </w:r>
              </w:p>
              <w:p>
                <w:pPr>
                  <w:jc w:val="both"/>
                  <w:rPr>
                    <w:szCs w:val="24"/>
                    <w:lang w:eastAsia="lt-LT"/>
                  </w:rPr>
                </w:pPr>
                <w:r>
                  <w:rPr>
                    <w:szCs w:val="24"/>
                    <w:lang w:eastAsia="lt-LT"/>
                  </w:rPr>
                  <w:t>3) generolai (admirolai) – 58 metus.</w:t>
                </w: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31" w:tgtFrame="_parent" w:history="1">
                  <w:r>
                    <w:rPr>
                      <w:i/>
                      <w:iCs/>
                      <w:szCs w:val="24"/>
                      <w:u w:val="single"/>
                      <w:lang w:eastAsia="lt-LT"/>
                    </w:rPr>
                    <w:t>XIII-379</w:t>
                  </w:r>
                </w:hyperlink>
                <w:r>
                  <w:rPr>
                    <w:i/>
                    <w:iCs/>
                    <w:szCs w:val="24"/>
                    <w:lang w:eastAsia="lt-LT"/>
                  </w:rPr>
                  <w:t>, 2017-05-23, paskelbta TAR 2017-05-30, i. k. 2017-09160</w:t>
                </w:r>
              </w:p>
              <w:p>
                <w:pPr>
                  <w:ind w:firstLine="62"/>
                  <w:jc w:val="both"/>
                  <w:rPr>
                    <w:szCs w:val="24"/>
                    <w:lang w:eastAsia="lt-LT"/>
                  </w:rPr>
                </w:pPr>
              </w:p>
              <w:p>
                <w:pPr>
                  <w:jc w:val="both"/>
                  <w:rPr>
                    <w:szCs w:val="24"/>
                    <w:lang w:eastAsia="lt-LT"/>
                  </w:rPr>
                </w:pPr>
                <w:r>
                  <w:rPr>
                    <w:szCs w:val="24"/>
                    <w:lang w:eastAsia="lt-LT"/>
                  </w:rPr>
                  <w:t>&lt;...&gt;</w:t>
                </w:r>
              </w:p>
              <w:p>
                <w:pPr>
                  <w:ind w:firstLine="62"/>
                  <w:jc w:val="both"/>
                  <w:rPr>
                    <w:szCs w:val="24"/>
                    <w:lang w:eastAsia="lt-LT"/>
                  </w:rPr>
                </w:pPr>
              </w:p>
              <w:p>
                <w:pPr>
                  <w:jc w:val="both"/>
                  <w:rPr>
                    <w:szCs w:val="24"/>
                    <w:lang w:eastAsia="lt-LT"/>
                  </w:rPr>
                </w:pPr>
                <w:r>
                  <w:rPr>
                    <w:szCs w:val="24"/>
                    <w:lang w:eastAsia="lt-LT"/>
                  </w:rPr>
                  <w:t>6. Profesinės karo tarnybos kariai, einantys pareigas, kurioms nustatytas reikalavimas turėti specialiąją karinę specialybę, gali būti išleidžiami į atsargą sukakę 60 metų, o karo kapelionai – 65 metus.</w:t>
                </w:r>
              </w:p>
              <w:p>
                <w:pPr>
                  <w:jc w:val="both"/>
                  <w:rPr>
                    <w:szCs w:val="24"/>
                    <w:lang w:eastAsia="lt-LT"/>
                  </w:rPr>
                </w:pPr>
                <w:r>
                  <w:rPr>
                    <w:i/>
                    <w:iCs/>
                    <w:szCs w:val="24"/>
                    <w:lang w:eastAsia="lt-LT"/>
                  </w:rPr>
                  <w:t>Straipsnio dalies pakeitimai:</w:t>
                </w:r>
              </w:p>
              <w:p>
                <w:pPr>
                  <w:jc w:val="both"/>
                  <w:rPr>
                    <w:szCs w:val="24"/>
                    <w:lang w:eastAsia="lt-LT"/>
                  </w:rPr>
                </w:pPr>
                <w:r>
                  <w:rPr>
                    <w:i/>
                    <w:iCs/>
                    <w:szCs w:val="24"/>
                    <w:lang w:eastAsia="lt-LT"/>
                  </w:rPr>
                  <w:t>Nr. </w:t>
                </w:r>
                <w:hyperlink r:id="rId32" w:tgtFrame="_parent" w:history="1">
                  <w:r>
                    <w:rPr>
                      <w:i/>
                      <w:iCs/>
                      <w:szCs w:val="24"/>
                      <w:u w:val="single"/>
                      <w:lang w:eastAsia="lt-LT"/>
                    </w:rPr>
                    <w:t>XIII-379</w:t>
                  </w:r>
                </w:hyperlink>
                <w:r>
                  <w:rPr>
                    <w:i/>
                    <w:iCs/>
                    <w:szCs w:val="24"/>
                    <w:lang w:eastAsia="lt-LT"/>
                  </w:rPr>
                  <w:t>, 2017-05-23, paskelbta TAR 2017-05-30, i. k. 2017-09160</w:t>
                </w:r>
              </w:p>
              <w:p>
                <w:pPr>
                  <w:jc w:val="both"/>
                  <w:rPr>
                    <w:szCs w:val="24"/>
                    <w:lang w:eastAsia="lt-LT"/>
                  </w:rPr>
                </w:pPr>
                <w:r>
                  <w:rPr>
                    <w:i/>
                    <w:iCs/>
                    <w:szCs w:val="24"/>
                    <w:lang w:eastAsia="lt-LT"/>
                  </w:rPr>
                  <w:t>Nr. </w:t>
                </w:r>
                <w:hyperlink r:id="rId33" w:tgtFrame="_parent" w:history="1">
                  <w:r>
                    <w:rPr>
                      <w:i/>
                      <w:iCs/>
                      <w:szCs w:val="24"/>
                      <w:u w:val="single"/>
                      <w:lang w:eastAsia="lt-LT"/>
                    </w:rPr>
                    <w:t>XIV-1179</w:t>
                  </w:r>
                </w:hyperlink>
                <w:r>
                  <w:rPr>
                    <w:i/>
                    <w:iCs/>
                    <w:szCs w:val="24"/>
                    <w:lang w:eastAsia="lt-LT"/>
                  </w:rPr>
                  <w:t>, 2022-06-28, paskelbta TAR 2022-07-11, i. k. 2022-15164</w:t>
                </w:r>
              </w:p>
              <w:p>
                <w:pPr>
                  <w:ind w:firstLine="62"/>
                  <w:jc w:val="both"/>
                  <w:rPr>
                    <w:szCs w:val="24"/>
                    <w:lang w:eastAsia="lt-LT"/>
                  </w:rPr>
                </w:pPr>
              </w:p>
              <w:p>
                <w:pPr>
                  <w:jc w:val="both"/>
                  <w:rPr>
                    <w:szCs w:val="24"/>
                    <w:lang w:eastAsia="lt-LT"/>
                  </w:rPr>
                </w:pPr>
                <w:r>
                  <w:rPr>
                    <w:i/>
                    <w:iCs/>
                    <w:szCs w:val="24"/>
                    <w:lang w:eastAsia="lt-LT"/>
                  </w:rPr>
                  <w:t>Straipsnio pakeitimai:</w:t>
                </w:r>
              </w:p>
              <w:p>
                <w:pPr>
                  <w:jc w:val="both"/>
                  <w:rPr>
                    <w:szCs w:val="24"/>
                    <w:lang w:eastAsia="lt-LT"/>
                  </w:rPr>
                </w:pPr>
                <w:r>
                  <w:rPr>
                    <w:i/>
                    <w:iCs/>
                    <w:szCs w:val="24"/>
                    <w:lang w:eastAsia="lt-LT"/>
                  </w:rPr>
                  <w:t>Nr. </w:t>
                </w:r>
                <w:hyperlink r:id="rId34" w:tgtFrame="_parent" w:history="1">
                  <w:r>
                    <w:rPr>
                      <w:i/>
                      <w:iCs/>
                      <w:szCs w:val="24"/>
                      <w:u w:val="single"/>
                      <w:lang w:eastAsia="lt-LT"/>
                    </w:rPr>
                    <w:t>VIII-1289</w:t>
                  </w:r>
                </w:hyperlink>
                <w:r>
                  <w:rPr>
                    <w:i/>
                    <w:iCs/>
                    <w:szCs w:val="24"/>
                    <w:lang w:eastAsia="lt-LT"/>
                  </w:rPr>
                  <w:t>, 99.07.07, Žin., 1999, Nr.</w:t>
                </w:r>
                <w:fldSimple w:instr="HYPERLINK https://www.e-tar.lt/portal/legalAct.html?documentId=TAIS.84376 \t _blank">
                  <w:r>
                    <w:rPr>
                      <w:i/>
                      <w:iCs/>
                      <w:szCs w:val="24"/>
                      <w:lang w:eastAsia="lt-LT"/>
                      <w:u w:val="single"/>
                      <w:color w:val="0000FF" w:themeColor="hyperlink"/>
                    </w:rPr>
                    <w:t>64-2069</w:t>
                  </w:r>
                </w:fldSimple>
                <w:r>
                  <w:rPr>
                    <w:i/>
                    <w:iCs/>
                    <w:szCs w:val="24"/>
                    <w:lang w:eastAsia="lt-LT"/>
                  </w:rPr>
                  <w:t xml:space="preserve"> (99.07.23)</w:t>
                </w:r>
              </w:p>
              <w:p>
                <w:pPr>
                  <w:jc w:val="both"/>
                  <w:rPr>
                    <w:szCs w:val="24"/>
                    <w:lang w:eastAsia="lt-LT"/>
                  </w:rPr>
                </w:pPr>
                <w:r>
                  <w:rPr>
                    <w:i/>
                    <w:iCs/>
                    <w:szCs w:val="24"/>
                    <w:lang w:eastAsia="lt-LT"/>
                  </w:rPr>
                  <w:t>Nr. </w:t>
                </w:r>
                <w:hyperlink r:id="rId35" w:tgtFrame="_parent" w:history="1">
                  <w:r>
                    <w:rPr>
                      <w:i/>
                      <w:iCs/>
                      <w:szCs w:val="24"/>
                      <w:u w:val="single"/>
                      <w:lang w:eastAsia="lt-LT"/>
                    </w:rPr>
                    <w:t>IX-2560</w:t>
                  </w:r>
                </w:hyperlink>
                <w:r>
                  <w:rPr>
                    <w:i/>
                    <w:iCs/>
                    <w:szCs w:val="24"/>
                    <w:lang w:eastAsia="lt-LT"/>
                  </w:rPr>
                  <w:t xml:space="preserve">, 2004-11-11, Žin., 2004, Nr. </w:t>
                </w:r>
                <w:fldSimple w:instr="HYPERLINK https://www.e-tar.lt/portal/legalAct.html?documentId=TAIS.245486 \t _blank">
                  <w:r>
                    <w:rPr>
                      <w:i/>
                      <w:iCs/>
                      <w:szCs w:val="24"/>
                      <w:lang w:eastAsia="lt-LT"/>
                      <w:u w:val="single"/>
                      <w:color w:val="0000FF" w:themeColor="hyperlink"/>
                    </w:rPr>
                    <w:t>169-6215</w:t>
                  </w:r>
                </w:fldSimple>
                <w:r>
                  <w:rPr>
                    <w:i/>
                    <w:iCs/>
                    <w:szCs w:val="24"/>
                    <w:lang w:eastAsia="lt-LT"/>
                  </w:rPr>
                  <w:t xml:space="preserve"> (2004-11-23)</w:t>
                </w:r>
              </w:p>
              <w:p>
                <w:pPr>
                  <w:jc w:val="both"/>
                  <w:rPr>
                    <w:szCs w:val="24"/>
                    <w:lang w:eastAsia="lt-LT"/>
                  </w:rPr>
                </w:pPr>
                <w:r>
                  <w:rPr>
                    <w:i/>
                    <w:iCs/>
                    <w:szCs w:val="24"/>
                    <w:lang w:eastAsia="lt-LT"/>
                  </w:rPr>
                  <w:t>Nr. </w:t>
                </w:r>
                <w:hyperlink r:id="rId36" w:tgtFrame="_parent" w:history="1">
                  <w:r>
                    <w:rPr>
                      <w:i/>
                      <w:iCs/>
                      <w:szCs w:val="24"/>
                      <w:u w:val="single"/>
                      <w:lang w:eastAsia="lt-LT"/>
                    </w:rPr>
                    <w:t>XI-822</w:t>
                  </w:r>
                </w:hyperlink>
                <w:r>
                  <w:rPr>
                    <w:i/>
                    <w:iCs/>
                    <w:szCs w:val="24"/>
                    <w:lang w:eastAsia="lt-LT"/>
                  </w:rPr>
                  <w:t xml:space="preserve">, 2010-05-18, Žin., 2010, Nr. </w:t>
                </w:r>
                <w:fldSimple w:instr="HYPERLINK https://www.e-tar.lt/portal/legalAct.html?documentId=TAIS.372920 \t _blank">
                  <w:r>
                    <w:rPr>
                      <w:i/>
                      <w:iCs/>
                      <w:szCs w:val="24"/>
                      <w:lang w:eastAsia="lt-LT"/>
                      <w:u w:val="single"/>
                      <w:color w:val="0000FF" w:themeColor="hyperlink"/>
                    </w:rPr>
                    <w:t>63-3099</w:t>
                  </w:r>
                </w:fldSimple>
                <w:r>
                  <w:rPr>
                    <w:i/>
                    <w:iCs/>
                    <w:szCs w:val="24"/>
                    <w:lang w:eastAsia="lt-LT"/>
                  </w:rPr>
                  <w:t xml:space="preserve"> (2010-05-31)</w:t>
                </w:r>
              </w:p>
              <w:p>
                <w:pPr>
                  <w:jc w:val="both"/>
                  <w:rPr>
                    <w:szCs w:val="24"/>
                  </w:rPr>
                </w:pPr>
              </w:p>
              <w:p>
                <w:pPr>
                  <w:jc w:val="both"/>
                  <w:rPr>
                    <w:b/>
                    <w:bCs/>
                    <w:szCs w:val="24"/>
                  </w:rPr>
                </w:pPr>
                <w:r>
                  <w:rPr>
                    <w:b/>
                    <w:bCs/>
                    <w:szCs w:val="24"/>
                  </w:rPr>
                  <w:t>Diplomatinės tarnybos įstatymas</w:t>
                </w:r>
              </w:p>
              <w:p>
                <w:pPr>
                  <w:jc w:val="both"/>
                  <w:rPr>
                    <w:b/>
                    <w:bCs/>
                    <w:szCs w:val="24"/>
                    <w:lang w:eastAsia="lt-LT"/>
                  </w:rPr>
                </w:pPr>
                <w:r>
                  <w:rPr>
                    <w:b/>
                    <w:bCs/>
                    <w:szCs w:val="24"/>
                    <w:lang w:eastAsia="lt-LT"/>
                  </w:rPr>
                  <w:t>91 straipsnis. Diplomato amžiaus apribojimas</w:t>
                </w:r>
              </w:p>
              <w:p>
                <w:pPr>
                  <w:rPr>
                    <w:sz w:val="10"/>
                    <w:szCs w:val="10"/>
                  </w:rPr>
                </w:pPr>
              </w:p>
              <w:p>
                <w:pPr>
                  <w:jc w:val="both"/>
                  <w:rPr>
                    <w:szCs w:val="24"/>
                    <w:lang w:eastAsia="lt-LT"/>
                  </w:rPr>
                </w:pPr>
                <w:r>
                  <w:rPr>
                    <w:szCs w:val="24"/>
                    <w:lang w:eastAsia="lt-LT"/>
                  </w:rPr>
                  <w:t>1. Diplomatu gali dirbti asmuo, ne vyresnis kaip 65 metų.</w:t>
                </w:r>
              </w:p>
              <w:p>
                <w:pPr>
                  <w:rPr>
                    <w:sz w:val="10"/>
                    <w:szCs w:val="10"/>
                  </w:rPr>
                </w:pPr>
              </w:p>
              <w:p>
                <w:pPr>
                  <w:jc w:val="both"/>
                  <w:rPr>
                    <w:szCs w:val="24"/>
                    <w:lang w:eastAsia="lt-LT"/>
                  </w:rPr>
                </w:pPr>
                <w:r>
                  <w:rPr>
                    <w:szCs w:val="24"/>
                    <w:lang w:eastAsia="lt-LT"/>
                  </w:rPr>
                  <w:t>2. Užsienio reikalų ministro teikimu Respublikos Prezidentas gali leisti asmenims, vyresniems kaip 65 metų, su jų sutikimu toliau dirbti diplomatiniais atstovais, tačiau bendras pratęstas tarnybos laikas negali viršyti 5 metų. Kitiems diplomatams, sukakusiems šio straipsnio 1 dalyje nurodytą amžių, diplomatinės tarnybos laiką iki vienų metų su jų sutikimu gali pratęsti užsienio reikalų ministras, tačiau bendras pratęstas tarnybos laikas negali viršyti 5 metų.</w:t>
                </w:r>
              </w:p>
              <w:p>
                <w:pPr>
                  <w:rPr>
                    <w:sz w:val="10"/>
                    <w:szCs w:val="10"/>
                  </w:rPr>
                </w:pPr>
              </w:p>
              <w:p>
                <w:pPr>
                  <w:jc w:val="both"/>
                  <w:rPr>
                    <w:szCs w:val="24"/>
                    <w:lang w:eastAsia="lt-LT"/>
                  </w:rPr>
                </w:pPr>
                <w:r>
                  <w:rPr>
                    <w:szCs w:val="24"/>
                    <w:lang w:eastAsia="lt-LT"/>
                  </w:rPr>
                  <w:t>3. Diplomatinės tarnybos laikas gali būti pratęstas tik jeigu diplomato tarnybinė veikla per paskutinius 3 metus buvo įvertinta kaip atitinkanti lūkesčius ir (ar) viršijanti lūkesčius (iki 2023 m. gruodžio 31 d. įvertinta gerai ir (ar) labai gerai) ir jis neturi galiojančių tarnybinių nuobaudų.</w:t>
                </w:r>
              </w:p>
              <w:p>
                <w:pPr>
                  <w:rPr>
                    <w:sz w:val="10"/>
                    <w:szCs w:val="10"/>
                  </w:rPr>
                </w:pPr>
              </w:p>
              <w:p>
                <w:pPr>
                  <w:jc w:val="both"/>
                  <w:rPr>
                    <w:szCs w:val="24"/>
                    <w:lang w:eastAsia="lt-LT"/>
                  </w:rPr>
                </w:pPr>
                <w:r>
                  <w:rPr>
                    <w:i/>
                    <w:iCs/>
                    <w:szCs w:val="24"/>
                    <w:lang w:eastAsia="lt-LT"/>
                  </w:rPr>
                  <w:t>Straipsnio pakeitimai:</w:t>
                </w:r>
              </w:p>
              <w:p>
                <w:pPr>
                  <w:rPr>
                    <w:sz w:val="10"/>
                    <w:szCs w:val="10"/>
                  </w:rPr>
                </w:pPr>
              </w:p>
              <w:p>
                <w:pPr>
                  <w:jc w:val="both"/>
                  <w:rPr>
                    <w:szCs w:val="24"/>
                    <w:lang w:eastAsia="lt-LT"/>
                  </w:rPr>
                </w:pPr>
                <w:r>
                  <w:rPr>
                    <w:i/>
                    <w:iCs/>
                    <w:szCs w:val="24"/>
                    <w:lang w:eastAsia="lt-LT"/>
                  </w:rPr>
                  <w:t>Nr. </w:t>
                </w:r>
                <w:hyperlink r:id="rId37" w:tgtFrame="_parent" w:history="1">
                  <w:r>
                    <w:rPr>
                      <w:i/>
                      <w:iCs/>
                      <w:szCs w:val="24"/>
                      <w:u w:val="single"/>
                      <w:lang w:eastAsia="lt-LT"/>
                    </w:rPr>
                    <w:t>XIV-1119</w:t>
                  </w:r>
                </w:hyperlink>
                <w:r>
                  <w:rPr>
                    <w:i/>
                    <w:iCs/>
                    <w:szCs w:val="24"/>
                    <w:lang w:eastAsia="lt-LT"/>
                  </w:rPr>
                  <w:t>, 2022-05-24, paskelbta TAR 2022-06-10, i. k. 2022-12611</w:t>
                </w:r>
              </w:p>
              <w:p>
                <w:pPr>
                  <w:rPr>
                    <w:sz w:val="10"/>
                    <w:szCs w:val="10"/>
                  </w:rPr>
                </w:pPr>
              </w:p>
              <w:p>
                <w:pPr>
                  <w:jc w:val="both"/>
                  <w:rPr>
                    <w:szCs w:val="24"/>
                    <w:lang w:eastAsia="lt-LT"/>
                  </w:rPr>
                </w:pPr>
                <w:r>
                  <w:rPr>
                    <w:i/>
                    <w:iCs/>
                    <w:szCs w:val="24"/>
                    <w:lang w:eastAsia="lt-LT"/>
                  </w:rPr>
                  <w:t>Nr. </w:t>
                </w:r>
                <w:hyperlink r:id="rId38" w:tgtFrame="_parent" w:history="1">
                  <w:r>
                    <w:rPr>
                      <w:i/>
                      <w:iCs/>
                      <w:szCs w:val="24"/>
                      <w:u w:val="single"/>
                      <w:lang w:eastAsia="lt-LT"/>
                    </w:rPr>
                    <w:t>XIV-2303</w:t>
                  </w:r>
                </w:hyperlink>
                <w:r>
                  <w:rPr>
                    <w:i/>
                    <w:iCs/>
                    <w:szCs w:val="24"/>
                    <w:lang w:eastAsia="lt-LT"/>
                  </w:rPr>
                  <w:t>, 2023-12-05, paskelbta TAR 2023-12-14, i. k. 2023-24169</w:t>
                </w:r>
              </w:p>
              <w:p>
                <w:pPr>
                  <w:rPr>
                    <w:sz w:val="10"/>
                    <w:szCs w:val="10"/>
                  </w:rPr>
                </w:pPr>
              </w:p>
              <w:p>
                <w:pPr>
                  <w:jc w:val="both"/>
                  <w:rPr>
                    <w:b/>
                    <w:szCs w:val="24"/>
                    <w:lang w:eastAsia="lt-LT"/>
                  </w:rPr>
                </w:pPr>
              </w:p>
              <w:p>
                <w:pPr>
                  <w:jc w:val="both"/>
                  <w:rPr>
                    <w:b/>
                    <w:szCs w:val="24"/>
                    <w:lang w:eastAsia="lt-LT"/>
                  </w:rPr>
                </w:pPr>
              </w:p>
              <w:p>
                <w:pPr>
                  <w:jc w:val="both"/>
                  <w:rPr>
                    <w:rFonts w:eastAsia="Arial Unicode MS"/>
                    <w:b/>
                    <w:bCs/>
                    <w:szCs w:val="24"/>
                  </w:rPr>
                </w:pPr>
                <w:r>
                  <w:rPr>
                    <w:b/>
                    <w:bCs/>
                    <w:szCs w:val="24"/>
                    <w:lang w:eastAsia="lt-LT"/>
                  </w:rPr>
                  <w:t>Teismų įstatymas</w:t>
                </w:r>
              </w:p>
              <w:p>
                <w:pPr>
                  <w:jc w:val="both"/>
                  <w:rPr>
                    <w:b/>
                    <w:bCs/>
                    <w:szCs w:val="24"/>
                    <w:lang w:eastAsia="lt-LT"/>
                  </w:rPr>
                </w:pPr>
                <w:r>
                  <w:rPr>
                    <w:b/>
                    <w:bCs/>
                    <w:szCs w:val="24"/>
                    <w:lang w:eastAsia="lt-LT"/>
                  </w:rPr>
                  <w:t>51 straipsnis. Reikalavimai pretendentui į apylinkės teismo teisėjus</w:t>
                </w:r>
              </w:p>
              <w:p>
                <w:pPr>
                  <w:ind w:left="62" w:hanging="118"/>
                  <w:jc w:val="both"/>
                  <w:rPr>
                    <w:bCs/>
                    <w:szCs w:val="24"/>
                    <w:lang w:eastAsia="lt-LT"/>
                  </w:rPr>
                </w:pPr>
                <w:r>
                  <w:rPr>
                    <w:bCs/>
                    <w:szCs w:val="24"/>
                    <w:lang w:eastAsia="lt-LT"/>
                  </w:rPr>
                  <w:t>1. Apylinkės teismo teisėju gali būti skiriamas nepriekaištingos reputacijos Lietuvos Respublikos pilietis, turintis aukštąjį universitetinį teisinį išsilavinimą, atitinkantis įstatymų nustatytus kvalifikacinius reikalavimus, pateikęs sveikatos pažymėjimą, turintis ne mažesnį kaip penkerių metų teisinio darbo stažą ir išlaikęs pretendentų į teisėjus egzaminą. Nuo pretendentų į teisėjus egzamino atleidžiamas teisės krypties socialinių mokslų daktaras ir habilituotas daktaras, asmuo, turintis ne mažesnį kaip penkerių metų teisėjo darbo stažą, jeigu nuo darbo teisėju pabaigos praėjo ne daugiau kaip penkeri metai.</w:t>
                </w:r>
              </w:p>
              <w:p>
                <w:pPr>
                  <w:rPr>
                    <w:sz w:val="10"/>
                    <w:szCs w:val="10"/>
                  </w:rPr>
                </w:pPr>
              </w:p>
              <w:p>
                <w:pPr>
                  <w:jc w:val="both"/>
                  <w:rPr>
                    <w:b/>
                    <w:bCs/>
                    <w:szCs w:val="24"/>
                    <w:lang w:eastAsia="lt-LT"/>
                  </w:rPr>
                </w:pPr>
                <w:r>
                  <w:rPr>
                    <w:b/>
                    <w:bCs/>
                    <w:szCs w:val="24"/>
                    <w:lang w:eastAsia="lt-LT"/>
                  </w:rPr>
                  <w:t>58 straipsnis. Laikas, kuriam skiriami teisėjai</w:t>
                </w:r>
              </w:p>
              <w:p>
                <w:pPr>
                  <w:jc w:val="both"/>
                  <w:rPr>
                    <w:szCs w:val="24"/>
                    <w:lang w:eastAsia="lt-LT"/>
                  </w:rPr>
                </w:pPr>
                <w:r>
                  <w:rPr>
                    <w:szCs w:val="24"/>
                    <w:lang w:eastAsia="lt-LT"/>
                  </w:rPr>
                  <w:t>1. Asmuo į teisėjo pareigas skiriamas iki 65 metų amžiaus, o šio straipsnio 4 dalyje numatytu atveju – dvejiems metams. Kai teisėjui sukanka 65 metai arba sueina jo paskyrimo teisėju terminas, jo įgaliojimai baigiasi. Jeigu teisėjo įgaliojimų laikas pasibaigia bylos (bylų) nagrinėjimo metu, jo įgaliojimai gali būti pratęsiami tol, kol byla (bylos) bus baigta (baigtos) nagrinėti arba jos (jų) nagrinėjimas bus atidėtas.</w:t>
                </w:r>
              </w:p>
              <w:p>
                <w:pPr>
                  <w:jc w:val="both"/>
                  <w:rPr>
                    <w:szCs w:val="24"/>
                    <w:lang w:eastAsia="lt-LT"/>
                  </w:rPr>
                </w:pPr>
                <w:r>
                  <w:rPr>
                    <w:szCs w:val="24"/>
                    <w:lang w:eastAsia="lt-LT"/>
                  </w:rPr>
                  <w:t>2. Dėl teisėjų įgaliojimų pratęsimo Respublikos Prezidentui motyvuotai pataria Teisėjų taryba.</w:t>
                </w:r>
              </w:p>
              <w:p>
                <w:pPr>
                  <w:jc w:val="both"/>
                  <w:rPr>
                    <w:szCs w:val="24"/>
                    <w:lang w:eastAsia="lt-LT"/>
                  </w:rPr>
                </w:pPr>
                <w:r>
                  <w:rPr>
                    <w:szCs w:val="24"/>
                    <w:lang w:eastAsia="lt-LT"/>
                  </w:rPr>
                  <w:t>3. Kol nesuėjęs šio straipsnio 1 dalyje nustatytas terminas, teisėjo įgaliojimai gali būti nutraukti tik Lietuvos Respublikos Konstitucijoje numatytais teisėjų atleidimo ar pašalinimo iš pareigų atvejais.</w:t>
                </w:r>
              </w:p>
              <w:p>
                <w:pPr>
                  <w:jc w:val="both"/>
                  <w:rPr>
                    <w:szCs w:val="24"/>
                    <w:lang w:eastAsia="lt-LT"/>
                  </w:rPr>
                </w:pPr>
                <w:r>
                  <w:rPr>
                    <w:szCs w:val="24"/>
                    <w:lang w:eastAsia="lt-LT"/>
                  </w:rPr>
                  <w:t>4. Atsiradus aplinkybėms, dėl kurių apylinkės teismo arba to teismo rūmų teisėjas ilgą laiką negalės eiti teisėjo pareigų, apylinkės teismo teisėjui keliamus reikalavimus atitinkantis asmuo gali būti jo sutikimu skiriamas to apylinkės teismo arba to teismo rūmų teisėju dvejiems metams. Motyvuotą siūlymą pradėti apylinkės teismo teisėjo, skiriamo dvejiems metams, skyrimo procedūrą Respublikos Prezidentui teikia Teisėjų taryba. Apylinkės teismo teisėju dvejiems metams skiriamas į įvertintų pretendentų į apylinkės teismų teisėjus sąrašą įrašytas pretendentas, jei nuo jo įrašymo į šį sąrašą dienos praėjo ne daugiau kaip dveji metai.</w:t>
                </w:r>
              </w:p>
              <w:p>
                <w:pPr>
                  <w:rPr>
                    <w:bCs/>
                    <w:szCs w:val="24"/>
                    <w:lang w:eastAsia="lt-LT"/>
                  </w:rPr>
                </w:pPr>
              </w:p>
            </w:tc>
            <w:tc>
              <w:tcPr>
                <w:tcW w:w="1800" w:type="dxa"/>
              </w:tcPr>
              <w:p>
                <w:pPr>
                  <w:tabs>
                    <w:tab w:val="center" w:pos="4153"/>
                    <w:tab w:val="right" w:pos="8306"/>
                  </w:tabs>
                  <w:rPr>
                    <w:b/>
                    <w:bCs/>
                    <w:szCs w:val="24"/>
                    <w:lang w:eastAsia="lt-LT"/>
                  </w:rPr>
                </w:pPr>
                <w:r>
                  <w:rPr>
                    <w:b/>
                    <w:bCs/>
                    <w:szCs w:val="24"/>
                    <w:lang w:eastAsia="lt-LT"/>
                  </w:rPr>
                  <w:t>V</w:t>
                </w:r>
                <w:r>
                  <w:rPr>
                    <w:b/>
                    <w:bCs/>
                    <w:szCs w:val="24"/>
                    <w:lang w:val="en-US" w:eastAsia="lt-LT"/>
                  </w:rPr>
                  <w:t>isi</w:t>
                </w:r>
                <w:r>
                  <w:rPr>
                    <w:b/>
                    <w:bCs/>
                    <w:szCs w:val="24"/>
                    <w:lang w:eastAsia="lt-LT"/>
                  </w:rPr>
                  <w:t>škas</w:t>
                </w:r>
              </w:p>
            </w:tc>
          </w:tr>
          <w:tr>
            <w:trPr>
              <w:trHeight w:val="3588"/>
            </w:trPr>
            <w:tc>
              <w:tcPr>
                <w:tcW w:w="6210" w:type="dxa"/>
              </w:tcPr>
              <w:p>
                <w:pPr>
                  <w:jc w:val="both"/>
                  <w:rPr>
                    <w:b/>
                    <w:bCs/>
                    <w:szCs w:val="24"/>
                    <w:lang w:eastAsia="lt-LT"/>
                  </w:rPr>
                </w:pPr>
                <w:r>
                  <w:rPr>
                    <w:b/>
                    <w:bCs/>
                    <w:szCs w:val="24"/>
                    <w:lang w:eastAsia="lt-LT"/>
                  </w:rPr>
                  <w:t>7 straipsnis</w:t>
                </w:r>
              </w:p>
              <w:p>
                <w:pPr>
                  <w:jc w:val="both"/>
                  <w:rPr>
                    <w:b/>
                    <w:bCs/>
                    <w:szCs w:val="24"/>
                    <w:lang w:eastAsia="lt-LT"/>
                  </w:rPr>
                </w:pPr>
                <w:r>
                  <w:rPr>
                    <w:b/>
                    <w:bCs/>
                    <w:szCs w:val="24"/>
                    <w:lang w:eastAsia="lt-LT"/>
                  </w:rPr>
                  <w:t xml:space="preserve">Pozityvūs veiksmai </w:t>
                </w:r>
              </w:p>
              <w:p>
                <w:pPr>
                  <w:jc w:val="both"/>
                  <w:rPr>
                    <w:szCs w:val="24"/>
                    <w:lang w:eastAsia="lt-LT"/>
                  </w:rPr>
                </w:pPr>
                <w:r>
                  <w:rPr>
                    <w:szCs w:val="24"/>
                    <w:lang w:eastAsia="lt-LT"/>
                  </w:rPr>
                  <w:t>1. Siekiant praktiškai užtikrinti visapusišką lygybę, vienodo požiūrio principas nė vienai valstybei narei nedraudžia toliau taikyti arba imtis konkrečių priemonių, skirtų užkirsti kelią patirti nepatogumus dėl kurios nors iš 1 straipsnyje nurodytų priežasčių arba juos kompensuoti.</w:t>
                </w:r>
              </w:p>
              <w:p>
                <w:pPr>
                  <w:jc w:val="both"/>
                  <w:rPr>
                    <w:szCs w:val="24"/>
                    <w:lang w:eastAsia="lt-LT"/>
                  </w:rPr>
                </w:pPr>
              </w:p>
              <w:p>
                <w:pPr>
                  <w:jc w:val="both"/>
                  <w:rPr>
                    <w:szCs w:val="24"/>
                    <w:lang w:eastAsia="lt-LT"/>
                  </w:rPr>
                </w:pPr>
                <w:r>
                  <w:rPr>
                    <w:szCs w:val="24"/>
                    <w:lang w:eastAsia="lt-LT"/>
                  </w:rPr>
                  <w:t>2. Vienodo požiūrio į neįgaliuosius principas nepažeidžia valstybės narės teisės toliau taikyti arba priimti nuostatas dėl sveikatos ir darbo saugos arba priemones, kuriomis būtų sukurtos arba toliau taikomos jų integraciją į darbo aplinką garantuojančios ar skatinančios sąlygos ar galimybės.</w:t>
                </w:r>
              </w:p>
              <w:p>
                <w:pPr>
                  <w:jc w:val="both"/>
                  <w:rPr>
                    <w:b/>
                    <w:bCs/>
                    <w:szCs w:val="24"/>
                    <w:lang w:eastAsia="lt-LT"/>
                  </w:rPr>
                </w:pPr>
              </w:p>
            </w:tc>
            <w:tc>
              <w:tcPr>
                <w:tcW w:w="7110" w:type="dxa"/>
              </w:tcPr>
              <w:p>
                <w:pPr>
                  <w:jc w:val="both"/>
                  <w:rPr>
                    <w:b/>
                    <w:bCs/>
                    <w:szCs w:val="24"/>
                    <w:lang w:eastAsia="lt-LT"/>
                  </w:rPr>
                </w:pPr>
                <w:r>
                  <w:rPr>
                    <w:b/>
                    <w:bCs/>
                    <w:szCs w:val="24"/>
                    <w:lang w:eastAsia="lt-LT"/>
                  </w:rPr>
                  <w:t>Projektas</w:t>
                </w:r>
              </w:p>
              <w:p>
                <w:pPr>
                  <w:jc w:val="both"/>
                  <w:rPr>
                    <w:b/>
                    <w:bCs/>
                    <w:szCs w:val="24"/>
                    <w:lang w:eastAsia="lt-LT"/>
                  </w:rPr>
                </w:pPr>
                <w:r>
                  <w:rPr>
                    <w:b/>
                    <w:bCs/>
                    <w:szCs w:val="24"/>
                    <w:lang w:eastAsia="lt-LT"/>
                  </w:rPr>
                  <w:t>2 straipsnis. Pagrindinės šio įstatymo sąvokos</w:t>
                </w:r>
              </w:p>
              <w:p>
                <w:pPr>
                  <w:jc w:val="both"/>
                  <w:rPr>
                    <w:szCs w:val="24"/>
                    <w:lang w:eastAsia="lt-LT"/>
                  </w:rPr>
                </w:pPr>
                <w:r>
                  <w:rPr>
                    <w:szCs w:val="24"/>
                    <w:lang w:eastAsia="lt-LT"/>
                  </w:rPr>
                  <w:t>[...]</w:t>
                </w:r>
              </w:p>
              <w:p>
                <w:pPr>
                  <w:jc w:val="both"/>
                  <w:rPr>
                    <w:b/>
                    <w:bCs/>
                    <w:szCs w:val="24"/>
                    <w:lang w:eastAsia="lt-LT"/>
                  </w:rPr>
                </w:pPr>
                <w:r>
                  <w:rPr>
                    <w:szCs w:val="24"/>
                    <w:lang w:eastAsia="lt-LT"/>
                  </w:rPr>
                  <w:t>16.</w:t>
                </w:r>
                <w:r>
                  <w:rPr>
                    <w:b/>
                    <w:bCs/>
                    <w:szCs w:val="24"/>
                    <w:lang w:eastAsia="lt-LT"/>
                  </w:rPr>
                  <w:t xml:space="preserve"> Tiesioginė diskriminacija – elgesys</w:t>
                </w:r>
                <w:r>
                  <w:rPr>
                    <w:b/>
                    <w:bCs/>
                    <w:i/>
                    <w:szCs w:val="24"/>
                    <w:lang w:eastAsia="lt-LT"/>
                  </w:rPr>
                  <w:t xml:space="preserve"> </w:t>
                </w:r>
                <w:r>
                  <w:rPr>
                    <w:b/>
                    <w:bCs/>
                    <w:szCs w:val="24"/>
                    <w:lang w:eastAsia="lt-LT"/>
                  </w:rPr>
                  <w:t>su asmeniu, kai dėl 1 ar kelių diskriminacijos pagrindų jam taikomos mažiau palankios sąlygos, negu tokiomis pat ar panašiomis aplinkybėmis jos taikomos, buvo ar būtų</w:t>
                </w:r>
                <w:r>
                  <w:rPr>
                    <w:b/>
                    <w:bCs/>
                    <w:i/>
                    <w:szCs w:val="24"/>
                    <w:lang w:eastAsia="lt-LT"/>
                  </w:rPr>
                  <w:t xml:space="preserve"> </w:t>
                </w:r>
                <w:r>
                  <w:rPr>
                    <w:b/>
                    <w:bCs/>
                    <w:szCs w:val="24"/>
                    <w:lang w:eastAsia="lt-LT"/>
                  </w:rPr>
                  <w:t>taikomos kitam asmeniui, išskyrus:</w:t>
                </w:r>
              </w:p>
              <w:p>
                <w:pPr>
                  <w:rPr>
                    <w:b/>
                    <w:bCs/>
                    <w:szCs w:val="24"/>
                    <w:lang w:eastAsia="lt-LT"/>
                  </w:rPr>
                </w:pPr>
                <w:r>
                  <w:rPr>
                    <w:b/>
                    <w:bCs/>
                    <w:szCs w:val="24"/>
                    <w:lang w:eastAsia="lt-LT"/>
                  </w:rPr>
                  <w:t>[...]</w:t>
                </w:r>
              </w:p>
              <w:p>
                <w:pPr>
                  <w:jc w:val="both"/>
                  <w:rPr>
                    <w:b/>
                    <w:bCs/>
                    <w:szCs w:val="24"/>
                    <w:lang w:eastAsia="lt-LT"/>
                  </w:rPr>
                </w:pPr>
                <w:r>
                  <w:rPr>
                    <w:b/>
                    <w:bCs/>
                    <w:szCs w:val="24"/>
                    <w:lang w:eastAsia="lt-LT"/>
                  </w:rPr>
                  <w:t>5) įstatymų nustatytas priemones sveikatos apsaugos, darbuotojų saugos ir sveikatos, užimtumo, darbo rinkos srityse, siekiant užtikrinti darbuotojų saugą ir sveikatą, asmenų užimtumą ir integraciją į darbo rinką;</w:t>
                </w:r>
              </w:p>
              <w:p>
                <w:pPr>
                  <w:jc w:val="both"/>
                  <w:rPr>
                    <w:b/>
                    <w:bCs/>
                    <w:szCs w:val="24"/>
                    <w:lang w:eastAsia="lt-LT"/>
                  </w:rPr>
                </w:pPr>
                <w:r>
                  <w:rPr>
                    <w:b/>
                    <w:bCs/>
                    <w:szCs w:val="24"/>
                    <w:lang w:eastAsia="lt-LT"/>
                  </w:rPr>
                  <w:t>6) specialiąsias laikinąsias priemones;</w:t>
                </w:r>
              </w:p>
              <w:p>
                <w:pPr>
                  <w:rPr>
                    <w:b/>
                    <w:bCs/>
                    <w:szCs w:val="24"/>
                    <w:lang w:eastAsia="lt-LT"/>
                  </w:rPr>
                </w:pPr>
                <w:r>
                  <w:rPr>
                    <w:b/>
                    <w:bCs/>
                    <w:szCs w:val="24"/>
                    <w:lang w:eastAsia="lt-LT"/>
                  </w:rPr>
                  <w:t>[...]</w:t>
                </w:r>
              </w:p>
              <w:p>
                <w:pPr>
                  <w:rPr>
                    <w:b/>
                    <w:bCs/>
                    <w:szCs w:val="24"/>
                    <w:lang w:eastAsia="lt-LT"/>
                  </w:rPr>
                </w:pPr>
              </w:p>
              <w:p>
                <w:pPr>
                  <w:rPr>
                    <w:b/>
                    <w:bCs/>
                    <w:szCs w:val="24"/>
                    <w:lang w:eastAsia="lt-LT"/>
                  </w:rPr>
                </w:pPr>
                <w:r>
                  <w:rPr>
                    <w:b/>
                    <w:bCs/>
                    <w:szCs w:val="24"/>
                    <w:lang w:eastAsia="lt-LT"/>
                  </w:rPr>
                  <w:t>DK</w:t>
                </w:r>
              </w:p>
              <w:p>
                <w:pPr>
                  <w:rPr>
                    <w:bCs/>
                    <w:szCs w:val="24"/>
                    <w:lang w:eastAsia="lt-LT"/>
                  </w:rPr>
                </w:pPr>
                <w:r>
                  <w:rPr>
                    <w:bCs/>
                    <w:szCs w:val="24"/>
                    <w:lang w:eastAsia="lt-LT"/>
                  </w:rPr>
                  <w:t>30 straipsnis. Darbuotojų garbės ir orumo gynimas, smurto ir priekabiavimo draudimas</w:t>
                </w:r>
              </w:p>
              <w:p>
                <w:pPr>
                  <w:rPr>
                    <w:bCs/>
                    <w:szCs w:val="24"/>
                    <w:lang w:eastAsia="lt-LT"/>
                  </w:rPr>
                </w:pPr>
              </w:p>
              <w:p>
                <w:pPr>
                  <w:rPr>
                    <w:bCs/>
                    <w:szCs w:val="24"/>
                    <w:lang w:eastAsia="lt-LT"/>
                  </w:rPr>
                </w:pPr>
                <w:r>
                  <w:rPr>
                    <w:bCs/>
                    <w:szCs w:val="24"/>
                    <w:lang w:eastAsia="lt-LT"/>
                  </w:rPr>
                  <w:t>1.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p>
                <w:pPr>
                  <w:rPr>
                    <w:bCs/>
                    <w:szCs w:val="24"/>
                    <w:lang w:eastAsia="lt-LT"/>
                  </w:rPr>
                </w:pPr>
              </w:p>
              <w:p>
                <w:pPr>
                  <w:rPr>
                    <w:bCs/>
                    <w:szCs w:val="24"/>
                    <w:lang w:eastAsia="lt-LT"/>
                  </w:rPr>
                </w:pPr>
                <w:r>
                  <w:rPr>
                    <w:bCs/>
                    <w:szCs w:val="24"/>
                    <w:lang w:eastAsia="lt-LT"/>
                  </w:rPr>
                  <w:t>2. 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p>
                <w:pPr>
                  <w:rPr>
                    <w:bCs/>
                    <w:i/>
                    <w:iCs/>
                    <w:szCs w:val="24"/>
                    <w:lang w:eastAsia="lt-LT"/>
                  </w:rPr>
                </w:pPr>
              </w:p>
              <w:p>
                <w:pPr>
                  <w:rPr>
                    <w:bCs/>
                    <w:i/>
                    <w:iCs/>
                    <w:szCs w:val="24"/>
                    <w:lang w:eastAsia="lt-LT"/>
                  </w:rPr>
                </w:pPr>
                <w:r>
                  <w:rPr>
                    <w:bCs/>
                    <w:i/>
                    <w:iCs/>
                    <w:szCs w:val="24"/>
                    <w:lang w:eastAsia="lt-LT"/>
                  </w:rPr>
                  <w:t>Straipsnio dalies pakeitimai:</w:t>
                </w:r>
              </w:p>
              <w:p>
                <w:pPr>
                  <w:rPr>
                    <w:bCs/>
                    <w:i/>
                    <w:iCs/>
                    <w:szCs w:val="24"/>
                    <w:lang w:eastAsia="lt-LT"/>
                  </w:rPr>
                </w:pPr>
                <w:r>
                  <w:rPr>
                    <w:bCs/>
                    <w:i/>
                    <w:iCs/>
                    <w:szCs w:val="24"/>
                    <w:lang w:eastAsia="lt-LT"/>
                  </w:rPr>
                  <w:t>Nr. XIV-3034, 2024-10-17, paskelbta TAR 2024-10-24, i. k. 2024-18430</w:t>
                </w:r>
              </w:p>
              <w:p>
                <w:pPr>
                  <w:rPr>
                    <w:bCs/>
                    <w:szCs w:val="24"/>
                    <w:lang w:eastAsia="lt-LT"/>
                  </w:rPr>
                </w:pPr>
                <w:r>
                  <w:rPr>
                    <w:bCs/>
                    <w:szCs w:val="24"/>
                    <w:lang w:eastAsia="lt-LT"/>
                  </w:rPr>
                  <w:t>1) darbo vietose, įskaitant viešąsias ir privačias vietas, kai darbuotojas yra darbdavio žinioje ar atlieka pareigas pagal darbo sutartį;</w:t>
                </w:r>
              </w:p>
              <w:p>
                <w:pPr>
                  <w:rPr>
                    <w:bCs/>
                    <w:szCs w:val="24"/>
                    <w:lang w:eastAsia="lt-LT"/>
                  </w:rPr>
                </w:pPr>
                <w:r>
                  <w:rPr>
                    <w:bCs/>
                    <w:szCs w:val="24"/>
                    <w:lang w:eastAsia="lt-LT"/>
                  </w:rPr>
                  <w:t>2) pertraukų pailsėti ir pavalgyti metu arba naudojantis buities, sanitarinėmis ir higienos patalpomis;</w:t>
                </w:r>
              </w:p>
              <w:p>
                <w:pPr>
                  <w:rPr>
                    <w:bCs/>
                    <w:szCs w:val="24"/>
                    <w:lang w:eastAsia="lt-LT"/>
                  </w:rPr>
                </w:pPr>
                <w:r>
                  <w:rPr>
                    <w:bCs/>
                    <w:szCs w:val="24"/>
                    <w:lang w:eastAsia="lt-LT"/>
                  </w:rPr>
                  <w:t>3) su darbu susijusių išvykų, kelionių, mokymų, renginių ar socialinės veiklos metu;</w:t>
                </w:r>
              </w:p>
              <w:p>
                <w:pPr>
                  <w:rPr>
                    <w:bCs/>
                    <w:szCs w:val="24"/>
                    <w:lang w:eastAsia="lt-LT"/>
                  </w:rPr>
                </w:pPr>
                <w:r>
                  <w:rPr>
                    <w:bCs/>
                    <w:szCs w:val="24"/>
                    <w:lang w:eastAsia="lt-LT"/>
                  </w:rPr>
                  <w:t>4) su darbu susijusio bendravimo, įskaitant bendravimą informacinėmis ir elektroninių ryšių technologijomis, metu;</w:t>
                </w:r>
              </w:p>
              <w:p>
                <w:pPr>
                  <w:rPr>
                    <w:bCs/>
                    <w:szCs w:val="24"/>
                    <w:lang w:eastAsia="lt-LT"/>
                  </w:rPr>
                </w:pPr>
                <w:r>
                  <w:rPr>
                    <w:bCs/>
                    <w:szCs w:val="24"/>
                    <w:lang w:eastAsia="lt-LT"/>
                  </w:rPr>
                  <w:t>5) darbdavio suteiktame būste;</w:t>
                </w:r>
              </w:p>
              <w:p>
                <w:pPr>
                  <w:rPr>
                    <w:bCs/>
                    <w:szCs w:val="24"/>
                    <w:lang w:eastAsia="lt-LT"/>
                  </w:rPr>
                </w:pPr>
                <w:r>
                  <w:rPr>
                    <w:bCs/>
                    <w:szCs w:val="24"/>
                    <w:lang w:eastAsia="lt-LT"/>
                  </w:rPr>
                  <w:t>6) pakeliui į darbą ar iš darbo.</w:t>
                </w:r>
              </w:p>
            </w:tc>
            <w:tc>
              <w:tcPr>
                <w:tcW w:w="1800" w:type="dxa"/>
              </w:tcPr>
              <w:p>
                <w:pPr>
                  <w:tabs>
                    <w:tab w:val="center" w:pos="4153"/>
                    <w:tab w:val="right" w:pos="8306"/>
                  </w:tabs>
                  <w:rPr>
                    <w:b/>
                    <w:bCs/>
                    <w:szCs w:val="24"/>
                    <w:lang w:eastAsia="lt-LT"/>
                  </w:rPr>
                </w:pPr>
                <w:r>
                  <w:rPr>
                    <w:b/>
                    <w:bCs/>
                    <w:szCs w:val="24"/>
                    <w:lang w:eastAsia="lt-LT"/>
                  </w:rPr>
                  <w:t>Visiškas</w:t>
                </w:r>
              </w:p>
            </w:tc>
          </w:tr>
          <w:tr>
            <w:trPr>
              <w:trHeight w:val="5520"/>
            </w:trPr>
            <w:tc>
              <w:tcPr>
                <w:tcW w:w="6210" w:type="dxa"/>
              </w:tcPr>
              <w:p>
                <w:pPr>
                  <w:jc w:val="both"/>
                  <w:rPr>
                    <w:b/>
                    <w:bCs/>
                    <w:szCs w:val="24"/>
                    <w:lang w:eastAsia="lt-LT"/>
                  </w:rPr>
                </w:pPr>
                <w:r>
                  <w:rPr>
                    <w:b/>
                    <w:bCs/>
                    <w:szCs w:val="24"/>
                    <w:lang w:eastAsia="lt-LT"/>
                  </w:rPr>
                  <w:t>9 straipsnis</w:t>
                </w:r>
              </w:p>
              <w:p>
                <w:pPr>
                  <w:jc w:val="both"/>
                  <w:rPr>
                    <w:b/>
                    <w:bCs/>
                    <w:szCs w:val="24"/>
                    <w:lang w:eastAsia="lt-LT"/>
                  </w:rPr>
                </w:pPr>
                <w:r>
                  <w:rPr>
                    <w:b/>
                    <w:bCs/>
                    <w:szCs w:val="24"/>
                    <w:lang w:eastAsia="lt-LT"/>
                  </w:rPr>
                  <w:t>Teisių apsauga</w:t>
                </w:r>
              </w:p>
              <w:p>
                <w:pPr>
                  <w:jc w:val="both"/>
                  <w:rPr>
                    <w:szCs w:val="24"/>
                    <w:lang w:eastAsia="lt-LT"/>
                  </w:rPr>
                </w:pPr>
                <w:r>
                  <w:rPr>
                    <w:szCs w:val="24"/>
                    <w:lang w:eastAsia="lt-LT"/>
                  </w:rPr>
                  <w:t>1. Valstybės narės užtikrina, kad šioje direktyvoje numatytoms pareigoms vykdyti visiems asmenims, manantiems, kad jie nukentėjo, kadangi jiems nebuvo taikomas vienodo požiūrio principas, būtų prieinamos teismo ir (arba) administracinės procedūros, įskaitant, kai jos mano, kad yra būtina, taikinimo procedūrą, net pasibaigus tariamai diskriminuojantiems santykiams.</w:t>
                </w:r>
              </w:p>
              <w:p>
                <w:pPr>
                  <w:jc w:val="both"/>
                  <w:rPr>
                    <w:szCs w:val="24"/>
                    <w:lang w:eastAsia="lt-LT"/>
                  </w:rPr>
                </w:pPr>
              </w:p>
              <w:p>
                <w:pPr>
                  <w:jc w:val="both"/>
                  <w:rPr>
                    <w:szCs w:val="24"/>
                    <w:lang w:eastAsia="lt-LT"/>
                  </w:rPr>
                </w:pPr>
                <w:r>
                  <w:rPr>
                    <w:szCs w:val="24"/>
                    <w:lang w:eastAsia="lt-LT"/>
                  </w:rPr>
                  <w:t>2. Valstybės narės užtikrina, kad asociacijos, organizacijos arba kiti juridiniai asmenys, kurie pagal jų nacionalinėje teisėje nustatytus kriterijus yra teisėtai suinteresuoti, kad būtų užtikrintas šios direktyvos nuostatų laikymasis, gali nukentėjusiojo vardu arba jį remiant, gavus jo arba jos sutikimą dalyvauti šioje direktyvoje nustatytiems įsipareigojimams įgyvendinti numatytose teismo ir (arba) administracinėse procedūrose.</w:t>
                </w:r>
              </w:p>
              <w:p>
                <w:pPr>
                  <w:jc w:val="both"/>
                  <w:rPr>
                    <w:szCs w:val="24"/>
                    <w:lang w:eastAsia="lt-LT"/>
                  </w:rPr>
                </w:pPr>
              </w:p>
              <w:p>
                <w:pPr>
                  <w:jc w:val="both"/>
                  <w:rPr>
                    <w:b/>
                    <w:bCs/>
                    <w:szCs w:val="24"/>
                    <w:lang w:eastAsia="lt-LT"/>
                  </w:rPr>
                </w:pPr>
                <w:r>
                  <w:rPr>
                    <w:szCs w:val="24"/>
                    <w:lang w:eastAsia="lt-LT"/>
                  </w:rPr>
                  <w:t>3. Šio straipsnio 1 ir 2 dalys nepažeidžia nacionalinių taisyklių, kuriomis nustatomi terminai, per kuriuos turi būti iškeltos bylos dėl vienodo požiūrio principo.</w:t>
                </w:r>
              </w:p>
            </w:tc>
            <w:tc>
              <w:tcPr>
                <w:tcW w:w="7110" w:type="dxa"/>
              </w:tcPr>
              <w:p>
                <w:pPr>
                  <w:rPr>
                    <w:b/>
                    <w:szCs w:val="24"/>
                    <w:lang w:eastAsia="lt-LT"/>
                  </w:rPr>
                </w:pPr>
                <w:r>
                  <w:rPr>
                    <w:b/>
                    <w:szCs w:val="24"/>
                    <w:lang w:eastAsia="lt-LT"/>
                  </w:rPr>
                  <w:t>Projektas</w:t>
                </w:r>
              </w:p>
              <w:p>
                <w:pPr>
                  <w:rPr>
                    <w:b/>
                    <w:szCs w:val="24"/>
                    <w:lang w:eastAsia="lt-LT"/>
                  </w:rPr>
                </w:pPr>
                <w:r>
                  <w:rPr>
                    <w:b/>
                    <w:szCs w:val="24"/>
                    <w:lang w:eastAsia="lt-LT"/>
                  </w:rPr>
                  <w:t xml:space="preserve">23 straipsnis. Asmens, kurio lygios galimybės galimai pažeistos, teisės </w:t>
                </w:r>
              </w:p>
              <w:p>
                <w:pPr>
                  <w:rPr>
                    <w:b/>
                    <w:szCs w:val="24"/>
                    <w:lang w:eastAsia="lt-LT"/>
                  </w:rPr>
                </w:pPr>
                <w:r>
                  <w:rPr>
                    <w:b/>
                    <w:szCs w:val="24"/>
                    <w:lang w:eastAsia="lt-LT"/>
                  </w:rPr>
                  <w:t xml:space="preserve">1. Asmuo, manantis, kad yra pažeistos jo lygios galimybės, turi teisę kreiptis į lygių galimybių kontrolierių ir šio įstatymo VI skyriuje nustatyta tvarka pateikti skundą. </w:t>
                </w:r>
              </w:p>
              <w:p>
                <w:pPr>
                  <w:rPr>
                    <w:b/>
                    <w:szCs w:val="24"/>
                    <w:lang w:eastAsia="lt-LT"/>
                  </w:rPr>
                </w:pPr>
                <w:r>
                  <w:rPr>
                    <w:b/>
                    <w:szCs w:val="24"/>
                    <w:lang w:eastAsia="lt-LT"/>
                  </w:rPr>
                  <w:t xml:space="preserve">2.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informaciją apie įstaigas ir organizacijas, teikiančias psichologinę ir kitokią pagalbą, taikomas konfidencialumo ir asmens duomenų apsaugos nuostatas.  </w:t>
                </w:r>
              </w:p>
              <w:p>
                <w:pPr>
                  <w:rPr>
                    <w:b/>
                    <w:szCs w:val="24"/>
                    <w:lang w:eastAsia="lt-LT"/>
                  </w:rPr>
                </w:pPr>
                <w:r>
                  <w:rPr>
                    <w:b/>
                    <w:szCs w:val="24"/>
                    <w:lang w:eastAsia="lt-LT"/>
                  </w:rPr>
                  <w:t>3. Lygių galimybių kontrolieriaus tarnyba informaciją apie skundo pateikimo ir nagrinėjimo tvarką skelbia savo interneto svetainėje.</w:t>
                </w:r>
              </w:p>
              <w:p>
                <w:pPr>
                  <w:rPr>
                    <w:b/>
                    <w:szCs w:val="24"/>
                    <w:lang w:eastAsia="lt-LT"/>
                  </w:rPr>
                </w:pPr>
                <w:r>
                  <w:rPr>
                    <w:b/>
                    <w:szCs w:val="24"/>
                    <w:lang w:eastAsia="lt-LT"/>
                  </w:rPr>
                  <w:t>4. Asmens kreipimasis į lygių galimybių kontrolierių neatima iš asmens teisės kreiptis į teismą ir ginti savo teises jame, taip pat reikalauti iš kaltų asmenų atlyginti turtinę ir neturtinę žalą įstatymų nustatyta tvarka.</w:t>
                </w:r>
              </w:p>
              <w:p>
                <w:pPr>
                  <w:rPr>
                    <w:b/>
                    <w:szCs w:val="24"/>
                    <w:lang w:eastAsia="lt-LT"/>
                  </w:rPr>
                </w:pPr>
              </w:p>
              <w:p>
                <w:pPr>
                  <w:rPr>
                    <w:b/>
                    <w:szCs w:val="24"/>
                    <w:lang w:eastAsia="lt-LT"/>
                  </w:rPr>
                </w:pPr>
              </w:p>
              <w:p>
                <w:pPr>
                  <w:rPr>
                    <w:b/>
                    <w:szCs w:val="24"/>
                    <w:lang w:eastAsia="lt-LT"/>
                  </w:rPr>
                </w:pPr>
              </w:p>
              <w:p>
                <w:pPr>
                  <w:rPr>
                    <w:b/>
                    <w:szCs w:val="24"/>
                    <w:lang w:eastAsia="lt-LT"/>
                  </w:rPr>
                </w:pPr>
                <w:r>
                  <w:rPr>
                    <w:b/>
                    <w:szCs w:val="24"/>
                    <w:lang w:eastAsia="lt-LT"/>
                  </w:rPr>
                  <w:t xml:space="preserve">24 straipsnis. Skundo pateikimas </w:t>
                </w:r>
              </w:p>
              <w:p>
                <w:pPr>
                  <w:rPr>
                    <w:b/>
                    <w:szCs w:val="24"/>
                    <w:lang w:eastAsia="lt-LT"/>
                  </w:rPr>
                </w:pPr>
                <w:r>
                  <w:rPr>
                    <w:b/>
                    <w:szCs w:val="24"/>
                    <w:lang w:eastAsia="lt-LT"/>
                  </w:rPr>
                  <w:t xml:space="preserve">1. Kiekvienas fizinis ar juridinis asmuo, kurio veiklą reglamentuojančiame teisės akte asmenų teisių gynimas ir jų atstovavimas nurodyta kaip viena iš veiklos sričių ir kuris turi dokumentą, patvirtinantį teisinį atstovavimo pagrindą, turi teisę pateikti lygių galimybių kontrolieriui skundą. </w:t>
                </w:r>
              </w:p>
              <w:p>
                <w:pPr>
                  <w:rPr>
                    <w:b/>
                    <w:szCs w:val="24"/>
                    <w:lang w:eastAsia="lt-LT"/>
                  </w:rPr>
                </w:pPr>
                <w:r>
                  <w:rPr>
                    <w:b/>
                    <w:szCs w:val="24"/>
                    <w:lang w:eastAsia="lt-LT"/>
                  </w:rPr>
                  <w:t>2. Skundas gali būti pateiktas per Nacionalinę elektroninių siuntų pristatymo, naudojant pašto tinklą, informacinę sistemą (toliau – E. pristatymo sistema), kitomis elektroninių ryšių priemonėmis, paštu arba tiesiogiai atvykus į Lygių galimybių kontrolieriaus tarnybą, kreipiantis asmeniškai arba per atstovą. Jeigu skundas pateikiamas žodžiu, skundo formą užpildo Lygių galimybių kontrolieriaus tarnybos atstovas. Tokiu atveju skundo formoje pažymima, kad skundas pateiktas žodžiu, ir įrašomas pareiškėjo (jei skundą teikia jo atstovas, – atstovo) nurodytas būdas informacijai, susijusiai su skundo nagrinėjimu, pateikti.</w:t>
                </w:r>
              </w:p>
              <w:p>
                <w:pPr>
                  <w:rPr>
                    <w:b/>
                    <w:szCs w:val="24"/>
                    <w:lang w:eastAsia="lt-LT"/>
                  </w:rPr>
                </w:pPr>
                <w:r>
                  <w:rPr>
                    <w:b/>
                    <w:szCs w:val="24"/>
                    <w:lang w:eastAsia="lt-LT"/>
                  </w:rPr>
                  <w:t>3. Skundas lygių galimybių kontrolieriui turi būti pateiktas per 3 mėnesius nuo skundžiamų veiksmų padarymo, skundžiamo neveikimo arba paaiškėjimo apie skundžiamų veiksmų padarymą ar skundžiamą neveikimą dienos. Skundas, pateiktas praėjus šiam terminui, nenagrinėjamas, jeigu lygių galimybių kontrolierius nenusprendžia kitaip.</w:t>
                </w:r>
              </w:p>
              <w:p>
                <w:pPr>
                  <w:rPr>
                    <w:b/>
                    <w:szCs w:val="24"/>
                    <w:lang w:eastAsia="lt-LT"/>
                  </w:rPr>
                </w:pPr>
                <w:r>
                  <w:rPr>
                    <w:b/>
                    <w:szCs w:val="24"/>
                    <w:lang w:eastAsia="lt-LT"/>
                  </w:rPr>
                  <w:t>4. Anoniminiai skundai nenagrinėjami, jeigu lygių galimybių kontrolierius nenusprendžia kitaip.</w:t>
                </w:r>
              </w:p>
              <w:p>
                <w:pPr>
                  <w:rPr>
                    <w:bCs/>
                    <w:szCs w:val="24"/>
                    <w:lang w:eastAsia="lt-LT"/>
                  </w:rPr>
                </w:pPr>
              </w:p>
              <w:p>
                <w:pPr>
                  <w:rPr>
                    <w:b/>
                    <w:szCs w:val="24"/>
                    <w:lang w:eastAsia="lt-LT"/>
                  </w:rPr>
                </w:pPr>
                <w:r>
                  <w:rPr>
                    <w:b/>
                    <w:szCs w:val="24"/>
                    <w:lang w:eastAsia="lt-LT"/>
                  </w:rPr>
                  <w:t>DK</w:t>
                </w:r>
              </w:p>
              <w:p>
                <w:pPr>
                  <w:rPr>
                    <w:b/>
                    <w:szCs w:val="24"/>
                    <w:lang w:eastAsia="lt-LT"/>
                  </w:rPr>
                </w:pPr>
                <w:r>
                  <w:rPr>
                    <w:b/>
                    <w:bCs/>
                    <w:szCs w:val="24"/>
                    <w:lang w:eastAsia="lt-LT"/>
                  </w:rPr>
                  <w:t>30 straipsnis. Darbuotojų garbės ir orumo gynimas, smurto ir priekabiavimo draudimas</w:t>
                </w:r>
              </w:p>
              <w:p>
                <w:pPr>
                  <w:rPr>
                    <w:bCs/>
                    <w:szCs w:val="24"/>
                    <w:lang w:eastAsia="lt-LT"/>
                  </w:rPr>
                </w:pPr>
                <w:r>
                  <w:rPr>
                    <w:bCs/>
                    <w:szCs w:val="24"/>
                    <w:lang w:eastAsia="lt-LT"/>
                  </w:rPr>
                  <w:t>1.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p>
                <w:pPr>
                  <w:rPr>
                    <w:bCs/>
                    <w:szCs w:val="24"/>
                    <w:lang w:eastAsia="lt-LT"/>
                  </w:rPr>
                </w:pPr>
                <w:r>
                  <w:rPr>
                    <w:bCs/>
                    <w:szCs w:val="24"/>
                    <w:lang w:eastAsia="lt-LT"/>
                  </w:rPr>
                  <w:t>2. 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p>
                <w:pPr>
                  <w:rPr>
                    <w:bCs/>
                    <w:szCs w:val="24"/>
                    <w:lang w:eastAsia="lt-LT"/>
                  </w:rPr>
                </w:pPr>
                <w:r>
                  <w:rPr>
                    <w:bCs/>
                    <w:i/>
                    <w:iCs/>
                    <w:szCs w:val="24"/>
                    <w:lang w:eastAsia="lt-LT"/>
                  </w:rPr>
                  <w:t>Straipsnio dalies pakeitimai:</w:t>
                </w:r>
              </w:p>
              <w:p>
                <w:pPr>
                  <w:rPr>
                    <w:bCs/>
                    <w:szCs w:val="24"/>
                    <w:lang w:eastAsia="lt-LT"/>
                  </w:rPr>
                </w:pPr>
                <w:r>
                  <w:rPr>
                    <w:bCs/>
                    <w:i/>
                    <w:iCs/>
                    <w:szCs w:val="24"/>
                    <w:lang w:eastAsia="lt-LT"/>
                  </w:rPr>
                  <w:t>Nr. </w:t>
                </w:r>
                <w:hyperlink r:id="rId39" w:tgtFrame="_parent" w:history="1">
                  <w:r>
                    <w:rPr>
                      <w:bCs/>
                      <w:i/>
                      <w:iCs/>
                      <w:szCs w:val="24"/>
                      <w:u w:val="single"/>
                      <w:lang w:eastAsia="lt-LT"/>
                    </w:rPr>
                    <w:t>XIV-3034</w:t>
                  </w:r>
                </w:hyperlink>
                <w:r>
                  <w:rPr>
                    <w:bCs/>
                    <w:i/>
                    <w:iCs/>
                    <w:szCs w:val="24"/>
                    <w:lang w:eastAsia="lt-LT"/>
                  </w:rPr>
                  <w:t>, 2024-10-17, paskelbta TAR 2024-10-24, i. k. 2024-18430</w:t>
                </w:r>
              </w:p>
              <w:p>
                <w:pPr>
                  <w:rPr>
                    <w:bCs/>
                    <w:szCs w:val="24"/>
                    <w:lang w:eastAsia="lt-LT"/>
                  </w:rPr>
                </w:pPr>
                <w:r>
                  <w:rPr>
                    <w:bCs/>
                    <w:szCs w:val="24"/>
                    <w:lang w:eastAsia="lt-LT"/>
                  </w:rPr>
                  <w:t>1) darbo vietose, įskaitant viešąsias ir privačias vietas, kai darbuotojas yra darbdavio žinioje ar atlieka pareigas pagal darbo sutartį;</w:t>
                </w:r>
              </w:p>
              <w:p>
                <w:pPr>
                  <w:rPr>
                    <w:bCs/>
                    <w:szCs w:val="24"/>
                    <w:lang w:eastAsia="lt-LT"/>
                  </w:rPr>
                </w:pPr>
                <w:r>
                  <w:rPr>
                    <w:bCs/>
                    <w:szCs w:val="24"/>
                    <w:lang w:eastAsia="lt-LT"/>
                  </w:rPr>
                  <w:t>2) pertraukų pailsėti ir pavalgyti metu arba naudojantis buities, sanitarinėmis ir higienos patalpomis;</w:t>
                </w:r>
              </w:p>
              <w:p>
                <w:pPr>
                  <w:rPr>
                    <w:bCs/>
                    <w:szCs w:val="24"/>
                    <w:lang w:eastAsia="lt-LT"/>
                  </w:rPr>
                </w:pPr>
                <w:r>
                  <w:rPr>
                    <w:bCs/>
                    <w:szCs w:val="24"/>
                    <w:lang w:eastAsia="lt-LT"/>
                  </w:rPr>
                  <w:t>3) su darbu susijusių išvykų, kelionių, mokymų, renginių ar socialinės veiklos metu;</w:t>
                </w:r>
              </w:p>
              <w:p>
                <w:pPr>
                  <w:rPr>
                    <w:bCs/>
                    <w:szCs w:val="24"/>
                    <w:lang w:eastAsia="lt-LT"/>
                  </w:rPr>
                </w:pPr>
                <w:r>
                  <w:rPr>
                    <w:bCs/>
                    <w:szCs w:val="24"/>
                    <w:lang w:eastAsia="lt-LT"/>
                  </w:rPr>
                  <w:t>4) su darbu susijusio bendravimo, įskaitant bendravimą informacinėmis ir elektroninių ryšių technologijomis, metu;</w:t>
                </w:r>
              </w:p>
              <w:p>
                <w:pPr>
                  <w:rPr>
                    <w:bCs/>
                    <w:szCs w:val="24"/>
                    <w:lang w:eastAsia="lt-LT"/>
                  </w:rPr>
                </w:pPr>
                <w:r>
                  <w:rPr>
                    <w:bCs/>
                    <w:szCs w:val="24"/>
                    <w:lang w:eastAsia="lt-LT"/>
                  </w:rPr>
                  <w:t>5) darbdavio suteiktame būste;</w:t>
                </w:r>
              </w:p>
              <w:p>
                <w:pPr>
                  <w:rPr>
                    <w:bCs/>
                    <w:szCs w:val="24"/>
                    <w:lang w:eastAsia="lt-LT"/>
                  </w:rPr>
                </w:pPr>
                <w:r>
                  <w:rPr>
                    <w:bCs/>
                    <w:szCs w:val="24"/>
                    <w:lang w:eastAsia="lt-LT"/>
                  </w:rPr>
                  <w:t>6) pakeliui į darbą ar iš darbo.</w:t>
                </w:r>
              </w:p>
              <w:p>
                <w:pPr>
                  <w:rPr>
                    <w:bCs/>
                    <w:szCs w:val="24"/>
                    <w:lang w:eastAsia="lt-LT"/>
                  </w:rPr>
                </w:pPr>
              </w:p>
              <w:p>
                <w:pPr>
                  <w:rPr>
                    <w:bCs/>
                    <w:szCs w:val="24"/>
                    <w:lang w:eastAsia="lt-LT"/>
                  </w:rPr>
                </w:pPr>
                <w:r>
                  <w:rPr>
                    <w:b/>
                    <w:bCs/>
                    <w:szCs w:val="24"/>
                    <w:lang w:eastAsia="lt-LT"/>
                  </w:rPr>
                  <w:t>213 straipsnis. Darbo ginčų samprata ir rūšys</w:t>
                </w:r>
              </w:p>
              <w:p>
                <w:pPr>
                  <w:rPr>
                    <w:bCs/>
                    <w:szCs w:val="24"/>
                    <w:lang w:eastAsia="lt-LT"/>
                  </w:rPr>
                </w:pPr>
                <w:r>
                  <w:rPr>
                    <w:bCs/>
                    <w:szCs w:val="24"/>
                    <w:lang w:eastAsia="lt-LT"/>
                  </w:rPr>
                  <w:t>3.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rPr>
                    <w:bCs/>
                    <w:szCs w:val="24"/>
                    <w:lang w:eastAsia="lt-LT"/>
                  </w:rPr>
                </w:pPr>
                <w:r>
                  <w:rPr>
                    <w:bCs/>
                    <w:i/>
                    <w:iCs/>
                    <w:szCs w:val="24"/>
                    <w:lang w:eastAsia="lt-LT"/>
                  </w:rPr>
                  <w:t>Straipsnio dalies pakeitimai:</w:t>
                </w:r>
              </w:p>
              <w:p>
                <w:pPr>
                  <w:rPr>
                    <w:bCs/>
                    <w:szCs w:val="24"/>
                    <w:lang w:eastAsia="lt-LT"/>
                  </w:rPr>
                </w:pPr>
                <w:r>
                  <w:rPr>
                    <w:bCs/>
                    <w:i/>
                    <w:iCs/>
                    <w:szCs w:val="24"/>
                    <w:lang w:eastAsia="lt-LT"/>
                  </w:rPr>
                  <w:t>Nr. </w:t>
                </w:r>
                <w:hyperlink r:id="rId40" w:tgtFrame="_parent" w:history="1">
                  <w:r>
                    <w:rPr>
                      <w:bCs/>
                      <w:i/>
                      <w:iCs/>
                      <w:szCs w:val="24"/>
                      <w:u w:val="single"/>
                      <w:lang w:eastAsia="lt-LT"/>
                    </w:rPr>
                    <w:t>XIV-457</w:t>
                  </w:r>
                </w:hyperlink>
                <w:r>
                  <w:rPr>
                    <w:bCs/>
                    <w:i/>
                    <w:iCs/>
                    <w:szCs w:val="24"/>
                    <w:lang w:eastAsia="lt-LT"/>
                  </w:rPr>
                  <w:t>, 2021-06-29, paskelbta TAR 2021-07-07, i. k. 2021-15454</w:t>
                </w:r>
              </w:p>
              <w:p>
                <w:pPr>
                  <w:rPr>
                    <w:bCs/>
                    <w:szCs w:val="24"/>
                    <w:lang w:eastAsia="lt-LT"/>
                  </w:rPr>
                </w:pPr>
              </w:p>
              <w:p>
                <w:pPr>
                  <w:rPr>
                    <w:b/>
                    <w:szCs w:val="24"/>
                    <w:lang w:eastAsia="lt-LT"/>
                  </w:rPr>
                </w:pPr>
                <w:r>
                  <w:rPr>
                    <w:b/>
                    <w:bCs/>
                    <w:szCs w:val="24"/>
                    <w:lang w:eastAsia="lt-LT"/>
                  </w:rPr>
                  <w:t>216 straipsnis. Darbo ginčus dėl teisės nagrinėjantys organai</w:t>
                </w:r>
              </w:p>
              <w:p>
                <w:pPr>
                  <w:rPr>
                    <w:bCs/>
                    <w:szCs w:val="24"/>
                    <w:lang w:eastAsia="lt-LT"/>
                  </w:rPr>
                </w:pPr>
                <w:r>
                  <w:rPr>
                    <w:bCs/>
                    <w:szCs w:val="24"/>
                    <w:lang w:eastAsia="lt-LT"/>
                  </w:rPr>
                  <w:t>1. Darbo ginčus dėl teisės nagrinėja:</w:t>
                </w:r>
              </w:p>
              <w:p>
                <w:pPr>
                  <w:rPr>
                    <w:bCs/>
                    <w:szCs w:val="24"/>
                    <w:lang w:eastAsia="lt-LT"/>
                  </w:rPr>
                </w:pPr>
                <w:r>
                  <w:rPr>
                    <w:bCs/>
                    <w:szCs w:val="24"/>
                    <w:lang w:eastAsia="lt-LT"/>
                  </w:rPr>
                  <w:t>1) darbo ginčų komisija;</w:t>
                </w:r>
              </w:p>
              <w:p>
                <w:pPr>
                  <w:rPr>
                    <w:bCs/>
                    <w:szCs w:val="24"/>
                    <w:lang w:eastAsia="lt-LT"/>
                  </w:rPr>
                </w:pPr>
                <w:r>
                  <w:rPr>
                    <w:bCs/>
                    <w:szCs w:val="24"/>
                    <w:lang w:eastAsia="lt-LT"/>
                  </w:rPr>
                  <w:t>2) teismas.</w:t>
                </w:r>
              </w:p>
              <w:p>
                <w:pPr>
                  <w:rPr>
                    <w:bCs/>
                    <w:szCs w:val="24"/>
                    <w:lang w:eastAsia="lt-LT"/>
                  </w:rPr>
                </w:pPr>
                <w:r>
                  <w:rPr>
                    <w:bCs/>
                    <w:szCs w:val="24"/>
                    <w:lang w:eastAsia="lt-LT"/>
                  </w:rPr>
                  <w:t>2. Darbo ginčai dėl teisės gali būti nagrinėjami komerciniame arbitraže pagal Lietuvos Respublikos komercinio arbitražo įstatymą, jeigu dėl tokio nagrinėjimo sutaria darbo ginčo šalys vėliau, negu kilo ginčas.</w:t>
                </w:r>
              </w:p>
              <w:p>
                <w:pPr>
                  <w:rPr>
                    <w:b/>
                    <w:szCs w:val="24"/>
                    <w:lang w:eastAsia="lt-LT"/>
                  </w:rPr>
                </w:pPr>
              </w:p>
            </w:tc>
            <w:tc>
              <w:tcPr>
                <w:tcW w:w="1800" w:type="dxa"/>
              </w:tcPr>
              <w:p>
                <w:pPr>
                  <w:tabs>
                    <w:tab w:val="center" w:pos="4153"/>
                    <w:tab w:val="right" w:pos="8306"/>
                  </w:tabs>
                  <w:rPr>
                    <w:b/>
                    <w:bCs/>
                    <w:szCs w:val="24"/>
                    <w:lang w:eastAsia="lt-LT"/>
                  </w:rPr>
                </w:pPr>
                <w:r>
                  <w:rPr>
                    <w:b/>
                    <w:bCs/>
                    <w:szCs w:val="24"/>
                    <w:lang w:eastAsia="lt-LT"/>
                  </w:rPr>
                  <w:t>V</w:t>
                </w:r>
                <w:r>
                  <w:rPr>
                    <w:b/>
                    <w:bCs/>
                    <w:szCs w:val="24"/>
                    <w:lang w:val="en-US" w:eastAsia="lt-LT"/>
                  </w:rPr>
                  <w:t>isi</w:t>
                </w:r>
                <w:r>
                  <w:rPr>
                    <w:b/>
                    <w:bCs/>
                    <w:szCs w:val="24"/>
                    <w:lang w:eastAsia="lt-LT"/>
                  </w:rPr>
                  <w:t>škas</w:t>
                </w:r>
              </w:p>
            </w:tc>
          </w:tr>
          <w:tr>
            <w:tc>
              <w:tcPr>
                <w:tcW w:w="6210" w:type="dxa"/>
              </w:tcPr>
              <w:p>
                <w:pPr>
                  <w:jc w:val="both"/>
                  <w:rPr>
                    <w:b/>
                    <w:bCs/>
                    <w:szCs w:val="24"/>
                    <w:lang w:eastAsia="lt-LT"/>
                  </w:rPr>
                </w:pPr>
                <w:r>
                  <w:rPr>
                    <w:b/>
                    <w:bCs/>
                    <w:szCs w:val="24"/>
                    <w:lang w:eastAsia="lt-LT"/>
                  </w:rPr>
                  <w:t>10 straipsnis</w:t>
                </w:r>
              </w:p>
              <w:p>
                <w:pPr>
                  <w:jc w:val="both"/>
                  <w:rPr>
                    <w:b/>
                    <w:bCs/>
                    <w:szCs w:val="24"/>
                    <w:lang w:eastAsia="lt-LT"/>
                  </w:rPr>
                </w:pPr>
                <w:r>
                  <w:rPr>
                    <w:b/>
                    <w:bCs/>
                    <w:szCs w:val="24"/>
                    <w:lang w:eastAsia="lt-LT"/>
                  </w:rPr>
                  <w:t>Įrodinėjimo pareiga</w:t>
                </w:r>
              </w:p>
              <w:p>
                <w:pPr>
                  <w:jc w:val="both"/>
                  <w:rPr>
                    <w:szCs w:val="24"/>
                    <w:lang w:eastAsia="lt-LT"/>
                  </w:rPr>
                </w:pPr>
                <w:r>
                  <w:rPr>
                    <w:szCs w:val="24"/>
                    <w:lang w:eastAsia="lt-LT"/>
                  </w:rPr>
                  <w:t>1. Valstybės narės taiko tokias pagal jų nacionalines teismų sistemas priemones, kurios yra būtinos užtikrinti, jog tais atvejais, kai asmenys, manantys, kad jie nukentėjo, kadangi jiems nebuvo taikomas vienodo požiūrio principas, teismui ar kitai kompetentingai institucijai nurodo faktines aplinkybes, leidžiančias daryti prielaidą dėl tiesioginės ar netiesioginės diskriminacijos, pats atsakovas turi įrodyti, kad vienodo požiūrio taikymo principas nebuvo pažeistas.</w:t>
                </w:r>
              </w:p>
              <w:p>
                <w:pPr>
                  <w:jc w:val="both"/>
                  <w:rPr>
                    <w:szCs w:val="24"/>
                    <w:lang w:eastAsia="lt-LT"/>
                  </w:rPr>
                </w:pPr>
              </w:p>
              <w:p>
                <w:pPr>
                  <w:jc w:val="both"/>
                  <w:rPr>
                    <w:szCs w:val="24"/>
                    <w:lang w:eastAsia="lt-LT"/>
                  </w:rPr>
                </w:pPr>
                <w:r>
                  <w:rPr>
                    <w:szCs w:val="24"/>
                    <w:lang w:eastAsia="lt-LT"/>
                  </w:rPr>
                  <w:t>2. Šio straipsnio 1 dalis netrukdo valstybėms narėms nustatyti ieškovams palankesnes įrodymų taisykles.</w:t>
                </w:r>
              </w:p>
              <w:p>
                <w:pPr>
                  <w:jc w:val="both"/>
                  <w:rPr>
                    <w:szCs w:val="24"/>
                    <w:lang w:eastAsia="lt-LT"/>
                  </w:rPr>
                </w:pPr>
              </w:p>
              <w:p>
                <w:pPr>
                  <w:jc w:val="both"/>
                  <w:rPr>
                    <w:szCs w:val="24"/>
                    <w:lang w:eastAsia="lt-LT"/>
                  </w:rPr>
                </w:pPr>
                <w:r>
                  <w:rPr>
                    <w:szCs w:val="24"/>
                    <w:lang w:eastAsia="lt-LT"/>
                  </w:rPr>
                  <w:t>3. Šio straipsnio 1 dalis netaikoma baudžiamajam procesui.</w:t>
                </w:r>
              </w:p>
              <w:p>
                <w:pPr>
                  <w:jc w:val="both"/>
                  <w:rPr>
                    <w:szCs w:val="24"/>
                    <w:lang w:eastAsia="lt-LT"/>
                  </w:rPr>
                </w:pPr>
              </w:p>
              <w:p>
                <w:pPr>
                  <w:jc w:val="both"/>
                  <w:rPr>
                    <w:szCs w:val="24"/>
                    <w:lang w:eastAsia="lt-LT"/>
                  </w:rPr>
                </w:pPr>
                <w:r>
                  <w:rPr>
                    <w:szCs w:val="24"/>
                    <w:lang w:eastAsia="lt-LT"/>
                  </w:rPr>
                  <w:t>4. Šio straipsnio 1, 2 ir 3 dalys taip pat taikomos pagal 9 straipsnio 2 dalį pradėtiems teisminiams procesams.</w:t>
                </w:r>
              </w:p>
              <w:p>
                <w:pPr>
                  <w:jc w:val="both"/>
                  <w:rPr>
                    <w:szCs w:val="24"/>
                    <w:lang w:eastAsia="lt-LT"/>
                  </w:rPr>
                </w:pPr>
              </w:p>
              <w:p>
                <w:pPr>
                  <w:jc w:val="both"/>
                  <w:rPr>
                    <w:szCs w:val="24"/>
                    <w:lang w:eastAsia="lt-LT"/>
                  </w:rPr>
                </w:pPr>
                <w:r>
                  <w:rPr>
                    <w:szCs w:val="24"/>
                    <w:lang w:eastAsia="lt-LT"/>
                  </w:rPr>
                  <w:t>5. Valstybėms narėms šio straipsnio 1 dalies nebūtina taikyti procesiniams veiksmams, kai bylos faktines aplinkybes turi ištirti teismas ar kompetentinga institucija.</w:t>
                </w:r>
              </w:p>
              <w:p>
                <w:pPr>
                  <w:jc w:val="both"/>
                  <w:rPr>
                    <w:b/>
                    <w:bCs/>
                    <w:szCs w:val="24"/>
                    <w:lang w:eastAsia="lt-LT"/>
                  </w:rPr>
                </w:pPr>
              </w:p>
            </w:tc>
            <w:tc>
              <w:tcPr>
                <w:tcW w:w="7110" w:type="dxa"/>
              </w:tcPr>
              <w:p>
                <w:pPr>
                  <w:rPr>
                    <w:b/>
                    <w:szCs w:val="24"/>
                    <w:lang w:eastAsia="lt-LT"/>
                  </w:rPr>
                </w:pPr>
                <w:r>
                  <w:rPr>
                    <w:b/>
                    <w:szCs w:val="24"/>
                    <w:lang w:eastAsia="lt-LT"/>
                  </w:rPr>
                  <w:t>Projektas</w:t>
                </w:r>
              </w:p>
              <w:p>
                <w:pPr>
                  <w:rPr>
                    <w:b/>
                    <w:szCs w:val="24"/>
                    <w:lang w:eastAsia="lt-LT"/>
                  </w:rPr>
                </w:pPr>
                <w:r>
                  <w:rPr>
                    <w:b/>
                    <w:szCs w:val="24"/>
                    <w:lang w:eastAsia="lt-LT"/>
                  </w:rPr>
                  <w:t>3 straipsnis. Įrodinėjimo pareiga</w:t>
                </w:r>
              </w:p>
              <w:p>
                <w:pPr>
                  <w:rPr>
                    <w:b/>
                    <w:bCs/>
                    <w:szCs w:val="24"/>
                    <w:lang w:eastAsia="lt-LT"/>
                  </w:rPr>
                </w:pPr>
                <w:r>
                  <w:rPr>
                    <w:b/>
                    <w:bCs/>
                    <w:szCs w:val="24"/>
                    <w:lang w:eastAsia="lt-LT"/>
                  </w:rPr>
                  <w:t>Teismuose ar kitose kompetentingose institucijose nagrinėjant fizinių, juridinių asmenų, kitų organizacijų ir jų padalinių skundus, pareiškimus, prašymus, pranešimus ar ieškinius dėl diskriminacijos, pareiškėjui nurodžius aplinkybes, leidžiančias daryti prielaidą dėl diskriminacijos, persekiojimo, priešiško elgesio ar neigiamų padarinių dėl skundo dėl diskriminacijos pateikimo, dalyvavimo byloje dėl diskriminacijos ar pranešimo apie diskriminaciją, preziumuojama, kad diskriminacijos, persekiojimo, priešiško elgesio ar neigiamų padarinių dėl skundo dėl diskriminacijos pateikimo, dalyvavimo byloje dėl diskriminacijos ar pranešimo apie diskriminaciją faktas buvo. Skundžiamas asmuo turi įrodyti, kad lygios galimybės nebuvo pažeistos.</w:t>
                </w:r>
              </w:p>
              <w:p>
                <w:pPr>
                  <w:rPr>
                    <w:b/>
                    <w:szCs w:val="24"/>
                    <w:lang w:eastAsia="lt-LT"/>
                  </w:rPr>
                </w:pPr>
                <w:r>
                  <w:rPr>
                    <w:b/>
                    <w:szCs w:val="24"/>
                    <w:lang w:eastAsia="lt-LT"/>
                  </w:rPr>
                  <w:t>DK</w:t>
                </w:r>
              </w:p>
              <w:p>
                <w:pPr>
                  <w:rPr>
                    <w:b/>
                    <w:szCs w:val="24"/>
                    <w:lang w:eastAsia="lt-LT"/>
                  </w:rPr>
                </w:pPr>
                <w:r>
                  <w:rPr>
                    <w:b/>
                    <w:bCs/>
                    <w:szCs w:val="24"/>
                    <w:lang w:eastAsia="lt-LT"/>
                  </w:rPr>
                  <w:t>214 straipsnis. Darbo ginčų nagrinėjimo principai</w:t>
                </w:r>
              </w:p>
              <w:p>
                <w:pPr>
                  <w:rPr>
                    <w:bCs/>
                    <w:szCs w:val="24"/>
                    <w:lang w:eastAsia="lt-LT"/>
                  </w:rPr>
                </w:pPr>
                <w:r>
                  <w:rPr>
                    <w:bCs/>
                    <w:szCs w:val="24"/>
                    <w:lang w:eastAsia="lt-LT"/>
                  </w:rPr>
                  <w:t>3. Jeigu 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rPr>
                    <w:b/>
                    <w:szCs w:val="24"/>
                    <w:lang w:eastAsia="lt-LT"/>
                  </w:rPr>
                </w:pPr>
              </w:p>
            </w:tc>
            <w:tc>
              <w:tcPr>
                <w:tcW w:w="1800" w:type="dxa"/>
              </w:tcPr>
              <w:p>
                <w:pPr>
                  <w:tabs>
                    <w:tab w:val="center" w:pos="4153"/>
                    <w:tab w:val="right" w:pos="8306"/>
                  </w:tabs>
                  <w:rPr>
                    <w:b/>
                    <w:bCs/>
                    <w:szCs w:val="24"/>
                    <w:lang w:eastAsia="lt-LT"/>
                  </w:rPr>
                </w:pPr>
                <w:r>
                  <w:rPr>
                    <w:b/>
                    <w:bCs/>
                    <w:szCs w:val="24"/>
                    <w:lang w:eastAsia="lt-LT"/>
                  </w:rPr>
                  <w:t>Visiškas</w:t>
                </w:r>
              </w:p>
            </w:tc>
          </w:tr>
          <w:tr>
            <w:tc>
              <w:tcPr>
                <w:tcW w:w="6210" w:type="dxa"/>
              </w:tcPr>
              <w:p>
                <w:pPr>
                  <w:jc w:val="both"/>
                  <w:rPr>
                    <w:b/>
                    <w:bCs/>
                    <w:szCs w:val="24"/>
                    <w:lang w:eastAsia="lt-LT"/>
                  </w:rPr>
                </w:pPr>
                <w:r>
                  <w:rPr>
                    <w:b/>
                    <w:bCs/>
                    <w:szCs w:val="24"/>
                    <w:lang w:eastAsia="lt-LT"/>
                  </w:rPr>
                  <w:t>11 straipsnis</w:t>
                </w:r>
              </w:p>
              <w:p>
                <w:pPr>
                  <w:jc w:val="both"/>
                  <w:rPr>
                    <w:b/>
                    <w:bCs/>
                    <w:szCs w:val="24"/>
                    <w:lang w:eastAsia="lt-LT"/>
                  </w:rPr>
                </w:pPr>
                <w:r>
                  <w:rPr>
                    <w:b/>
                    <w:bCs/>
                    <w:szCs w:val="24"/>
                    <w:lang w:eastAsia="lt-LT"/>
                  </w:rPr>
                  <w:t>Persekiojimas</w:t>
                </w:r>
              </w:p>
              <w:p>
                <w:pPr>
                  <w:jc w:val="both"/>
                  <w:rPr>
                    <w:b/>
                    <w:bCs/>
                    <w:szCs w:val="24"/>
                    <w:lang w:eastAsia="lt-LT"/>
                  </w:rPr>
                </w:pPr>
                <w:r>
                  <w:rPr>
                    <w:szCs w:val="24"/>
                    <w:lang w:eastAsia="lt-LT"/>
                  </w:rPr>
                  <w:t>Valstybės narės į valstybines teisės sistemas įdiegia tokias priemones, kurios yra būtinos, kad darbuotojai būtų apsaugoti nuo atleidimo iš darbo ar darbdavio kitokio priešiško elgesio įmonėje sureagavus į skundą arba į teisminius procesinius veiksmus, skirtus vienodo požiūrio principo laikymuisi užtikrinti.</w:t>
                </w:r>
              </w:p>
            </w:tc>
            <w:tc>
              <w:tcPr>
                <w:tcW w:w="7110" w:type="dxa"/>
              </w:tcPr>
              <w:p>
                <w:pPr>
                  <w:rPr>
                    <w:b/>
                    <w:szCs w:val="24"/>
                    <w:lang w:eastAsia="lt-LT"/>
                  </w:rPr>
                </w:pPr>
                <w:r>
                  <w:rPr>
                    <w:b/>
                    <w:szCs w:val="24"/>
                    <w:lang w:eastAsia="lt-LT"/>
                  </w:rPr>
                  <w:t>Projektas</w:t>
                </w:r>
              </w:p>
              <w:p>
                <w:pPr>
                  <w:rPr>
                    <w:b/>
                    <w:szCs w:val="24"/>
                    <w:lang w:eastAsia="lt-LT"/>
                  </w:rPr>
                </w:pPr>
                <w:r>
                  <w:rPr>
                    <w:b/>
                    <w:szCs w:val="24"/>
                    <w:lang w:eastAsia="lt-LT"/>
                  </w:rPr>
                  <w:t>8 straipsnis. Darbdavio pareiga įgyvendinti lygias galimybes darbe, valstybės tarnyboje</w:t>
                </w:r>
              </w:p>
              <w:p>
                <w:pPr>
                  <w:rPr>
                    <w:b/>
                    <w:szCs w:val="24"/>
                    <w:lang w:eastAsia="lt-LT"/>
                  </w:rPr>
                </w:pPr>
                <w:r>
                  <w:rPr>
                    <w:b/>
                    <w:szCs w:val="24"/>
                    <w:lang w:eastAsia="lt-LT"/>
                  </w:rPr>
                  <w:t>Įgyvendindamas lygias galimybes, darbdavys privalo:</w:t>
                </w:r>
              </w:p>
              <w:p>
                <w:pPr>
                  <w:rPr>
                    <w:b/>
                    <w:szCs w:val="24"/>
                    <w:lang w:eastAsia="lt-LT"/>
                  </w:rPr>
                </w:pPr>
                <w:r>
                  <w:rPr>
                    <w:b/>
                    <w:szCs w:val="24"/>
                    <w:lang w:eastAsia="lt-LT"/>
                  </w:rPr>
                  <w:t>1) priimdamas į darbą ar valstybės tarnybą, taikyti vienodus darbuotojų ar valstybės tarnautojų atrankos kriterijus ir (ar) sąlygas, išskyrus šio įstatymo 2 straipsnio 16 dalies 4 ir 7 punktuose nustatytus atvejus;</w:t>
                </w:r>
              </w:p>
              <w:p>
                <w:pPr>
                  <w:rPr>
                    <w:b/>
                    <w:szCs w:val="24"/>
                    <w:lang w:eastAsia="lt-LT"/>
                  </w:rPr>
                </w:pPr>
                <w:r>
                  <w:rPr>
                    <w:b/>
                    <w:szCs w:val="24"/>
                    <w:lang w:eastAsia="lt-LT"/>
                  </w:rPr>
                  <w:t>2) sudaryti vienodas darbo ar valstybės tarnybos sąlygas, vienodas galimybes darbuotojams ar valstybės tarnautojams kelti kvalifikaciją, siekti profesinio mokymo, persikvalifikuoti, įgyti praktinio darbo patirties, taip pat teikti darbuotojams ar valstybės tarnautojams vienodas lengvatas;</w:t>
                </w:r>
              </w:p>
              <w:p>
                <w:pPr>
                  <w:rPr>
                    <w:b/>
                    <w:szCs w:val="24"/>
                    <w:lang w:eastAsia="lt-LT"/>
                  </w:rPr>
                </w:pPr>
                <w:r>
                  <w:rPr>
                    <w:b/>
                    <w:szCs w:val="24"/>
                    <w:lang w:eastAsia="lt-LT"/>
                  </w:rPr>
                  <w:t>3) naudoti vienodus darbuotojų darbo, valstybės tarnautojų tarnybinės veiklos vertinimo kriterijus;</w:t>
                </w:r>
              </w:p>
              <w:p>
                <w:pPr>
                  <w:rPr>
                    <w:b/>
                    <w:szCs w:val="24"/>
                    <w:lang w:eastAsia="lt-LT"/>
                  </w:rPr>
                </w:pPr>
                <w:r>
                  <w:rPr>
                    <w:b/>
                    <w:szCs w:val="24"/>
                    <w:lang w:eastAsia="lt-LT"/>
                  </w:rPr>
                  <w:t>4) naudoti vienodus atleidimo iš darbo ar iš valstybės tarnybos kriterijus;</w:t>
                </w:r>
              </w:p>
              <w:p>
                <w:pPr>
                  <w:rPr>
                    <w:b/>
                    <w:szCs w:val="24"/>
                    <w:lang w:eastAsia="lt-LT"/>
                  </w:rPr>
                </w:pPr>
                <w:r>
                  <w:rPr>
                    <w:b/>
                    <w:szCs w:val="24"/>
                    <w:lang w:eastAsia="lt-LT"/>
                  </w:rPr>
                  <w:t>5) už tokį patį ar vienodos vertės darbą mokėti vienodą darbo užmokestį;</w:t>
                </w:r>
              </w:p>
              <w:p>
                <w:pPr>
                  <w:rPr>
                    <w:b/>
                    <w:szCs w:val="24"/>
                    <w:lang w:eastAsia="lt-LT"/>
                  </w:rPr>
                </w:pPr>
                <w:r>
                  <w:rPr>
                    <w:b/>
                    <w:szCs w:val="24"/>
                    <w:lang w:eastAsia="lt-LT"/>
                  </w:rPr>
                  <w:t>6) užtikrinti, kad nebūtų duodami nurodymai diskriminuoti ir siekiantys įsidarbinti asmenys, darbuotojai, valstybės tarnautojai, praktikantai ar stažuotojai darbo vietoje nepatirtų priekabiavimo, seksualinio priekabiavimo;</w:t>
                </w:r>
              </w:p>
              <w:p>
                <w:pPr>
                  <w:rPr>
                    <w:b/>
                    <w:szCs w:val="24"/>
                    <w:lang w:eastAsia="lt-LT"/>
                  </w:rPr>
                </w:pPr>
                <w:r>
                  <w:rPr>
                    <w:b/>
                    <w:szCs w:val="24"/>
                    <w:lang w:eastAsia="lt-LT"/>
                  </w:rPr>
                  <w:t>7) imtis tinkamų ir proporcingų priemonių, kad asmenims su negalia būtų užtikrintas tinkamas sąlygų pritaikymas, kurio reikia konkrečiu atveju jiems siekiant gauti darbą (taip pat ir valstybės tarnyboje), dirbti, taip pat siekiant karjeros arba mokytis;</w:t>
                </w:r>
              </w:p>
              <w:p>
                <w:pPr>
                  <w:rPr>
                    <w:b/>
                    <w:szCs w:val="24"/>
                    <w:lang w:eastAsia="lt-LT"/>
                  </w:rPr>
                </w:pPr>
                <w:r>
                  <w:rPr>
                    <w:b/>
                    <w:szCs w:val="24"/>
                    <w:lang w:eastAsia="lt-LT"/>
                  </w:rPr>
                  <w:t>8) imtis priemonių, kad darbuotojai ar valstybės tarnautojai darbo vietoje nebūtų diskriminuojami dėl nėštumo ir gimdymo atostogų, tėvystės atostogų, atostogų vaikui prižiūrėti, papildomų poilsio dienų darbuotojams, auginantiems vaikus, nemokamų atostogų suteikimo ir darbo laiko režimo pasirinkimo.</w:t>
                </w:r>
              </w:p>
              <w:p>
                <w:pPr>
                  <w:rPr>
                    <w:bCs/>
                    <w:szCs w:val="24"/>
                    <w:lang w:eastAsia="lt-LT"/>
                  </w:rPr>
                </w:pPr>
              </w:p>
              <w:p>
                <w:pPr>
                  <w:rPr>
                    <w:b/>
                    <w:szCs w:val="24"/>
                    <w:lang w:eastAsia="lt-LT"/>
                  </w:rPr>
                </w:pPr>
                <w:r>
                  <w:rPr>
                    <w:b/>
                    <w:szCs w:val="24"/>
                    <w:lang w:eastAsia="lt-LT"/>
                  </w:rPr>
                  <w:t>DK</w:t>
                </w:r>
              </w:p>
              <w:p>
                <w:pPr>
                  <w:rPr>
                    <w:bCs/>
                    <w:szCs w:val="24"/>
                    <w:lang w:eastAsia="lt-LT"/>
                  </w:rPr>
                </w:pPr>
                <w:r>
                  <w:rPr>
                    <w:b/>
                    <w:bCs/>
                    <w:szCs w:val="24"/>
                    <w:lang w:eastAsia="lt-LT"/>
                  </w:rPr>
                  <w:t>59 straipsnis. Darbo sutarties nutraukimas darbdavio valia</w:t>
                </w:r>
              </w:p>
              <w:p>
                <w:pPr>
                  <w:rPr>
                    <w:bCs/>
                    <w:szCs w:val="24"/>
                    <w:lang w:eastAsia="lt-LT"/>
                  </w:rPr>
                </w:pPr>
                <w:r>
                  <w:rPr>
                    <w:bCs/>
                    <w:szCs w:val="24"/>
                    <w:lang w:eastAsia="lt-LT"/>
                  </w:rPr>
                  <w:t>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rPr>
                    <w:bCs/>
                    <w:szCs w:val="24"/>
                    <w:lang w:eastAsia="lt-LT"/>
                  </w:rPr>
                </w:pPr>
                <w:r>
                  <w:rPr>
                    <w:bCs/>
                    <w:i/>
                    <w:iCs/>
                    <w:szCs w:val="24"/>
                    <w:lang w:eastAsia="lt-LT"/>
                  </w:rPr>
                  <w:t>Straipsnio dalies pakeitimai:</w:t>
                </w:r>
              </w:p>
              <w:p>
                <w:pPr>
                  <w:rPr>
                    <w:bCs/>
                    <w:szCs w:val="24"/>
                    <w:lang w:eastAsia="lt-LT"/>
                  </w:rPr>
                </w:pPr>
                <w:r>
                  <w:rPr>
                    <w:bCs/>
                    <w:i/>
                    <w:iCs/>
                    <w:szCs w:val="24"/>
                    <w:lang w:eastAsia="lt-LT"/>
                  </w:rPr>
                  <w:t>Nr. </w:t>
                </w:r>
                <w:hyperlink r:id="rId41" w:tgtFrame="_parent" w:history="1">
                  <w:r>
                    <w:rPr>
                      <w:bCs/>
                      <w:i/>
                      <w:iCs/>
                      <w:szCs w:val="24"/>
                      <w:u w:val="single"/>
                      <w:lang w:eastAsia="lt-LT"/>
                    </w:rPr>
                    <w:t>XIII-1847</w:t>
                  </w:r>
                </w:hyperlink>
                <w:r>
                  <w:rPr>
                    <w:bCs/>
                    <w:i/>
                    <w:iCs/>
                    <w:szCs w:val="24"/>
                    <w:lang w:eastAsia="lt-LT"/>
                  </w:rPr>
                  <w:t>, 2018-12-20, paskelbta TAR 2018-12-28, i. k. 2018-21878</w:t>
                </w:r>
              </w:p>
              <w:p>
                <w:pPr>
                  <w:rPr>
                    <w:bCs/>
                    <w:szCs w:val="24"/>
                    <w:lang w:eastAsia="lt-LT"/>
                  </w:rPr>
                </w:pPr>
                <w:r>
                  <w:rPr>
                    <w:bCs/>
                    <w:i/>
                    <w:iCs/>
                    <w:szCs w:val="24"/>
                    <w:lang w:eastAsia="lt-LT"/>
                  </w:rPr>
                  <w:t>Nr. </w:t>
                </w:r>
                <w:hyperlink r:id="rId42" w:tgtFrame="_parent" w:history="1">
                  <w:r>
                    <w:rPr>
                      <w:bCs/>
                      <w:i/>
                      <w:iCs/>
                      <w:szCs w:val="24"/>
                      <w:u w:val="single"/>
                      <w:lang w:eastAsia="lt-LT"/>
                    </w:rPr>
                    <w:t>XIII-2944</w:t>
                  </w:r>
                </w:hyperlink>
                <w:r>
                  <w:rPr>
                    <w:bCs/>
                    <w:i/>
                    <w:iCs/>
                    <w:szCs w:val="24"/>
                    <w:lang w:eastAsia="lt-LT"/>
                  </w:rPr>
                  <w:t>, 2020-05-21, paskelbta TAR 2020-06-03, i. k. 2020-12135</w:t>
                </w:r>
              </w:p>
              <w:p>
                <w:pPr>
                  <w:rPr>
                    <w:bCs/>
                    <w:szCs w:val="24"/>
                    <w:lang w:eastAsia="lt-LT"/>
                  </w:rPr>
                </w:pPr>
                <w:r>
                  <w:rPr>
                    <w:bCs/>
                    <w:i/>
                    <w:iCs/>
                    <w:szCs w:val="24"/>
                    <w:lang w:eastAsia="lt-LT"/>
                  </w:rPr>
                  <w:t>Nr. </w:t>
                </w:r>
                <w:hyperlink r:id="rId43" w:tgtFrame="_parent" w:history="1">
                  <w:r>
                    <w:rPr>
                      <w:bCs/>
                      <w:i/>
                      <w:iCs/>
                      <w:szCs w:val="24"/>
                      <w:u w:val="single"/>
                      <w:lang w:eastAsia="lt-LT"/>
                    </w:rPr>
                    <w:t>XIV-1189</w:t>
                  </w:r>
                </w:hyperlink>
                <w:r>
                  <w:rPr>
                    <w:bCs/>
                    <w:i/>
                    <w:iCs/>
                    <w:szCs w:val="24"/>
                    <w:lang w:eastAsia="lt-LT"/>
                  </w:rPr>
                  <w:t>, 2022-06-28, paskelbta TAR 2022-07-11, i. k. 2022-15178</w:t>
                </w:r>
              </w:p>
              <w:p>
                <w:pPr>
                  <w:ind w:firstLine="62"/>
                  <w:rPr>
                    <w:bCs/>
                    <w:szCs w:val="24"/>
                    <w:lang w:eastAsia="lt-LT"/>
                  </w:rPr>
                </w:pPr>
              </w:p>
              <w:p>
                <w:pPr>
                  <w:rPr>
                    <w:b/>
                    <w:szCs w:val="24"/>
                    <w:lang w:eastAsia="lt-LT"/>
                  </w:rPr>
                </w:pPr>
              </w:p>
            </w:tc>
            <w:tc>
              <w:tcPr>
                <w:tcW w:w="1800" w:type="dxa"/>
              </w:tcPr>
              <w:p>
                <w:pPr>
                  <w:tabs>
                    <w:tab w:val="center" w:pos="4153"/>
                    <w:tab w:val="right" w:pos="8306"/>
                  </w:tabs>
                  <w:rPr>
                    <w:b/>
                    <w:bCs/>
                    <w:szCs w:val="24"/>
                    <w:lang w:eastAsia="lt-LT"/>
                  </w:rPr>
                </w:pPr>
                <w:r>
                  <w:rPr>
                    <w:b/>
                    <w:bCs/>
                    <w:szCs w:val="24"/>
                    <w:lang w:eastAsia="lt-LT"/>
                  </w:rPr>
                  <w:t>V</w:t>
                </w:r>
                <w:r>
                  <w:rPr>
                    <w:b/>
                    <w:bCs/>
                    <w:szCs w:val="24"/>
                    <w:lang w:val="en-US" w:eastAsia="lt-LT"/>
                  </w:rPr>
                  <w:t>isi</w:t>
                </w:r>
                <w:r>
                  <w:rPr>
                    <w:b/>
                    <w:bCs/>
                    <w:szCs w:val="24"/>
                    <w:lang w:eastAsia="lt-LT"/>
                  </w:rPr>
                  <w:t>škas</w:t>
                </w:r>
              </w:p>
            </w:tc>
          </w:tr>
          <w:tr>
            <w:tc>
              <w:tcPr>
                <w:tcW w:w="6210" w:type="dxa"/>
              </w:tcPr>
              <w:p>
                <w:pPr>
                  <w:jc w:val="both"/>
                  <w:rPr>
                    <w:b/>
                    <w:bCs/>
                    <w:szCs w:val="24"/>
                    <w:lang w:eastAsia="lt-LT"/>
                  </w:rPr>
                </w:pPr>
                <w:r>
                  <w:rPr>
                    <w:b/>
                    <w:bCs/>
                    <w:szCs w:val="24"/>
                    <w:lang w:eastAsia="lt-LT"/>
                  </w:rPr>
                  <w:t>14 straipsnis</w:t>
                </w:r>
              </w:p>
              <w:p>
                <w:pPr>
                  <w:jc w:val="both"/>
                  <w:rPr>
                    <w:b/>
                    <w:bCs/>
                    <w:szCs w:val="24"/>
                    <w:lang w:eastAsia="lt-LT"/>
                  </w:rPr>
                </w:pPr>
                <w:r>
                  <w:rPr>
                    <w:b/>
                    <w:bCs/>
                    <w:szCs w:val="24"/>
                    <w:lang w:eastAsia="lt-LT"/>
                  </w:rPr>
                  <w:t>Dialogas su nevyriausybinėmis organizacijomis</w:t>
                </w:r>
              </w:p>
              <w:p>
                <w:pPr>
                  <w:jc w:val="both"/>
                  <w:rPr>
                    <w:b/>
                    <w:bCs/>
                    <w:szCs w:val="24"/>
                    <w:lang w:eastAsia="lt-LT"/>
                  </w:rPr>
                </w:pPr>
                <w:r>
                  <w:rPr>
                    <w:szCs w:val="24"/>
                    <w:lang w:eastAsia="lt-LT"/>
                  </w:rPr>
                  <w:t>Valstybės narės skatina dialogą su atitinkamomis nevyriausybinėmis organizacijomis, kurios pagal jų nacionalinę teisę ir praktiką yra teisėtai suinteresuotos, kad būtų prisidėta prie kovos su diskriminacija dėl bet kurios iš 1 straipsnyje nurodytų priežasčių, siekdamos skatinti laikytis vienodo požiūrio principo</w:t>
                </w:r>
              </w:p>
            </w:tc>
            <w:tc>
              <w:tcPr>
                <w:tcW w:w="7110" w:type="dxa"/>
              </w:tcPr>
              <w:p>
                <w:pPr>
                  <w:rPr>
                    <w:b/>
                    <w:szCs w:val="24"/>
                    <w:lang w:eastAsia="lt-LT"/>
                  </w:rPr>
                </w:pPr>
                <w:r>
                  <w:rPr>
                    <w:b/>
                    <w:szCs w:val="24"/>
                    <w:lang w:eastAsia="lt-LT"/>
                  </w:rPr>
                  <w:t>Projektas</w:t>
                </w:r>
              </w:p>
              <w:p>
                <w:pPr>
                  <w:rPr>
                    <w:b/>
                    <w:szCs w:val="24"/>
                    <w:lang w:eastAsia="lt-LT"/>
                  </w:rPr>
                </w:pPr>
                <w:r>
                  <w:rPr>
                    <w:b/>
                    <w:szCs w:val="24"/>
                    <w:lang w:eastAsia="lt-LT"/>
                  </w:rPr>
                  <w:t xml:space="preserve">5 straipsnis. Valstybės lygių galimybių politiką formuojančios ir įgyvendinančios institucijos, įstaigos </w:t>
                </w:r>
              </w:p>
              <w:p>
                <w:pPr>
                  <w:rPr>
                    <w:b/>
                    <w:szCs w:val="24"/>
                    <w:lang w:eastAsia="lt-LT"/>
                  </w:rPr>
                </w:pPr>
                <w:r>
                  <w:rPr>
                    <w:b/>
                    <w:szCs w:val="24"/>
                    <w:lang w:eastAsia="lt-LT"/>
                  </w:rPr>
                  <w:t xml:space="preserve">1.Valstybės lygių galimybių politika – valstybės politika, pagal kurią nustatomi principai, tikslai ir uždaviniai, siekiant užtikrinti lygių galimybių įgyvendinimą visose viešojo gyvenimo srityse, sudarant būtinas teisines, socialines, ekonomines ir kultūrines sąlygas. Valstybės lygių galimybių politika formuojama vadovaujantis Strateginio valdymo įstatyme numatytu lyčių lygybės ir nediskriminavimo principu. </w:t>
                </w:r>
              </w:p>
              <w:p>
                <w:pPr>
                  <w:rPr>
                    <w:b/>
                    <w:szCs w:val="24"/>
                    <w:lang w:eastAsia="lt-LT"/>
                  </w:rPr>
                </w:pPr>
                <w:r>
                  <w:rPr>
                    <w:b/>
                    <w:szCs w:val="24"/>
                    <w:lang w:eastAsia="lt-LT"/>
                  </w:rPr>
                  <w:t>2. Lietuvos Respublikos Seimas skiria lygių galimybių kontrolierių.</w:t>
                </w:r>
              </w:p>
              <w:p>
                <w:pPr>
                  <w:rPr>
                    <w:b/>
                    <w:szCs w:val="24"/>
                    <w:lang w:eastAsia="lt-LT"/>
                  </w:rPr>
                </w:pPr>
                <w:r>
                  <w:rPr>
                    <w:b/>
                    <w:szCs w:val="24"/>
                    <w:lang w:eastAsia="lt-LT"/>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rPr>
                    <w:b/>
                    <w:szCs w:val="24"/>
                    <w:lang w:eastAsia="lt-LT"/>
                  </w:rPr>
                </w:pPr>
                <w:r>
                  <w:rPr>
                    <w:b/>
                    <w:szCs w:val="24"/>
                    <w:lang w:eastAsia="lt-LT"/>
                  </w:rPr>
                  <w:t>4. Lietuvos Respublikos socialinės apsaugos ir darbo ministerija:</w:t>
                </w:r>
              </w:p>
              <w:p>
                <w:pPr>
                  <w:rPr>
                    <w:b/>
                    <w:szCs w:val="24"/>
                    <w:lang w:eastAsia="lt-LT"/>
                  </w:rPr>
                </w:pPr>
                <w:r>
                  <w:rPr>
                    <w:b/>
                    <w:szCs w:val="24"/>
                    <w:lang w:eastAsia="lt-LT"/>
                  </w:rPr>
                  <w:t>1) formuoja valstybės politiką lygių galimybių srityje, organizuoja, koordinuoja ir kontroliuoja jos įgyvendinimą;</w:t>
                </w:r>
              </w:p>
              <w:p>
                <w:pPr>
                  <w:rPr>
                    <w:b/>
                    <w:szCs w:val="24"/>
                    <w:lang w:eastAsia="lt-LT"/>
                  </w:rPr>
                </w:pPr>
                <w:r>
                  <w:rPr>
                    <w:b/>
                    <w:szCs w:val="24"/>
                    <w:lang w:eastAsia="lt-LT"/>
                  </w:rPr>
                  <w:t>2) analizuoja ir vertina situaciją bei statistinę informaciją lygių galimybių srityje;</w:t>
                </w:r>
              </w:p>
              <w:p>
                <w:pPr>
                  <w:rPr>
                    <w:b/>
                    <w:szCs w:val="24"/>
                    <w:lang w:eastAsia="lt-LT"/>
                  </w:rPr>
                </w:pPr>
                <w:r>
                  <w:rPr>
                    <w:b/>
                    <w:szCs w:val="24"/>
                    <w:lang w:eastAsia="lt-LT"/>
                  </w:rPr>
                  <w:t xml:space="preserve">3) didina visuomenės informuotumą apie teisinę ir institucinę sistemą lygių galimybių srityje, asmenų lygybę ir vienodą požiūrį į juos be diskriminacijos, skirdama dėmesį asmenų grupėms, kurioms gresia diskriminacija. </w:t>
                </w:r>
              </w:p>
              <w:p>
                <w:pPr>
                  <w:rPr>
                    <w:b/>
                    <w:szCs w:val="24"/>
                    <w:lang w:eastAsia="lt-LT"/>
                  </w:rPr>
                </w:pPr>
                <w:r>
                  <w:rPr>
                    <w:b/>
                    <w:szCs w:val="24"/>
                    <w:lang w:eastAsia="lt-LT"/>
                  </w:rPr>
                  <w:t>5. Ministerijos, kitos valstybės ir savivaldybių institucijos bei įstaigos pagal teisės aktais joms nustatytą kompetenciją pavestose valdymo srityse:</w:t>
                </w:r>
              </w:p>
              <w:p>
                <w:pPr>
                  <w:rPr>
                    <w:b/>
                    <w:szCs w:val="24"/>
                    <w:lang w:eastAsia="lt-LT"/>
                  </w:rPr>
                </w:pPr>
                <w:r>
                  <w:rPr>
                    <w:b/>
                    <w:szCs w:val="24"/>
                    <w:lang w:eastAsia="lt-LT"/>
                  </w:rPr>
                  <w:t>1) teikia pasiūlymus Socialinės apsaugos ir darbo ministerijai formuojant valstybės lygių galimybių politiką, organizuojant, koordinuojant ir kontroliuojant jos įgyvendinimą;</w:t>
                </w:r>
              </w:p>
              <w:p>
                <w:pPr>
                  <w:rPr>
                    <w:b/>
                    <w:szCs w:val="24"/>
                    <w:lang w:eastAsia="lt-LT"/>
                  </w:rPr>
                </w:pPr>
                <w:r>
                  <w:rPr>
                    <w:b/>
                    <w:szCs w:val="24"/>
                    <w:lang w:eastAsia="lt-LT"/>
                  </w:rPr>
                  <w:t xml:space="preserve">2) įgyvendina valstybės lygių galimybių politiką; </w:t>
                </w:r>
              </w:p>
              <w:p>
                <w:pPr>
                  <w:rPr>
                    <w:b/>
                    <w:szCs w:val="24"/>
                    <w:lang w:eastAsia="lt-LT"/>
                  </w:rPr>
                </w:pPr>
                <w:r>
                  <w:rPr>
                    <w:b/>
                    <w:szCs w:val="24"/>
                    <w:lang w:eastAsia="lt-LT"/>
                  </w:rPr>
                  <w:t xml:space="preserve">3) kaupia, sistemina, analizuoja ir skelbia informaciją apie valstybės lygių galimybių politikos įgyvendinimą. </w:t>
                </w:r>
              </w:p>
              <w:p>
                <w:pPr>
                  <w:rPr>
                    <w:b/>
                    <w:szCs w:val="24"/>
                    <w:lang w:eastAsia="lt-LT"/>
                  </w:rPr>
                </w:pPr>
                <w:r>
                  <w:rPr>
                    <w:b/>
                    <w:szCs w:val="24"/>
                    <w:lang w:eastAsia="lt-LT"/>
                  </w:rPr>
                  <w:t xml:space="preserve">6. Vyriausybės įgaliotos įstaigos įgyvendina lygių galimybių priemones pagal Vyriausybės nutarime nustatytą kompetenciją. </w:t>
                </w:r>
              </w:p>
              <w:p>
                <w:pPr>
                  <w:rPr>
                    <w:b/>
                    <w:szCs w:val="24"/>
                    <w:lang w:eastAsia="lt-LT"/>
                  </w:rPr>
                </w:pPr>
                <w:r>
                  <w:rPr>
                    <w:b/>
                    <w:szCs w:val="24"/>
                    <w:lang w:eastAsia="lt-LT"/>
                  </w:rPr>
                  <w:t>7. Valstybės institucijos ir įstaigos, vadovaudamosi Oficialiosios statistikos ir valstybės duomenų valdysenos įstatymu, teikia Valstybės duomenų agentūrai duomenis statistinei informacijai rengti pagal Lietuvos Respublikos Vyriausybės arba jos įgaliotos institucijos patvirtintą lygių galimybių statistinio tyrimo rodiklių sąrašą</w:t>
                </w:r>
              </w:p>
              <w:p>
                <w:pPr>
                  <w:rPr>
                    <w:b/>
                    <w:szCs w:val="24"/>
                    <w:lang w:eastAsia="lt-LT"/>
                  </w:rPr>
                </w:pPr>
                <w:r>
                  <w:rPr>
                    <w:b/>
                    <w:szCs w:val="24"/>
                    <w:lang w:eastAsia="lt-LT"/>
                  </w:rPr>
                  <w:t>8. Valstybės ir savivaldybių institucijos bei įstaigos pagal savo kompetenciją teikia nuasmenintą apibendrintą informaciją apie lygias galimybes suinteresuotoms institucijoms ir (ar) asmenims, vykdo jos sklaidą.</w:t>
                </w:r>
              </w:p>
            </w:tc>
            <w:tc>
              <w:tcPr>
                <w:tcW w:w="1800" w:type="dxa"/>
              </w:tcPr>
              <w:p>
                <w:pPr>
                  <w:tabs>
                    <w:tab w:val="center" w:pos="4153"/>
                    <w:tab w:val="right" w:pos="8306"/>
                  </w:tabs>
                  <w:rPr>
                    <w:b/>
                    <w:bCs/>
                    <w:szCs w:val="24"/>
                    <w:lang w:eastAsia="lt-LT"/>
                  </w:rPr>
                </w:pPr>
                <w:r>
                  <w:rPr>
                    <w:b/>
                    <w:bCs/>
                    <w:szCs w:val="24"/>
                    <w:lang w:eastAsia="lt-LT"/>
                  </w:rPr>
                  <w:t>Visiškas</w:t>
                </w:r>
              </w:p>
            </w:tc>
          </w:tr>
          <w:tr>
            <w:tc>
              <w:tcPr>
                <w:tcW w:w="6210" w:type="dxa"/>
              </w:tcPr>
              <w:p>
                <w:pPr>
                  <w:jc w:val="both"/>
                  <w:rPr>
                    <w:b/>
                    <w:bCs/>
                    <w:szCs w:val="24"/>
                    <w:lang w:eastAsia="lt-LT"/>
                  </w:rPr>
                </w:pPr>
                <w:r>
                  <w:rPr>
                    <w:b/>
                    <w:bCs/>
                    <w:szCs w:val="24"/>
                    <w:lang w:eastAsia="lt-LT"/>
                  </w:rPr>
                  <w:t>16 straipsnis</w:t>
                </w:r>
              </w:p>
              <w:p>
                <w:pPr>
                  <w:jc w:val="both"/>
                  <w:rPr>
                    <w:b/>
                    <w:bCs/>
                    <w:szCs w:val="24"/>
                    <w:lang w:eastAsia="lt-LT"/>
                  </w:rPr>
                </w:pPr>
                <w:r>
                  <w:rPr>
                    <w:b/>
                    <w:bCs/>
                    <w:szCs w:val="24"/>
                    <w:lang w:eastAsia="lt-LT"/>
                  </w:rPr>
                  <w:t xml:space="preserve">Laikymasis </w:t>
                </w:r>
              </w:p>
              <w:p>
                <w:pPr>
                  <w:jc w:val="both"/>
                  <w:rPr>
                    <w:szCs w:val="24"/>
                    <w:lang w:eastAsia="lt-LT"/>
                  </w:rPr>
                </w:pPr>
                <w:r>
                  <w:rPr>
                    <w:szCs w:val="24"/>
                    <w:lang w:eastAsia="lt-LT"/>
                  </w:rPr>
                  <w:t>Valstybės narės imasi būtinų priemonių užtikrinti, kad:</w:t>
                </w:r>
              </w:p>
              <w:p>
                <w:pPr>
                  <w:jc w:val="both"/>
                  <w:rPr>
                    <w:szCs w:val="24"/>
                    <w:lang w:eastAsia="lt-LT"/>
                  </w:rPr>
                </w:pPr>
                <w:r>
                  <w:rPr>
                    <w:szCs w:val="24"/>
                    <w:lang w:eastAsia="lt-LT"/>
                  </w:rPr>
                  <w:t>a) būtų panaikinti visi įstatymai ir kiti teisės aktai, kurie prieštarauja vienodo požiūrio principui;</w:t>
                </w:r>
              </w:p>
              <w:p>
                <w:pPr>
                  <w:jc w:val="both"/>
                  <w:rPr>
                    <w:b/>
                    <w:bCs/>
                    <w:szCs w:val="24"/>
                    <w:lang w:eastAsia="lt-LT"/>
                  </w:rPr>
                </w:pPr>
                <w:r>
                  <w:rPr>
                    <w:szCs w:val="24"/>
                    <w:lang w:eastAsia="lt-LT"/>
                  </w:rPr>
                  <w:t>b) būtų panaikintos, paskelbtos negaliojančiomis arba iš dalies pakeistos visos vienodo požiūrio principui prieštaraujančios nuostatos, kurios yra įtrauktos į individualias arba kolektyvines sutartis, įmonių vidaus taisykles bei į laisvoms profesijoms, darbuotojų ir darbdavių organizacijoms taikomas taisykles.</w:t>
                </w:r>
              </w:p>
            </w:tc>
            <w:tc>
              <w:tcPr>
                <w:tcW w:w="7110" w:type="dxa"/>
              </w:tcPr>
              <w:p>
                <w:pPr>
                  <w:rPr>
                    <w:b/>
                    <w:szCs w:val="24"/>
                    <w:lang w:eastAsia="lt-LT"/>
                  </w:rPr>
                </w:pPr>
                <w:r>
                  <w:rPr>
                    <w:b/>
                    <w:szCs w:val="24"/>
                    <w:lang w:eastAsia="lt-LT"/>
                  </w:rPr>
                  <w:t>Projektas</w:t>
                </w:r>
              </w:p>
              <w:p>
                <w:pPr>
                  <w:rPr>
                    <w:b/>
                    <w:szCs w:val="24"/>
                    <w:lang w:eastAsia="lt-LT"/>
                  </w:rPr>
                </w:pPr>
                <w:r>
                  <w:rPr>
                    <w:b/>
                    <w:szCs w:val="24"/>
                    <w:lang w:eastAsia="lt-LT"/>
                  </w:rPr>
                  <w:t>5 straipsnis. Valstybės lygių galimybių politiką formuojančios ir įgyvendinančios</w:t>
                </w:r>
              </w:p>
              <w:p>
                <w:pPr>
                  <w:rPr>
                    <w:b/>
                    <w:szCs w:val="24"/>
                    <w:lang w:eastAsia="lt-LT"/>
                  </w:rPr>
                </w:pPr>
                <w:r>
                  <w:rPr>
                    <w:b/>
                    <w:szCs w:val="24"/>
                    <w:lang w:eastAsia="lt-LT"/>
                  </w:rPr>
                  <w:t xml:space="preserve">institucijos, įstaigos </w:t>
                </w:r>
              </w:p>
              <w:p>
                <w:pPr>
                  <w:rPr>
                    <w:b/>
                    <w:szCs w:val="24"/>
                    <w:lang w:eastAsia="lt-LT"/>
                  </w:rPr>
                </w:pPr>
                <w:r>
                  <w:rPr>
                    <w:b/>
                    <w:szCs w:val="24"/>
                    <w:lang w:eastAsia="lt-LT"/>
                  </w:rPr>
                  <w:t xml:space="preserve">5 straipsnis. Valstybės lygių galimybių politiką formuojančios ir įgyvendinančios institucijos, įstaigos </w:t>
                </w:r>
              </w:p>
              <w:p>
                <w:pPr>
                  <w:rPr>
                    <w:b/>
                    <w:szCs w:val="24"/>
                    <w:lang w:eastAsia="lt-LT"/>
                  </w:rPr>
                </w:pPr>
                <w:r>
                  <w:rPr>
                    <w:b/>
                    <w:szCs w:val="24"/>
                    <w:lang w:eastAsia="lt-LT"/>
                  </w:rPr>
                  <w:t xml:space="preserve">1.Valstybės lygių galimybių politika – valstybės politika, pagal kurią nustatomi principai, tikslai ir uždaviniai, siekiant užtikrinti lygių galimybių įgyvendinimą visose viešojo gyvenimo srityse, sudarant būtinas teisines, socialines, ekonomines ir kultūrines sąlygas. Valstybės lygių galimybių politika formuojama vadovaujantis Strateginio valdymo įstatyme numatytu lyčių lygybės ir nediskriminavimo principu. </w:t>
                </w:r>
              </w:p>
              <w:p>
                <w:pPr>
                  <w:rPr>
                    <w:b/>
                    <w:szCs w:val="24"/>
                    <w:lang w:eastAsia="lt-LT"/>
                  </w:rPr>
                </w:pPr>
                <w:r>
                  <w:rPr>
                    <w:b/>
                    <w:szCs w:val="24"/>
                    <w:lang w:eastAsia="lt-LT"/>
                  </w:rPr>
                  <w:t>2. Lietuvos Respublikos Seimas skiria lygių galimybių kontrolierių.</w:t>
                </w:r>
              </w:p>
              <w:p>
                <w:pPr>
                  <w:rPr>
                    <w:b/>
                    <w:szCs w:val="24"/>
                    <w:lang w:eastAsia="lt-LT"/>
                  </w:rPr>
                </w:pPr>
                <w:r>
                  <w:rPr>
                    <w:b/>
                    <w:szCs w:val="24"/>
                    <w:lang w:eastAsia="lt-LT"/>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rPr>
                    <w:b/>
                    <w:szCs w:val="24"/>
                    <w:lang w:eastAsia="lt-LT"/>
                  </w:rPr>
                </w:pPr>
                <w:r>
                  <w:rPr>
                    <w:b/>
                    <w:szCs w:val="24"/>
                    <w:lang w:eastAsia="lt-LT"/>
                  </w:rPr>
                  <w:t>4. Lietuvos Respublikos socialinės apsaugos ir darbo ministerija:</w:t>
                </w:r>
              </w:p>
              <w:p>
                <w:pPr>
                  <w:rPr>
                    <w:b/>
                    <w:szCs w:val="24"/>
                    <w:lang w:eastAsia="lt-LT"/>
                  </w:rPr>
                </w:pPr>
                <w:r>
                  <w:rPr>
                    <w:b/>
                    <w:szCs w:val="24"/>
                    <w:lang w:eastAsia="lt-LT"/>
                  </w:rPr>
                  <w:t>1) formuoja valstybės politiką lygių galimybių srityje, organizuoja, koordinuoja ir kontroliuoja jos įgyvendinimą;</w:t>
                </w:r>
              </w:p>
              <w:p>
                <w:pPr>
                  <w:rPr>
                    <w:b/>
                    <w:szCs w:val="24"/>
                    <w:lang w:eastAsia="lt-LT"/>
                  </w:rPr>
                </w:pPr>
                <w:r>
                  <w:rPr>
                    <w:b/>
                    <w:szCs w:val="24"/>
                    <w:lang w:eastAsia="lt-LT"/>
                  </w:rPr>
                  <w:t>2) analizuoja ir vertina situaciją bei statistinę informaciją lygių galimybių srityje;</w:t>
                </w:r>
              </w:p>
              <w:p>
                <w:pPr>
                  <w:rPr>
                    <w:b/>
                    <w:szCs w:val="24"/>
                    <w:lang w:eastAsia="lt-LT"/>
                  </w:rPr>
                </w:pPr>
                <w:r>
                  <w:rPr>
                    <w:b/>
                    <w:szCs w:val="24"/>
                    <w:lang w:eastAsia="lt-LT"/>
                  </w:rPr>
                  <w:t xml:space="preserve">3) didina visuomenės informuotumą apie teisinę ir institucinę sistemą lygių galimybių srityje, asmenų lygybę ir vienodą požiūrį į juos be diskriminacijos, skirdama dėmesį asmenų grupėms, kurioms gresia diskriminacija. </w:t>
                </w:r>
              </w:p>
              <w:p>
                <w:pPr>
                  <w:rPr>
                    <w:b/>
                    <w:szCs w:val="24"/>
                    <w:lang w:eastAsia="lt-LT"/>
                  </w:rPr>
                </w:pPr>
                <w:r>
                  <w:rPr>
                    <w:b/>
                    <w:szCs w:val="24"/>
                    <w:lang w:eastAsia="lt-LT"/>
                  </w:rPr>
                  <w:t>5. Ministerijos, kitos valstybės ir savivaldybių institucijos bei įstaigos pagal teisės aktais joms nustatytą kompetenciją pavestose valdymo srityse:</w:t>
                </w:r>
              </w:p>
              <w:p>
                <w:pPr>
                  <w:rPr>
                    <w:b/>
                    <w:szCs w:val="24"/>
                    <w:lang w:eastAsia="lt-LT"/>
                  </w:rPr>
                </w:pPr>
                <w:r>
                  <w:rPr>
                    <w:b/>
                    <w:szCs w:val="24"/>
                    <w:lang w:eastAsia="lt-LT"/>
                  </w:rPr>
                  <w:t>1) teikia pasiūlymus Socialinės apsaugos ir darbo ministerijai formuojant valstybės lygių galimybių politiką, organizuojant, koordinuojant ir kontroliuojant jos įgyvendinimą;</w:t>
                </w:r>
              </w:p>
              <w:p>
                <w:pPr>
                  <w:rPr>
                    <w:b/>
                    <w:szCs w:val="24"/>
                    <w:lang w:eastAsia="lt-LT"/>
                  </w:rPr>
                </w:pPr>
                <w:r>
                  <w:rPr>
                    <w:b/>
                    <w:szCs w:val="24"/>
                    <w:lang w:eastAsia="lt-LT"/>
                  </w:rPr>
                  <w:t xml:space="preserve">2) įgyvendina valstybės lygių galimybių politiką; </w:t>
                </w:r>
              </w:p>
              <w:p>
                <w:pPr>
                  <w:rPr>
                    <w:b/>
                    <w:szCs w:val="24"/>
                    <w:lang w:eastAsia="lt-LT"/>
                  </w:rPr>
                </w:pPr>
                <w:r>
                  <w:rPr>
                    <w:b/>
                    <w:szCs w:val="24"/>
                    <w:lang w:eastAsia="lt-LT"/>
                  </w:rPr>
                  <w:t xml:space="preserve">3) kaupia, sistemina, analizuoja ir skelbia informaciją apie valstybės lygių galimybių politikos įgyvendinimą. </w:t>
                </w:r>
              </w:p>
              <w:p>
                <w:pPr>
                  <w:rPr>
                    <w:b/>
                    <w:szCs w:val="24"/>
                    <w:lang w:eastAsia="lt-LT"/>
                  </w:rPr>
                </w:pPr>
                <w:r>
                  <w:rPr>
                    <w:b/>
                    <w:szCs w:val="24"/>
                    <w:lang w:eastAsia="lt-LT"/>
                  </w:rPr>
                  <w:t xml:space="preserve">6. Vyriausybės įgaliotos įstaigos įgyvendina lygių galimybių priemones pagal Vyriausybės nutarime nustatytą kompetenciją. </w:t>
                </w:r>
              </w:p>
              <w:p>
                <w:pPr>
                  <w:rPr>
                    <w:b/>
                    <w:szCs w:val="24"/>
                    <w:lang w:eastAsia="lt-LT"/>
                  </w:rPr>
                </w:pPr>
                <w:r>
                  <w:rPr>
                    <w:b/>
                    <w:szCs w:val="24"/>
                    <w:lang w:eastAsia="lt-LT"/>
                  </w:rPr>
                  <w:t>7. Valstybės institucijos ir įstaigos, vadovaudamosi Oficialiosios statistikos ir valstybės duomenų valdysenos įstatymu, teikia Valstybės duomenų agentūrai duomenis statistinei informacijai rengti pagal Lietuvos Respublikos Vyriausybės arba jos įgaliotos institucijos patvirtintą lygių galimybių statistinio tyrimo rodiklių sąrašą</w:t>
                </w:r>
              </w:p>
              <w:p>
                <w:pPr>
                  <w:rPr>
                    <w:b/>
                    <w:szCs w:val="24"/>
                    <w:lang w:eastAsia="lt-LT"/>
                  </w:rPr>
                </w:pPr>
                <w:r>
                  <w:rPr>
                    <w:b/>
                    <w:szCs w:val="24"/>
                    <w:lang w:eastAsia="lt-LT"/>
                  </w:rPr>
                  <w:t>8. Valstybės ir savivaldybių institucijos bei įstaigos pagal savo kompetenciją teikia nuasmenintą apibendrintą informaciją apie lygias galimybes suinteresuotoms institucijoms ir (ar) asmenims, vykdo jos sklaidą.</w:t>
                </w:r>
              </w:p>
              <w:p>
                <w:pPr>
                  <w:rPr>
                    <w:b/>
                    <w:szCs w:val="24"/>
                    <w:lang w:eastAsia="lt-LT"/>
                  </w:rPr>
                </w:pPr>
              </w:p>
              <w:p>
                <w:pPr>
                  <w:rPr>
                    <w:b/>
                    <w:szCs w:val="24"/>
                    <w:lang w:eastAsia="lt-LT"/>
                  </w:rPr>
                </w:pPr>
                <w:r>
                  <w:rPr>
                    <w:b/>
                    <w:szCs w:val="24"/>
                    <w:lang w:eastAsia="lt-LT"/>
                  </w:rPr>
                  <w:t>DK</w:t>
                </w:r>
              </w:p>
              <w:p>
                <w:pPr>
                  <w:rPr>
                    <w:b/>
                    <w:bCs/>
                    <w:szCs w:val="24"/>
                    <w:lang w:eastAsia="lt-LT"/>
                  </w:rPr>
                </w:pPr>
                <w:r>
                  <w:rPr>
                    <w:b/>
                    <w:bCs/>
                    <w:szCs w:val="24"/>
                    <w:lang w:eastAsia="lt-LT"/>
                  </w:rPr>
                  <w:t>33 straipsnis. Darbo sutarties turinys</w:t>
                </w:r>
              </w:p>
              <w:p>
                <w:pPr>
                  <w:rPr>
                    <w:bCs/>
                    <w:szCs w:val="24"/>
                    <w:lang w:eastAsia="lt-LT"/>
                  </w:rPr>
                </w:pPr>
                <w:r>
                  <w:rPr>
                    <w:bCs/>
                    <w:szCs w:val="24"/>
                    <w:lang w:eastAsia="lt-LT"/>
                  </w:rPr>
                  <w:t>4.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rPr>
                    <w:bCs/>
                    <w:szCs w:val="24"/>
                    <w:lang w:eastAsia="lt-LT"/>
                  </w:rPr>
                </w:pPr>
                <w:r>
                  <w:rPr>
                    <w:bCs/>
                    <w:i/>
                    <w:iCs/>
                    <w:szCs w:val="24"/>
                    <w:lang w:eastAsia="lt-LT"/>
                  </w:rPr>
                  <w:t>Straipsnio dalies pakeitimai:</w:t>
                </w:r>
              </w:p>
              <w:p>
                <w:pPr>
                  <w:rPr>
                    <w:bCs/>
                    <w:szCs w:val="24"/>
                    <w:lang w:eastAsia="lt-LT"/>
                  </w:rPr>
                </w:pPr>
                <w:r>
                  <w:rPr>
                    <w:bCs/>
                    <w:i/>
                    <w:iCs/>
                    <w:szCs w:val="24"/>
                    <w:lang w:eastAsia="lt-LT"/>
                  </w:rPr>
                  <w:t>Nr. </w:t>
                </w:r>
                <w:hyperlink r:id="rId44" w:tgtFrame="_parent" w:history="1">
                  <w:r>
                    <w:rPr>
                      <w:bCs/>
                      <w:i/>
                      <w:iCs/>
                      <w:szCs w:val="24"/>
                      <w:u w:val="single"/>
                      <w:lang w:eastAsia="lt-LT"/>
                    </w:rPr>
                    <w:t>XIV-2260</w:t>
                  </w:r>
                </w:hyperlink>
                <w:r>
                  <w:rPr>
                    <w:bCs/>
                    <w:i/>
                    <w:iCs/>
                    <w:szCs w:val="24"/>
                    <w:lang w:eastAsia="lt-LT"/>
                  </w:rPr>
                  <w:t>, 2023-11-16, paskelbta TAR 2023-11-29, i. k. 2023-22993</w:t>
                </w:r>
              </w:p>
              <w:p>
                <w:pPr>
                  <w:rPr>
                    <w:b/>
                    <w:szCs w:val="24"/>
                    <w:lang w:eastAsia="lt-LT"/>
                  </w:rPr>
                </w:pPr>
              </w:p>
              <w:p>
                <w:pPr>
                  <w:rPr>
                    <w:b/>
                    <w:bCs/>
                    <w:szCs w:val="24"/>
                    <w:lang w:eastAsia="lt-LT"/>
                  </w:rPr>
                </w:pPr>
                <w:r>
                  <w:rPr>
                    <w:b/>
                    <w:bCs/>
                    <w:szCs w:val="24"/>
                    <w:lang w:eastAsia="lt-LT"/>
                  </w:rPr>
                  <w:t>193 straipsnis. Kolektyvinių sutarčių turinys</w:t>
                </w:r>
              </w:p>
              <w:p>
                <w:pPr>
                  <w:rPr>
                    <w:bCs/>
                    <w:szCs w:val="24"/>
                    <w:lang w:eastAsia="lt-LT"/>
                  </w:rPr>
                </w:pPr>
                <w:r>
                  <w:rPr>
                    <w:bCs/>
                    <w:szCs w:val="24"/>
                    <w:lang w:eastAsia="lt-LT"/>
                  </w:rPr>
                  <w:t>3. Kolektyvinėse sutartyse, sudaromose nacionaliniu, šakos ar teritoriniu lygmeniu, įtvirtintomis darbo teisės normomis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w:t>
                </w:r>
              </w:p>
            </w:tc>
            <w:tc>
              <w:tcPr>
                <w:tcW w:w="1800" w:type="dxa"/>
              </w:tcPr>
              <w:p>
                <w:pPr>
                  <w:tabs>
                    <w:tab w:val="center" w:pos="4153"/>
                    <w:tab w:val="right" w:pos="8306"/>
                  </w:tabs>
                  <w:rPr>
                    <w:b/>
                    <w:bCs/>
                    <w:szCs w:val="24"/>
                    <w:lang w:eastAsia="lt-LT"/>
                  </w:rPr>
                </w:pPr>
                <w:r>
                  <w:rPr>
                    <w:b/>
                    <w:bCs/>
                    <w:szCs w:val="24"/>
                    <w:lang w:eastAsia="lt-LT"/>
                  </w:rPr>
                  <w:t>V</w:t>
                </w:r>
                <w:r>
                  <w:rPr>
                    <w:b/>
                    <w:bCs/>
                    <w:szCs w:val="24"/>
                    <w:lang w:val="en-US" w:eastAsia="lt-LT"/>
                  </w:rPr>
                  <w:t>isi</w:t>
                </w:r>
                <w:r>
                  <w:rPr>
                    <w:b/>
                    <w:bCs/>
                    <w:szCs w:val="24"/>
                    <w:lang w:eastAsia="lt-LT"/>
                  </w:rPr>
                  <w:t xml:space="preserve">škas </w:t>
                </w:r>
              </w:p>
            </w:tc>
          </w:tr>
          <w:tr>
            <w:tc>
              <w:tcPr>
                <w:tcW w:w="6210" w:type="dxa"/>
              </w:tcPr>
              <w:p>
                <w:pPr>
                  <w:jc w:val="both"/>
                  <w:rPr>
                    <w:b/>
                    <w:bCs/>
                    <w:szCs w:val="24"/>
                    <w:lang w:eastAsia="lt-LT"/>
                  </w:rPr>
                </w:pPr>
                <w:r>
                  <w:rPr>
                    <w:b/>
                    <w:bCs/>
                    <w:szCs w:val="24"/>
                    <w:lang w:eastAsia="lt-LT"/>
                  </w:rPr>
                  <w:t>17 straipsnis</w:t>
                </w:r>
              </w:p>
              <w:p>
                <w:pPr>
                  <w:jc w:val="both"/>
                  <w:rPr>
                    <w:b/>
                    <w:bCs/>
                    <w:szCs w:val="24"/>
                    <w:lang w:eastAsia="lt-LT"/>
                  </w:rPr>
                </w:pPr>
                <w:r>
                  <w:rPr>
                    <w:b/>
                    <w:bCs/>
                    <w:szCs w:val="24"/>
                    <w:lang w:eastAsia="lt-LT"/>
                  </w:rPr>
                  <w:t>Sankcijos</w:t>
                </w:r>
              </w:p>
              <w:p>
                <w:pPr>
                  <w:jc w:val="both"/>
                  <w:rPr>
                    <w:szCs w:val="24"/>
                    <w:lang w:eastAsia="lt-LT"/>
                  </w:rPr>
                </w:pPr>
                <w:r>
                  <w:rPr>
                    <w:szCs w:val="24"/>
                    <w:lang w:eastAsia="lt-LT"/>
                  </w:rPr>
                  <w:t>Valstybės narės sankcijoms, taikytinoms už nacionalinių nuostatų, priimtų pagal šią direktyvą, pažeidimus nustato taisykles ir imasi visų priemonių, būtinų jų taikymui užtikrinti. Sankcijos, kurias gali sudaryti kompensacijos nukentėjusiajam sumokėjimas turi būti veiksmingos, proporcingos ir atgrasančios. Valstybės narės ne vėliau kaip iki 2003 m. gruodžio 2 d. apie šias nuostatas praneša Komisijai ir nedelsdamos ją informuoja apie visus vėlesnius minėtų nuostatų pakeitimus.</w:t>
                </w:r>
              </w:p>
            </w:tc>
            <w:tc>
              <w:tcPr>
                <w:tcW w:w="7110" w:type="dxa"/>
              </w:tcPr>
              <w:p>
                <w:pPr>
                  <w:rPr>
                    <w:b/>
                    <w:szCs w:val="24"/>
                    <w:lang w:eastAsia="lt-LT"/>
                  </w:rPr>
                </w:pPr>
                <w:r>
                  <w:rPr>
                    <w:b/>
                    <w:szCs w:val="24"/>
                    <w:lang w:eastAsia="lt-LT"/>
                  </w:rPr>
                  <w:t>Projektas</w:t>
                </w:r>
              </w:p>
              <w:p>
                <w:pPr>
                  <w:rPr>
                    <w:b/>
                    <w:szCs w:val="24"/>
                    <w:lang w:eastAsia="lt-LT"/>
                  </w:rPr>
                </w:pPr>
                <w:r>
                  <w:rPr>
                    <w:b/>
                    <w:szCs w:val="24"/>
                    <w:lang w:eastAsia="lt-LT"/>
                  </w:rPr>
                  <w:t xml:space="preserve">23 straipsnis. Asmens, kurio lygios galimybės galimai pažeistos, teisės </w:t>
                </w:r>
              </w:p>
              <w:p>
                <w:pPr>
                  <w:rPr>
                    <w:bCs/>
                    <w:szCs w:val="24"/>
                    <w:lang w:eastAsia="lt-LT"/>
                  </w:rPr>
                </w:pPr>
                <w:r>
                  <w:rPr>
                    <w:bCs/>
                    <w:szCs w:val="24"/>
                    <w:lang w:eastAsia="lt-LT"/>
                  </w:rPr>
                  <w:t>[...]</w:t>
                </w:r>
              </w:p>
              <w:p>
                <w:pPr>
                  <w:rPr>
                    <w:b/>
                    <w:szCs w:val="24"/>
                    <w:lang w:eastAsia="lt-LT"/>
                  </w:rPr>
                </w:pPr>
                <w:r>
                  <w:rPr>
                    <w:b/>
                    <w:szCs w:val="24"/>
                    <w:lang w:eastAsia="lt-LT"/>
                  </w:rPr>
                  <w:t>4. Asmens kreipimasis į lygių galimybių kontrolierių neatima iš asmens teisės kreiptis į teismą ir ginti savo teises jame, taip pat reikalauti iš kaltų asmenų atlyginti turtinę ir neturtinę žalą įstatymų nustatyta tvarka.</w:t>
                </w:r>
              </w:p>
              <w:p>
                <w:pPr>
                  <w:rPr>
                    <w:bCs/>
                    <w:szCs w:val="24"/>
                    <w:lang w:eastAsia="lt-LT"/>
                  </w:rPr>
                </w:pPr>
                <w:r>
                  <w:rPr>
                    <w:bCs/>
                    <w:szCs w:val="24"/>
                    <w:lang w:eastAsia="lt-LT"/>
                  </w:rPr>
                  <w:t>[...]</w:t>
                </w:r>
              </w:p>
              <w:p>
                <w:pPr>
                  <w:rPr>
                    <w:b/>
                    <w:szCs w:val="24"/>
                    <w:lang w:eastAsia="lt-LT"/>
                  </w:rPr>
                </w:pPr>
                <w:r>
                  <w:rPr>
                    <w:b/>
                    <w:szCs w:val="24"/>
                    <w:lang w:eastAsia="lt-LT"/>
                  </w:rPr>
                  <w:t>DK</w:t>
                </w:r>
              </w:p>
              <w:p>
                <w:pPr>
                  <w:rPr>
                    <w:bCs/>
                    <w:szCs w:val="24"/>
                    <w:lang w:eastAsia="lt-LT"/>
                  </w:rPr>
                </w:pPr>
              </w:p>
              <w:p>
                <w:pPr>
                  <w:rPr>
                    <w:bCs/>
                    <w:szCs w:val="24"/>
                    <w:lang w:eastAsia="lt-LT"/>
                  </w:rPr>
                </w:pPr>
                <w:r>
                  <w:rPr>
                    <w:b/>
                    <w:bCs/>
                    <w:szCs w:val="24"/>
                    <w:lang w:eastAsia="lt-LT"/>
                  </w:rPr>
                  <w:t>151 straipsnis. Žalos atlyginimo sąlygos</w:t>
                </w:r>
              </w:p>
              <w:p>
                <w:pPr>
                  <w:rPr>
                    <w:bCs/>
                    <w:szCs w:val="24"/>
                    <w:lang w:eastAsia="lt-LT"/>
                  </w:rPr>
                </w:pPr>
                <w:r>
                  <w:rPr>
                    <w:bCs/>
                    <w:szCs w:val="24"/>
                    <w:lang w:eastAsia="lt-LT"/>
                  </w:rPr>
                  <w:t>Kiekviena darbo sutarties šalis privalo atlyginti savo darbo pareigų pažeidimu dėl jos kaltės kitai sutarties šaliai padarytą turtinę žalą, taip pat ir neturtinę žalą.</w:t>
                </w:r>
              </w:p>
              <w:p>
                <w:pPr>
                  <w:ind w:firstLine="62"/>
                  <w:rPr>
                    <w:bCs/>
                    <w:szCs w:val="24"/>
                    <w:lang w:eastAsia="lt-LT"/>
                  </w:rPr>
                </w:pPr>
              </w:p>
              <w:p>
                <w:pPr>
                  <w:rPr>
                    <w:bCs/>
                    <w:szCs w:val="24"/>
                    <w:lang w:eastAsia="lt-LT"/>
                  </w:rPr>
                </w:pPr>
                <w:r>
                  <w:rPr>
                    <w:b/>
                    <w:bCs/>
                    <w:szCs w:val="24"/>
                    <w:lang w:eastAsia="lt-LT"/>
                  </w:rPr>
                  <w:t>152 straipsnis. Atlygintinos turtinės žalos dydžio nustatymas</w:t>
                </w:r>
              </w:p>
              <w:p>
                <w:pPr>
                  <w:rPr>
                    <w:bCs/>
                    <w:szCs w:val="24"/>
                    <w:lang w:eastAsia="lt-LT"/>
                  </w:rPr>
                </w:pPr>
                <w:r>
                  <w:rPr>
                    <w:bCs/>
                    <w:szCs w:val="24"/>
                    <w:lang w:eastAsia="lt-LT"/>
                  </w:rPr>
                  <w:t>1. Atlygintinos turtinės žalos dydį sudaro tiesioginiai nuostoliai ir negautos pajamos.</w:t>
                </w:r>
              </w:p>
              <w:p>
                <w:pPr>
                  <w:rPr>
                    <w:bCs/>
                    <w:szCs w:val="24"/>
                    <w:lang w:eastAsia="lt-LT"/>
                  </w:rPr>
                </w:pPr>
              </w:p>
              <w:p>
                <w:pPr>
                  <w:jc w:val="both"/>
                  <w:rPr>
                    <w:b/>
                    <w:szCs w:val="24"/>
                    <w:lang w:eastAsia="lt-LT"/>
                  </w:rPr>
                </w:pPr>
                <w:r>
                  <w:rPr>
                    <w:b/>
                    <w:szCs w:val="24"/>
                    <w:lang w:eastAsia="lt-LT"/>
                  </w:rPr>
                  <w:t>Civilinis kodeksas</w:t>
                </w:r>
              </w:p>
              <w:p>
                <w:pPr>
                  <w:jc w:val="both"/>
                  <w:rPr>
                    <w:rFonts w:ascii="Arial Unicode MS" w:eastAsia="Arial Unicode MS" w:hAnsi="Arial Unicode MS" w:cs="Arial Unicode MS"/>
                    <w:b/>
                    <w:szCs w:val="24"/>
                  </w:rPr>
                </w:pPr>
                <w:r>
                  <w:rPr>
                    <w:b/>
                    <w:szCs w:val="24"/>
                    <w:lang w:eastAsia="lt-LT"/>
                  </w:rPr>
                  <w:t>6.250 straipsnis. Neturtinė žala</w:t>
                </w:r>
              </w:p>
              <w:p>
                <w:pPr>
                  <w:jc w:val="both"/>
                  <w:rPr>
                    <w:rFonts w:ascii="Arial Unicode MS" w:hAnsi="Arial Unicode MS" w:cs="Arial Unicode MS"/>
                    <w:szCs w:val="24"/>
                    <w:lang w:eastAsia="lt-LT"/>
                  </w:rPr>
                </w:pPr>
                <w:r>
                  <w:rPr>
                    <w:szCs w:val="24"/>
                    <w:lang w:eastAsia="lt-LT"/>
                  </w:rPr>
                  <w:t>1. Neturtinė žala yra asmens fizinis skausmas, dvasiniai išgyvenimai, nepatogumai, dvasinis sukrėtimas, emocinė depresija, pažeminimas, reputacijos pablogėjimas, bendravimo galimybių sumažėjimas ir kita, teismo įvertinti pinigais.</w:t>
                </w:r>
              </w:p>
              <w:p>
                <w:pPr>
                  <w:jc w:val="both"/>
                  <w:rPr>
                    <w:szCs w:val="24"/>
                    <w:lang w:eastAsia="lt-LT"/>
                  </w:rPr>
                </w:pPr>
                <w:r>
                  <w:rPr>
                    <w:szCs w:val="24"/>
                    <w:lang w:eastAsia="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rPr>
                    <w:bCs/>
                    <w:szCs w:val="24"/>
                    <w:lang w:eastAsia="lt-LT"/>
                  </w:rPr>
                </w:pPr>
              </w:p>
            </w:tc>
            <w:tc>
              <w:tcPr>
                <w:tcW w:w="1800" w:type="dxa"/>
              </w:tcPr>
              <w:p>
                <w:pPr>
                  <w:tabs>
                    <w:tab w:val="center" w:pos="4153"/>
                    <w:tab w:val="right" w:pos="8306"/>
                  </w:tabs>
                  <w:rPr>
                    <w:b/>
                    <w:bCs/>
                    <w:szCs w:val="24"/>
                    <w:lang w:eastAsia="lt-LT"/>
                  </w:rPr>
                </w:pPr>
                <w:r>
                  <w:rPr>
                    <w:b/>
                    <w:bCs/>
                    <w:szCs w:val="24"/>
                    <w:lang w:eastAsia="lt-LT"/>
                  </w:rPr>
                  <w:t>V</w:t>
                </w:r>
                <w:r>
                  <w:rPr>
                    <w:b/>
                    <w:bCs/>
                    <w:szCs w:val="24"/>
                    <w:lang w:val="en-US" w:eastAsia="lt-LT"/>
                  </w:rPr>
                  <w:t>isi</w:t>
                </w:r>
                <w:r>
                  <w:rPr>
                    <w:b/>
                    <w:bCs/>
                    <w:szCs w:val="24"/>
                    <w:lang w:eastAsia="lt-LT"/>
                  </w:rPr>
                  <w:t>škas</w:t>
                </w:r>
              </w:p>
            </w:tc>
          </w:tr>
        </w:tbl>
        <w:p>
          <w:pPr>
            <w:jc w:val="both"/>
            <w:rPr>
              <w:szCs w:val="24"/>
              <w:lang w:eastAsia="lt-LT"/>
            </w:rPr>
          </w:pPr>
        </w:p>
      </w:sdtContent>
    </w:sdt>
    <w:sdt>
      <w:sdtPr>
        <w:alias w:val="pastraipa"/>
        <w:tag w:val="part_818c2d3d24b349c186f0f2a70a58fedb"/>
        <w:lock w:val="sdtLocked"/>
        <w:richText/>
      </w:sdtPr>
      <w:sdtContent>
        <w:p>
          <w:pPr>
            <w:jc w:val="center"/>
            <w:rPr>
              <w:szCs w:val="24"/>
              <w:lang w:eastAsia="lt-LT"/>
            </w:rPr>
          </w:pPr>
          <w:r>
            <w:rPr>
              <w:szCs w:val="24"/>
              <w:lang w:eastAsia="lt-LT"/>
            </w:rPr>
            <w:t>___________________________</w:t>
          </w:r>
        </w:p>
      </w:sdtContent>
    </w:sdt>
    <w:sectPr>
      <w:headerReference w:type="default" r:id="rId45"/>
      <w:footerReference w:type="even" r:id="rId46"/>
      <w:footerReference w:type="default" r:id="rId47"/>
      <w:footerReference w:type="first" r:id="rId48"/>
      <w:pgSz w:w="16840" w:h="11907" w:orient="landscape" w:code="9"/>
      <w:pgMar w:top="1276" w:right="1134" w:bottom="568"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lang w:eastAsia="lt-LT"/>
        </w:rPr>
      </w:pPr>
      <w:r>
        <w:rPr>
          <w:lang w:eastAsia="lt-LT"/>
        </w:rPr>
        <w:separator/>
      </w:r>
    </w:p>
  </w:endnote>
  <w:endnote w:type="continuationSeparator" w:id="0">
    <w:p>
      <w:pPr>
        <w:jc w:val="both"/>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F9DFFFFF" w:usb2="0000007F" w:usb3="00000000" w:csb0="003F01FF" w:csb1="00000000"/>
  </w:font>
  <w:font w:name="Aptos">
    <w:altName w:val="Arial"/>
    <w:charset w:val="00"/>
    <w:family w:val="swiss"/>
    <w:pitch w:val="variable"/>
    <w:sig w:usb0="20000287" w:usb1="00000003" w:usb2="00000000" w:usb3="00000000" w:csb0="000001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jc w:val="both"/>
      <w:rPr>
        <w:lang w:eastAsia="lt-LT"/>
      </w:rPr>
    </w:pPr>
    <w:r>
      <w:rPr>
        <w:lang w:val="en-US"/>
      </w:rPr>
      <mc:AlternateContent>
        <mc:Choice Requires="wps">
          <w:drawing>
            <wp:anchor distT="0" distB="0" distL="0" distR="0" simplePos="0" relativeHeight="251659264" behindDoc="0" locked="0" layoutInCell="1" allowOverlap="1" wp14:anchorId="1AC142B8" wp14:editId="3A483FFA">
              <wp:simplePos x="635" y="635"/>
              <wp:positionH relativeFrom="page">
                <wp:align>left</wp:align>
              </wp:positionH>
              <wp:positionV relativeFrom="page">
                <wp:align>bottom</wp:align>
              </wp:positionV>
              <wp:extent cx="4829175" cy="345440"/>
              <wp:effectExtent l="0" t="0" r="9525" b="0"/>
              <wp:wrapNone/>
              <wp:docPr id="324061591" name="Text Box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jc w:val="both"/>
                            <w:rPr>
                              <w:rFonts w:ascii="Aptos" w:eastAsia="Aptos" w:hAnsi="Aptos" w:cs="Aptos"/>
                              <w:color w:val="000000"/>
                              <w:sz w:val="20"/>
                              <w:lang w:eastAsia="lt-LT"/>
                            </w:rPr>
                          </w:pPr>
                          <w:r>
                            <w:rPr>
                              <w:rFonts w:ascii="Aptos" w:eastAsia="Aptos" w:hAnsi="Aptos" w:cs="Aptos"/>
                              <w:color w:val="000000"/>
                              <w:sz w:val="20"/>
                              <w:lang w:eastAsia="lt-LT"/>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AC142B8" id="_x0000_t202" coordsize="21600,21600" o:spt="202" path="m,l,21600r21600,l21600,xe">
              <v:stroke joinstyle="miter"/>
              <v:path gradientshapeok="t" o:connecttype="rect"/>
            </v:shapetype>
            <v:shape id="Text Box 5" o:spid="_x0000_s1026" type="#_x0000_t202" alt="Socialinės apsaugos ir darbo ministerija bei pavaldžios įstaigos | Viešam naudojimui" style="position:absolute;left:0;text-align:left;margin-left:0;margin-top:0;width:380.2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VSo7tQIAAP4EAAAOAAAAZHJzL2Uyb0RvYy54bWysVEtu2zAQ3RfoHQjuHX0iJbEROVDsqCgQ JAGcNmuKomwG4gckbSv9nKPrnqA36Cq5V4eUnbZpV0U39GhmOJ/H93x61osObZixXMkCJwcxRkxS 1XC5LPC722p0gpF1RDakU5IV+IFZfDZ9/ep0qycsVSvVNcwgKCLtZKsLvHJOT6LI0hUTxB4ozSQE W2UEcfBpllFjyBaqiy5K4/go2irTaKMosxa88yGIp6F+2zLqrtvWMoe6AsNsLpwmnLU/o+kpmSwN 0StOd2OQf5hCEC6h6XOpOXEErQ3/o5Tg1CirWndAlYhU23LKwg6wTRK/2GaxIpqFXQAcq59hsv+v LL3a3BjEmwIfpll8lOTjBCNJBDzVLesdOlc9yjFqmKWA2kJRTjouH79YRLQl66WyiBvUEFMrJLjk 1jHD7wmqGUeabEjXPH3nkPT4DVjAffon9J6zp69EQJt1o+65WPMAHbS7tM6D6BsH8D7m5UWWVGU6 msVVNcqy43g0Pp9no7wq57Py5Hh2fpF+9o8YhVvhfrTVdhL28iwI5kLDkq6HZYCjPt37LTh9t741 wv/CYyCIA0senpnhJ6HgzE7ScXIMQFCIHWZ5lgXqQNf9bW2se8OUQN4osAHmha3IBoYaBtyn+GZS VbzrAvs6+ZsDanpP2GIY0Q/r+rrfzV2r5gHWMWogs9W04tDzklh3QwywFzYARbprONpObQusdhZG K2U+/M3v84FUEMVoC2oosAS5YtS9lUC2NM/i2KsnfIFh9kYdjGQc5z4u12KmQGhAIZgqmD7ZdXuz NUrcgWBL3w1CRFLoWeB6b87coE0QPGVlGZJAKJq4S7nQ1Jf2YHkkb/s7YvQObgcPdaX2eiGTF6gP uf6m1eXaAfbhSTywA5o7vEFkgUq7PwSv4l+/Q9bPv63pDwAAAP//AwBQSwMEFAAGAAgAAAAhALW5 fR7bAAAABAEAAA8AAABkcnMvZG93bnJldi54bWxMj81uwjAQhO+VeAdrkXorThGkKI2DEP1Rr00r laMTL3FEvA7xAunb1+2FXlYazWjm23w9uk6ccQitJwX3swQEUu1NS42Cz4+XuxWIwJqM7jyhgm8M sC4mN7nOjL/QO55LbkQsoZBpBZa5z6QMtUWnw8z3SNHb+8FpjnJopBn0JZa7Ts6TJJVOtxQXrO5x a7E+lCenIH163dj+K90d9/PwFip/4NI/K3U7HTePIBhHvobhFz+iQxGZKn8iE0SnID7Cfzd6D2my BFEpWC4WIItc/ocvfgAAAP//AwBQSwECLQAUAAYACAAAACEAtoM4kv4AAADhAQAAEwAAAAAAAAAA AAAAAAAAAAAAW0NvbnRlbnRfVHlwZXNdLnhtbFBLAQItABQABgAIAAAAIQA4/SH/1gAAAJQBAAAL AAAAAAAAAAAAAAAAAC8BAABfcmVscy8ucmVsc1BLAQItABQABgAIAAAAIQAFVSo7tQIAAP4EAAAO AAAAAAAAAAAAAAAAAC4CAABkcnMvZTJvRG9jLnhtbFBLAQItABQABgAIAAAAIQC1uX0e2wAAAAQB AAAPAAAAAAAAAAAAAAAAAA8FAABkcnMvZG93bnJldi54bWxQSwUGAAAAAAQABADzAAAAFwYAAAAA " filled="f" stroked="f">
              <v:textbox style="mso-fit-shape-to-text:t" inset="20pt,0,0,15pt">
                <w:txbxContent>
                  <w:p w14:paraId="650D67FD" w14:textId="4E5B37BE">
                    <w:pPr>
                      <w:jc w:val="both"/>
                      <w:rPr>
                        <w:rFonts w:ascii="Aptos" w:hAnsi="Aptos" w:eastAsia="Aptos" w:cs="Aptos"/>
                        <w:color w:val="000000"/>
                        <w:sz w:val="20"/>
                        <w:lang w:eastAsia="lt-LT"/>
                      </w:rPr>
                    </w:pPr>
                    <w:r>
                      <w:rPr>
                        <w:rFonts w:ascii="Aptos" w:hAnsi="Aptos" w:eastAsia="Aptos" w:cs="Aptos"/>
                        <w:color w:val="000000"/>
                        <w:sz w:val="20"/>
                        <w:lang w:eastAsia="lt-LT"/>
                      </w:rPr>
                      <w:t>Socialinės apsaugos ir darbo ministerija bei pavaldžios įstaigos | Viešam naudojimui</w:t>
                    </w:r>
                  </w:p>
                </w:txbxContent>
              </v:textbox>
              <w10:wrap anchorx="page" anchory="page"/>
            </v:shape>
          </w:pict>
        </mc:Fallback>
      </mc:AlternateContent>
    </w:r>
    <w:r>
      <w:rPr>
        <w:lang w:eastAsia="lt-LT"/>
      </w:rPr>
      <w:fldChar w:fldCharType="begin"/>
    </w:r>
    <w:r>
      <w:rPr>
        <w:lang w:eastAsia="lt-LT"/>
      </w:rPr>
      <w:instrText xml:space="preserve">PAGE  </w:instrText>
    </w:r>
    <w:r>
      <w:rPr>
        <w:lang w:eastAsia="lt-LT"/>
      </w:rPr>
      <w:fldChar w:fldCharType="end"/>
    </w:r>
  </w:p>
  <w:p>
    <w:pPr>
      <w:tabs>
        <w:tab w:val="center" w:pos="4819"/>
        <w:tab w:val="right" w:pos="9638"/>
      </w:tabs>
      <w:ind w:right="360"/>
      <w:jc w:val="both"/>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right="360"/>
      <w:jc w:val="center"/>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lang w:eastAsia="lt-LT"/>
      </w:rPr>
    </w:pPr>
    <w:r>
      <w:rPr>
        <w:lang w:val="en-US"/>
      </w:rPr>
      <mc:AlternateContent>
        <mc:Choice Requires="wps">
          <w:drawing>
            <wp:anchor distT="0" distB="0" distL="0" distR="0" simplePos="0" relativeHeight="251658240" behindDoc="0" locked="0" layoutInCell="1" allowOverlap="1" wp14:anchorId="69748867" wp14:editId="3D702C78">
              <wp:simplePos x="635" y="635"/>
              <wp:positionH relativeFrom="page">
                <wp:align>left</wp:align>
              </wp:positionH>
              <wp:positionV relativeFrom="page">
                <wp:align>bottom</wp:align>
              </wp:positionV>
              <wp:extent cx="4829175" cy="345440"/>
              <wp:effectExtent l="0" t="0" r="9525" b="0"/>
              <wp:wrapNone/>
              <wp:docPr id="1240097228" name="Text Box 4"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jc w:val="both"/>
                            <w:rPr>
                              <w:rFonts w:ascii="Aptos" w:eastAsia="Aptos" w:hAnsi="Aptos" w:cs="Aptos"/>
                              <w:color w:val="000000"/>
                              <w:sz w:val="20"/>
                              <w:lang w:eastAsia="lt-LT"/>
                            </w:rPr>
                          </w:pPr>
                          <w:r>
                            <w:rPr>
                              <w:rFonts w:ascii="Aptos" w:eastAsia="Aptos" w:hAnsi="Aptos" w:cs="Aptos"/>
                              <w:color w:val="000000"/>
                              <w:sz w:val="20"/>
                              <w:lang w:eastAsia="lt-LT"/>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9748867" id="_x0000_t202" coordsize="21600,21600" o:spt="202" path="m,l,21600r21600,l21600,xe">
              <v:stroke joinstyle="miter"/>
              <v:path gradientshapeok="t" o:connecttype="rect"/>
            </v:shapetype>
            <v:shape id="Text Box 4" o:spid="_x0000_s1027" type="#_x0000_t202" alt="Socialinės apsaugos ir darbo ministerija bei pavaldžios įstaigos | Viešam naudojimui" style="position:absolute;left:0;text-align:left;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3rF5mtgIAAAYFAAAOAAAAZHJzL2Uyb0RvYy54bWysVEtu2zAQ3RfoHQjuHcmqXMdG5ECxo6JA kARw2qwpirIZiB+QtKX0c46ue4LeoKvkXh1SVtqmXRXdUMOZ4Xzf08lpJxq0Z8ZyJTM8PooxYpKq istNht/dFKNjjKwjsiKNkizD98zi08XLFyetnrNEbVVTMYMgiLTzVmd465yeR5GlWyaIPVKaSTDW ygji4Go2UWVIC9FFEyVx/Dpqlam0UZRZC9pVb8SLEL+uGXVXdW2ZQ02GoTYXThPO0p/R4oTMN4bo LaeHMsg/VCEIl5D0KdSKOIJ2hv8RSnBqlFW1O6JKRKquOWWhB+hmHD/rZr0lmoVeYDhWP43J/r+w 9HJ/bRCvYHdJGsezaZLAxiQRsKsb1jl0pjqUYlQxS2Fsa0U5abh8+GIR0ZbsNsoiblBFTKmQ4JJb xwy/I6hkHGmyJ031+J2D08M3gAH37p/Qe84evxIBaXaVuuNix8PsIN2FdX6KPnGY3sdJfp6OizwZ LeOiGKXpNB7NzlbpaFLkq2V+PF2enSef/Raj8Cq8j1pt56ExD4MgrjV06TpoBhr17l5vQemzdbUR /gvbQGAHmNw/QcNXQkGZHiez8XSCEQXbq3SSpgE7kHV4rY11b5gSyAsZNgC90BXZQ1F9gYOLTyZV wZsmwK+RvykgpteELvoSfbGuK7t+T0P5paruoSujelBbTQsOqS+IddfEAIqhEWCmu4KjblSbYXWQ MNoq8+Fveu8P4AIrRi2wIsMSaItR81YC6JIJQMSzKNxAMINQBmE8iyfeLndiqYBwY+C+pkH0zq4Z xNoocQvEzX02MBFJIWeGy0Fcup6jQHzK8jw4AWE0cRdyrakP7WfmB3rT3RKjD1N3sK9LNfCGzJ8N v/f1L63Odw5WEDbj59tP8zB2IFtA1OHH4Nn86z14/fx9LX4AAAD//wMAUEsDBBQABgAIAAAAIQC1 uX0e2wAAAAQBAAAPAAAAZHJzL2Rvd25yZXYueG1sTI/NbsIwEITvlXgHa5F6K04RpCiNgxD9Ua9N K5WjEy9xRLwO8QLp29fthV5WGs1o5tt8PbpOnHEIrScF97MEBFLtTUuNgs+Pl7sViMCajO48oYJv DLAuJje5zoy/0DueS25ELKGQaQWWuc+kDLVFp8PM90jR2/vBaY5yaKQZ9CWWu07OkySVTrcUF6zu cWuxPpQnpyB9et3Y/ivdHffz8BYqf+DSPyt1Ox03jyAYR76G4Rc/okMRmSp/IhNEpyA+wn83eg9p sgRRKVguFiCLXP6HL34AAAD//wMAUEsBAi0AFAAGAAgAAAAhALaDOJL+AAAA4QEAABMAAAAAAAAA AAAAAAAAAAAAAFtDb250ZW50X1R5cGVzXS54bWxQSwECLQAUAAYACAAAACEAOP0h/9YAAACUAQAA CwAAAAAAAAAAAAAAAAAvAQAAX3JlbHMvLnJlbHNQSwECLQAUAAYACAAAACEAd6xeZrYCAAAGBQAA DgAAAAAAAAAAAAAAAAAuAgAAZHJzL2Uyb0RvYy54bWxQSwECLQAUAAYACAAAACEAtbl9HtsAAAAE AQAADwAAAAAAAAAAAAAAAAAQBQAAZHJzL2Rvd25yZXYueG1sUEsFBgAAAAAEAAQA8wAAABgGAAAA AA== " filled="f" stroked="f">
              <v:textbox style="mso-fit-shape-to-text:t" inset="20pt,0,0,15pt">
                <w:txbxContent>
                  <w:p w14:paraId="7710E081" w14:textId="5D81A6D4">
                    <w:pPr>
                      <w:jc w:val="both"/>
                      <w:rPr>
                        <w:rFonts w:ascii="Aptos" w:hAnsi="Aptos" w:eastAsia="Aptos" w:cs="Aptos"/>
                        <w:color w:val="000000"/>
                        <w:sz w:val="20"/>
                        <w:lang w:eastAsia="lt-LT"/>
                      </w:rPr>
                    </w:pPr>
                    <w:r>
                      <w:rPr>
                        <w:rFonts w:ascii="Aptos" w:hAnsi="Aptos" w:eastAsia="Aptos" w:cs="Aptos"/>
                        <w:color w:val="000000"/>
                        <w:sz w:val="20"/>
                        <w:lang w:eastAsia="lt-LT"/>
                      </w:rPr>
                      <w:t>Socialinės apsaugos ir darbo ministerija bei pavaldžios įstaigos | Viešam naudojimui</w:t>
                    </w: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lang w:eastAsia="lt-LT"/>
        </w:rPr>
      </w:pPr>
      <w:r>
        <w:rPr>
          <w:lang w:eastAsia="lt-LT"/>
        </w:rPr>
        <w:separator/>
      </w:r>
    </w:p>
  </w:footnote>
  <w:footnote w:type="continuationSeparator" w:id="0">
    <w:p>
      <w:pPr>
        <w:jc w:val="both"/>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jc w:val="both"/>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57"/>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D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3CE988B8-C068-4D86-86C6-0FA9566D6CB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1173649">
      <w:bodyDiv w:val="1"/>
      <w:marLeft w:val="0"/>
      <w:marRight w:val="0"/>
      <w:marTop w:val="0"/>
      <w:marBottom w:val="0"/>
      <w:divBdr>
        <w:top w:val="none" w:sz="0" w:space="0" w:color="auto"/>
        <w:left w:val="none" w:sz="0" w:space="0" w:color="auto"/>
        <w:bottom w:val="none" w:sz="0" w:space="0" w:color="auto"/>
        <w:right w:val="none" w:sz="0" w:space="0" w:color="auto"/>
      </w:divBdr>
    </w:div>
    <w:div w:id="64649742">
      <w:bodyDiv w:val="1"/>
      <w:marLeft w:val="0"/>
      <w:marRight w:val="0"/>
      <w:marTop w:val="0"/>
      <w:marBottom w:val="0"/>
      <w:divBdr>
        <w:top w:val="none" w:sz="0" w:space="0" w:color="auto"/>
        <w:left w:val="none" w:sz="0" w:space="0" w:color="auto"/>
        <w:bottom w:val="none" w:sz="0" w:space="0" w:color="auto"/>
        <w:right w:val="none" w:sz="0" w:space="0" w:color="auto"/>
      </w:divBdr>
      <w:divsChild>
        <w:div w:id="1942643616">
          <w:marLeft w:val="0"/>
          <w:marRight w:val="0"/>
          <w:marTop w:val="0"/>
          <w:marBottom w:val="0"/>
          <w:divBdr>
            <w:top w:val="none" w:sz="0" w:space="0" w:color="auto"/>
            <w:left w:val="none" w:sz="0" w:space="0" w:color="auto"/>
            <w:bottom w:val="none" w:sz="0" w:space="0" w:color="auto"/>
            <w:right w:val="none" w:sz="0" w:space="0" w:color="auto"/>
          </w:divBdr>
        </w:div>
      </w:divsChild>
    </w:div>
    <w:div w:id="83306238">
      <w:bodyDiv w:val="1"/>
      <w:marLeft w:val="0"/>
      <w:marRight w:val="0"/>
      <w:marTop w:val="0"/>
      <w:marBottom w:val="0"/>
      <w:divBdr>
        <w:top w:val="none" w:sz="0" w:space="0" w:color="auto"/>
        <w:left w:val="none" w:sz="0" w:space="0" w:color="auto"/>
        <w:bottom w:val="none" w:sz="0" w:space="0" w:color="auto"/>
        <w:right w:val="none" w:sz="0" w:space="0" w:color="auto"/>
      </w:divBdr>
    </w:div>
    <w:div w:id="100880481">
      <w:bodyDiv w:val="1"/>
      <w:marLeft w:val="0"/>
      <w:marRight w:val="0"/>
      <w:marTop w:val="0"/>
      <w:marBottom w:val="0"/>
      <w:divBdr>
        <w:top w:val="none" w:sz="0" w:space="0" w:color="auto"/>
        <w:left w:val="none" w:sz="0" w:space="0" w:color="auto"/>
        <w:bottom w:val="none" w:sz="0" w:space="0" w:color="auto"/>
        <w:right w:val="none" w:sz="0" w:space="0" w:color="auto"/>
      </w:divBdr>
    </w:div>
    <w:div w:id="143552429">
      <w:bodyDiv w:val="1"/>
      <w:marLeft w:val="0"/>
      <w:marRight w:val="0"/>
      <w:marTop w:val="0"/>
      <w:marBottom w:val="0"/>
      <w:divBdr>
        <w:top w:val="none" w:sz="0" w:space="0" w:color="auto"/>
        <w:left w:val="none" w:sz="0" w:space="0" w:color="auto"/>
        <w:bottom w:val="none" w:sz="0" w:space="0" w:color="auto"/>
        <w:right w:val="none" w:sz="0" w:space="0" w:color="auto"/>
      </w:divBdr>
    </w:div>
    <w:div w:id="165556016">
      <w:bodyDiv w:val="1"/>
      <w:marLeft w:val="0"/>
      <w:marRight w:val="0"/>
      <w:marTop w:val="0"/>
      <w:marBottom w:val="0"/>
      <w:divBdr>
        <w:top w:val="none" w:sz="0" w:space="0" w:color="auto"/>
        <w:left w:val="none" w:sz="0" w:space="0" w:color="auto"/>
        <w:bottom w:val="none" w:sz="0" w:space="0" w:color="auto"/>
        <w:right w:val="none" w:sz="0" w:space="0" w:color="auto"/>
      </w:divBdr>
      <w:divsChild>
        <w:div w:id="1584951147">
          <w:marLeft w:val="0"/>
          <w:marRight w:val="0"/>
          <w:marTop w:val="0"/>
          <w:marBottom w:val="0"/>
          <w:divBdr>
            <w:top w:val="none" w:sz="0" w:space="0" w:color="auto"/>
            <w:left w:val="none" w:sz="0" w:space="0" w:color="auto"/>
            <w:bottom w:val="none" w:sz="0" w:space="0" w:color="auto"/>
            <w:right w:val="none" w:sz="0" w:space="0" w:color="auto"/>
          </w:divBdr>
        </w:div>
      </w:divsChild>
    </w:div>
    <w:div w:id="251818703">
      <w:bodyDiv w:val="1"/>
      <w:marLeft w:val="0"/>
      <w:marRight w:val="0"/>
      <w:marTop w:val="0"/>
      <w:marBottom w:val="0"/>
      <w:divBdr>
        <w:top w:val="none" w:sz="0" w:space="0" w:color="auto"/>
        <w:left w:val="none" w:sz="0" w:space="0" w:color="auto"/>
        <w:bottom w:val="none" w:sz="0" w:space="0" w:color="auto"/>
        <w:right w:val="none" w:sz="0" w:space="0" w:color="auto"/>
      </w:divBdr>
    </w:div>
    <w:div w:id="363677068">
      <w:bodyDiv w:val="1"/>
      <w:marLeft w:val="0"/>
      <w:marRight w:val="0"/>
      <w:marTop w:val="0"/>
      <w:marBottom w:val="0"/>
      <w:divBdr>
        <w:top w:val="none" w:sz="0" w:space="0" w:color="auto"/>
        <w:left w:val="none" w:sz="0" w:space="0" w:color="auto"/>
        <w:bottom w:val="none" w:sz="0" w:space="0" w:color="auto"/>
        <w:right w:val="none" w:sz="0" w:space="0" w:color="auto"/>
      </w:divBdr>
    </w:div>
    <w:div w:id="379014474">
      <w:bodyDiv w:val="1"/>
      <w:marLeft w:val="0"/>
      <w:marRight w:val="0"/>
      <w:marTop w:val="0"/>
      <w:marBottom w:val="0"/>
      <w:divBdr>
        <w:top w:val="none" w:sz="0" w:space="0" w:color="auto"/>
        <w:left w:val="none" w:sz="0" w:space="0" w:color="auto"/>
        <w:bottom w:val="none" w:sz="0" w:space="0" w:color="auto"/>
        <w:right w:val="none" w:sz="0" w:space="0" w:color="auto"/>
      </w:divBdr>
    </w:div>
    <w:div w:id="399404078">
      <w:bodyDiv w:val="1"/>
      <w:marLeft w:val="0"/>
      <w:marRight w:val="0"/>
      <w:marTop w:val="0"/>
      <w:marBottom w:val="0"/>
      <w:divBdr>
        <w:top w:val="none" w:sz="0" w:space="0" w:color="auto"/>
        <w:left w:val="none" w:sz="0" w:space="0" w:color="auto"/>
        <w:bottom w:val="none" w:sz="0" w:space="0" w:color="auto"/>
        <w:right w:val="none" w:sz="0" w:space="0" w:color="auto"/>
      </w:divBdr>
    </w:div>
    <w:div w:id="512456679">
      <w:bodyDiv w:val="1"/>
      <w:marLeft w:val="0"/>
      <w:marRight w:val="0"/>
      <w:marTop w:val="0"/>
      <w:marBottom w:val="0"/>
      <w:divBdr>
        <w:top w:val="none" w:sz="0" w:space="0" w:color="auto"/>
        <w:left w:val="none" w:sz="0" w:space="0" w:color="auto"/>
        <w:bottom w:val="none" w:sz="0" w:space="0" w:color="auto"/>
        <w:right w:val="none" w:sz="0" w:space="0" w:color="auto"/>
      </w:divBdr>
    </w:div>
    <w:div w:id="524295577">
      <w:bodyDiv w:val="1"/>
      <w:marLeft w:val="0"/>
      <w:marRight w:val="0"/>
      <w:marTop w:val="0"/>
      <w:marBottom w:val="0"/>
      <w:divBdr>
        <w:top w:val="none" w:sz="0" w:space="0" w:color="auto"/>
        <w:left w:val="none" w:sz="0" w:space="0" w:color="auto"/>
        <w:bottom w:val="none" w:sz="0" w:space="0" w:color="auto"/>
        <w:right w:val="none" w:sz="0" w:space="0" w:color="auto"/>
      </w:divBdr>
    </w:div>
    <w:div w:id="569079116">
      <w:bodyDiv w:val="1"/>
      <w:marLeft w:val="0"/>
      <w:marRight w:val="0"/>
      <w:marTop w:val="0"/>
      <w:marBottom w:val="0"/>
      <w:divBdr>
        <w:top w:val="none" w:sz="0" w:space="0" w:color="auto"/>
        <w:left w:val="none" w:sz="0" w:space="0" w:color="auto"/>
        <w:bottom w:val="none" w:sz="0" w:space="0" w:color="auto"/>
        <w:right w:val="none" w:sz="0" w:space="0" w:color="auto"/>
      </w:divBdr>
    </w:div>
    <w:div w:id="672605878">
      <w:bodyDiv w:val="1"/>
      <w:marLeft w:val="0"/>
      <w:marRight w:val="0"/>
      <w:marTop w:val="0"/>
      <w:marBottom w:val="0"/>
      <w:divBdr>
        <w:top w:val="none" w:sz="0" w:space="0" w:color="auto"/>
        <w:left w:val="none" w:sz="0" w:space="0" w:color="auto"/>
        <w:bottom w:val="none" w:sz="0" w:space="0" w:color="auto"/>
        <w:right w:val="none" w:sz="0" w:space="0" w:color="auto"/>
      </w:divBdr>
    </w:div>
    <w:div w:id="679280687">
      <w:bodyDiv w:val="1"/>
      <w:marLeft w:val="0"/>
      <w:marRight w:val="0"/>
      <w:marTop w:val="0"/>
      <w:marBottom w:val="0"/>
      <w:divBdr>
        <w:top w:val="none" w:sz="0" w:space="0" w:color="auto"/>
        <w:left w:val="none" w:sz="0" w:space="0" w:color="auto"/>
        <w:bottom w:val="none" w:sz="0" w:space="0" w:color="auto"/>
        <w:right w:val="none" w:sz="0" w:space="0" w:color="auto"/>
      </w:divBdr>
      <w:divsChild>
        <w:div w:id="1021206562">
          <w:marLeft w:val="0"/>
          <w:marRight w:val="0"/>
          <w:marTop w:val="0"/>
          <w:marBottom w:val="0"/>
          <w:divBdr>
            <w:top w:val="none" w:sz="0" w:space="0" w:color="auto"/>
            <w:left w:val="none" w:sz="0" w:space="0" w:color="auto"/>
            <w:bottom w:val="none" w:sz="0" w:space="0" w:color="auto"/>
            <w:right w:val="none" w:sz="0" w:space="0" w:color="auto"/>
          </w:divBdr>
        </w:div>
      </w:divsChild>
    </w:div>
    <w:div w:id="721708559">
      <w:bodyDiv w:val="1"/>
      <w:marLeft w:val="0"/>
      <w:marRight w:val="0"/>
      <w:marTop w:val="0"/>
      <w:marBottom w:val="0"/>
      <w:divBdr>
        <w:top w:val="none" w:sz="0" w:space="0" w:color="auto"/>
        <w:left w:val="none" w:sz="0" w:space="0" w:color="auto"/>
        <w:bottom w:val="none" w:sz="0" w:space="0" w:color="auto"/>
        <w:right w:val="none" w:sz="0" w:space="0" w:color="auto"/>
      </w:divBdr>
    </w:div>
    <w:div w:id="758063538">
      <w:bodyDiv w:val="1"/>
      <w:marLeft w:val="0"/>
      <w:marRight w:val="0"/>
      <w:marTop w:val="0"/>
      <w:marBottom w:val="0"/>
      <w:divBdr>
        <w:top w:val="none" w:sz="0" w:space="0" w:color="auto"/>
        <w:left w:val="none" w:sz="0" w:space="0" w:color="auto"/>
        <w:bottom w:val="none" w:sz="0" w:space="0" w:color="auto"/>
        <w:right w:val="none" w:sz="0" w:space="0" w:color="auto"/>
      </w:divBdr>
    </w:div>
    <w:div w:id="780151353">
      <w:bodyDiv w:val="1"/>
      <w:marLeft w:val="0"/>
      <w:marRight w:val="0"/>
      <w:marTop w:val="0"/>
      <w:marBottom w:val="0"/>
      <w:divBdr>
        <w:top w:val="none" w:sz="0" w:space="0" w:color="auto"/>
        <w:left w:val="none" w:sz="0" w:space="0" w:color="auto"/>
        <w:bottom w:val="none" w:sz="0" w:space="0" w:color="auto"/>
        <w:right w:val="none" w:sz="0" w:space="0" w:color="auto"/>
      </w:divBdr>
    </w:div>
    <w:div w:id="825707248">
      <w:bodyDiv w:val="1"/>
      <w:marLeft w:val="0"/>
      <w:marRight w:val="0"/>
      <w:marTop w:val="0"/>
      <w:marBottom w:val="0"/>
      <w:divBdr>
        <w:top w:val="none" w:sz="0" w:space="0" w:color="auto"/>
        <w:left w:val="none" w:sz="0" w:space="0" w:color="auto"/>
        <w:bottom w:val="none" w:sz="0" w:space="0" w:color="auto"/>
        <w:right w:val="none" w:sz="0" w:space="0" w:color="auto"/>
      </w:divBdr>
    </w:div>
    <w:div w:id="911817584">
      <w:bodyDiv w:val="1"/>
      <w:marLeft w:val="0"/>
      <w:marRight w:val="0"/>
      <w:marTop w:val="0"/>
      <w:marBottom w:val="0"/>
      <w:divBdr>
        <w:top w:val="none" w:sz="0" w:space="0" w:color="auto"/>
        <w:left w:val="none" w:sz="0" w:space="0" w:color="auto"/>
        <w:bottom w:val="none" w:sz="0" w:space="0" w:color="auto"/>
        <w:right w:val="none" w:sz="0" w:space="0" w:color="auto"/>
      </w:divBdr>
    </w:div>
    <w:div w:id="930049327">
      <w:bodyDiv w:val="1"/>
      <w:marLeft w:val="0"/>
      <w:marRight w:val="0"/>
      <w:marTop w:val="0"/>
      <w:marBottom w:val="0"/>
      <w:divBdr>
        <w:top w:val="none" w:sz="0" w:space="0" w:color="auto"/>
        <w:left w:val="none" w:sz="0" w:space="0" w:color="auto"/>
        <w:bottom w:val="none" w:sz="0" w:space="0" w:color="auto"/>
        <w:right w:val="none" w:sz="0" w:space="0" w:color="auto"/>
      </w:divBdr>
      <w:divsChild>
        <w:div w:id="40181303">
          <w:marLeft w:val="0"/>
          <w:marRight w:val="0"/>
          <w:marTop w:val="0"/>
          <w:marBottom w:val="0"/>
          <w:divBdr>
            <w:top w:val="none" w:sz="0" w:space="0" w:color="auto"/>
            <w:left w:val="none" w:sz="0" w:space="0" w:color="auto"/>
            <w:bottom w:val="none" w:sz="0" w:space="0" w:color="auto"/>
            <w:right w:val="none" w:sz="0" w:space="0" w:color="auto"/>
          </w:divBdr>
        </w:div>
      </w:divsChild>
    </w:div>
    <w:div w:id="984427469">
      <w:bodyDiv w:val="1"/>
      <w:marLeft w:val="0"/>
      <w:marRight w:val="0"/>
      <w:marTop w:val="0"/>
      <w:marBottom w:val="0"/>
      <w:divBdr>
        <w:top w:val="none" w:sz="0" w:space="0" w:color="auto"/>
        <w:left w:val="none" w:sz="0" w:space="0" w:color="auto"/>
        <w:bottom w:val="none" w:sz="0" w:space="0" w:color="auto"/>
        <w:right w:val="none" w:sz="0" w:space="0" w:color="auto"/>
      </w:divBdr>
      <w:divsChild>
        <w:div w:id="806356076">
          <w:marLeft w:val="0"/>
          <w:marRight w:val="0"/>
          <w:marTop w:val="0"/>
          <w:marBottom w:val="0"/>
          <w:divBdr>
            <w:top w:val="none" w:sz="0" w:space="0" w:color="auto"/>
            <w:left w:val="none" w:sz="0" w:space="0" w:color="auto"/>
            <w:bottom w:val="none" w:sz="0" w:space="0" w:color="auto"/>
            <w:right w:val="none" w:sz="0" w:space="0" w:color="auto"/>
          </w:divBdr>
          <w:divsChild>
            <w:div w:id="1828133530">
              <w:marLeft w:val="0"/>
              <w:marRight w:val="0"/>
              <w:marTop w:val="0"/>
              <w:marBottom w:val="0"/>
              <w:divBdr>
                <w:top w:val="none" w:sz="0" w:space="0" w:color="auto"/>
                <w:left w:val="none" w:sz="0" w:space="0" w:color="auto"/>
                <w:bottom w:val="none" w:sz="0" w:space="0" w:color="auto"/>
                <w:right w:val="none" w:sz="0" w:space="0" w:color="auto"/>
              </w:divBdr>
            </w:div>
            <w:div w:id="159122148">
              <w:marLeft w:val="0"/>
              <w:marRight w:val="0"/>
              <w:marTop w:val="0"/>
              <w:marBottom w:val="0"/>
              <w:divBdr>
                <w:top w:val="none" w:sz="0" w:space="0" w:color="auto"/>
                <w:left w:val="none" w:sz="0" w:space="0" w:color="auto"/>
                <w:bottom w:val="none" w:sz="0" w:space="0" w:color="auto"/>
                <w:right w:val="none" w:sz="0" w:space="0" w:color="auto"/>
              </w:divBdr>
            </w:div>
            <w:div w:id="1667978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022673">
      <w:bodyDiv w:val="1"/>
      <w:marLeft w:val="0"/>
      <w:marRight w:val="0"/>
      <w:marTop w:val="0"/>
      <w:marBottom w:val="0"/>
      <w:divBdr>
        <w:top w:val="none" w:sz="0" w:space="0" w:color="auto"/>
        <w:left w:val="none" w:sz="0" w:space="0" w:color="auto"/>
        <w:bottom w:val="none" w:sz="0" w:space="0" w:color="auto"/>
        <w:right w:val="none" w:sz="0" w:space="0" w:color="auto"/>
      </w:divBdr>
      <w:divsChild>
        <w:div w:id="2104952987">
          <w:marLeft w:val="0"/>
          <w:marRight w:val="0"/>
          <w:marTop w:val="0"/>
          <w:marBottom w:val="0"/>
          <w:divBdr>
            <w:top w:val="none" w:sz="0" w:space="0" w:color="auto"/>
            <w:left w:val="none" w:sz="0" w:space="0" w:color="auto"/>
            <w:bottom w:val="none" w:sz="0" w:space="0" w:color="auto"/>
            <w:right w:val="none" w:sz="0" w:space="0" w:color="auto"/>
          </w:divBdr>
          <w:divsChild>
            <w:div w:id="209731975">
              <w:marLeft w:val="0"/>
              <w:marRight w:val="0"/>
              <w:marTop w:val="0"/>
              <w:marBottom w:val="0"/>
              <w:divBdr>
                <w:top w:val="none" w:sz="0" w:space="0" w:color="auto"/>
                <w:left w:val="none" w:sz="0" w:space="0" w:color="auto"/>
                <w:bottom w:val="none" w:sz="0" w:space="0" w:color="auto"/>
                <w:right w:val="none" w:sz="0" w:space="0" w:color="auto"/>
              </w:divBdr>
            </w:div>
            <w:div w:id="1723478646">
              <w:marLeft w:val="0"/>
              <w:marRight w:val="0"/>
              <w:marTop w:val="0"/>
              <w:marBottom w:val="0"/>
              <w:divBdr>
                <w:top w:val="none" w:sz="0" w:space="0" w:color="auto"/>
                <w:left w:val="none" w:sz="0" w:space="0" w:color="auto"/>
                <w:bottom w:val="none" w:sz="0" w:space="0" w:color="auto"/>
                <w:right w:val="none" w:sz="0" w:space="0" w:color="auto"/>
              </w:divBdr>
            </w:div>
            <w:div w:id="26831338">
              <w:marLeft w:val="0"/>
              <w:marRight w:val="0"/>
              <w:marTop w:val="0"/>
              <w:marBottom w:val="0"/>
              <w:divBdr>
                <w:top w:val="none" w:sz="0" w:space="0" w:color="auto"/>
                <w:left w:val="none" w:sz="0" w:space="0" w:color="auto"/>
                <w:bottom w:val="none" w:sz="0" w:space="0" w:color="auto"/>
                <w:right w:val="none" w:sz="0" w:space="0" w:color="auto"/>
              </w:divBdr>
            </w:div>
            <w:div w:id="1269583154">
              <w:marLeft w:val="0"/>
              <w:marRight w:val="0"/>
              <w:marTop w:val="0"/>
              <w:marBottom w:val="0"/>
              <w:divBdr>
                <w:top w:val="none" w:sz="0" w:space="0" w:color="auto"/>
                <w:left w:val="none" w:sz="0" w:space="0" w:color="auto"/>
                <w:bottom w:val="none" w:sz="0" w:space="0" w:color="auto"/>
                <w:right w:val="none" w:sz="0" w:space="0" w:color="auto"/>
              </w:divBdr>
            </w:div>
            <w:div w:id="57640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967773">
      <w:bodyDiv w:val="1"/>
      <w:marLeft w:val="0"/>
      <w:marRight w:val="0"/>
      <w:marTop w:val="0"/>
      <w:marBottom w:val="0"/>
      <w:divBdr>
        <w:top w:val="none" w:sz="0" w:space="0" w:color="auto"/>
        <w:left w:val="none" w:sz="0" w:space="0" w:color="auto"/>
        <w:bottom w:val="none" w:sz="0" w:space="0" w:color="auto"/>
        <w:right w:val="none" w:sz="0" w:space="0" w:color="auto"/>
      </w:divBdr>
    </w:div>
    <w:div w:id="1307934535">
      <w:bodyDiv w:val="1"/>
      <w:marLeft w:val="0"/>
      <w:marRight w:val="0"/>
      <w:marTop w:val="0"/>
      <w:marBottom w:val="0"/>
      <w:divBdr>
        <w:top w:val="none" w:sz="0" w:space="0" w:color="auto"/>
        <w:left w:val="none" w:sz="0" w:space="0" w:color="auto"/>
        <w:bottom w:val="none" w:sz="0" w:space="0" w:color="auto"/>
        <w:right w:val="none" w:sz="0" w:space="0" w:color="auto"/>
      </w:divBdr>
    </w:div>
    <w:div w:id="1387947949">
      <w:bodyDiv w:val="1"/>
      <w:marLeft w:val="0"/>
      <w:marRight w:val="0"/>
      <w:marTop w:val="0"/>
      <w:marBottom w:val="0"/>
      <w:divBdr>
        <w:top w:val="none" w:sz="0" w:space="0" w:color="auto"/>
        <w:left w:val="none" w:sz="0" w:space="0" w:color="auto"/>
        <w:bottom w:val="none" w:sz="0" w:space="0" w:color="auto"/>
        <w:right w:val="none" w:sz="0" w:space="0" w:color="auto"/>
      </w:divBdr>
    </w:div>
    <w:div w:id="1485971870">
      <w:bodyDiv w:val="1"/>
      <w:marLeft w:val="0"/>
      <w:marRight w:val="0"/>
      <w:marTop w:val="0"/>
      <w:marBottom w:val="0"/>
      <w:divBdr>
        <w:top w:val="none" w:sz="0" w:space="0" w:color="auto"/>
        <w:left w:val="none" w:sz="0" w:space="0" w:color="auto"/>
        <w:bottom w:val="none" w:sz="0" w:space="0" w:color="auto"/>
        <w:right w:val="none" w:sz="0" w:space="0" w:color="auto"/>
      </w:divBdr>
    </w:div>
    <w:div w:id="1515800541">
      <w:bodyDiv w:val="1"/>
      <w:marLeft w:val="0"/>
      <w:marRight w:val="0"/>
      <w:marTop w:val="0"/>
      <w:marBottom w:val="0"/>
      <w:divBdr>
        <w:top w:val="none" w:sz="0" w:space="0" w:color="auto"/>
        <w:left w:val="none" w:sz="0" w:space="0" w:color="auto"/>
        <w:bottom w:val="none" w:sz="0" w:space="0" w:color="auto"/>
        <w:right w:val="none" w:sz="0" w:space="0" w:color="auto"/>
      </w:divBdr>
    </w:div>
    <w:div w:id="1635401122">
      <w:bodyDiv w:val="1"/>
      <w:marLeft w:val="0"/>
      <w:marRight w:val="0"/>
      <w:marTop w:val="0"/>
      <w:marBottom w:val="0"/>
      <w:divBdr>
        <w:top w:val="none" w:sz="0" w:space="0" w:color="auto"/>
        <w:left w:val="none" w:sz="0" w:space="0" w:color="auto"/>
        <w:bottom w:val="none" w:sz="0" w:space="0" w:color="auto"/>
        <w:right w:val="none" w:sz="0" w:space="0" w:color="auto"/>
      </w:divBdr>
    </w:div>
    <w:div w:id="1654797487">
      <w:bodyDiv w:val="1"/>
      <w:marLeft w:val="0"/>
      <w:marRight w:val="0"/>
      <w:marTop w:val="0"/>
      <w:marBottom w:val="0"/>
      <w:divBdr>
        <w:top w:val="none" w:sz="0" w:space="0" w:color="auto"/>
        <w:left w:val="none" w:sz="0" w:space="0" w:color="auto"/>
        <w:bottom w:val="none" w:sz="0" w:space="0" w:color="auto"/>
        <w:right w:val="none" w:sz="0" w:space="0" w:color="auto"/>
      </w:divBdr>
    </w:div>
    <w:div w:id="1675837165">
      <w:bodyDiv w:val="1"/>
      <w:marLeft w:val="0"/>
      <w:marRight w:val="0"/>
      <w:marTop w:val="0"/>
      <w:marBottom w:val="0"/>
      <w:divBdr>
        <w:top w:val="none" w:sz="0" w:space="0" w:color="auto"/>
        <w:left w:val="none" w:sz="0" w:space="0" w:color="auto"/>
        <w:bottom w:val="none" w:sz="0" w:space="0" w:color="auto"/>
        <w:right w:val="none" w:sz="0" w:space="0" w:color="auto"/>
      </w:divBdr>
    </w:div>
    <w:div w:id="1682001629">
      <w:bodyDiv w:val="1"/>
      <w:marLeft w:val="0"/>
      <w:marRight w:val="0"/>
      <w:marTop w:val="0"/>
      <w:marBottom w:val="0"/>
      <w:divBdr>
        <w:top w:val="none" w:sz="0" w:space="0" w:color="auto"/>
        <w:left w:val="none" w:sz="0" w:space="0" w:color="auto"/>
        <w:bottom w:val="none" w:sz="0" w:space="0" w:color="auto"/>
        <w:right w:val="none" w:sz="0" w:space="0" w:color="auto"/>
      </w:divBdr>
      <w:divsChild>
        <w:div w:id="1440492469">
          <w:marLeft w:val="3"/>
          <w:marRight w:val="3"/>
          <w:marTop w:val="0"/>
          <w:marBottom w:val="0"/>
          <w:divBdr>
            <w:top w:val="single" w:sz="6" w:space="0" w:color="112449"/>
            <w:left w:val="single" w:sz="6" w:space="0" w:color="112449"/>
            <w:bottom w:val="single" w:sz="6" w:space="0" w:color="112449"/>
            <w:right w:val="single" w:sz="6" w:space="0" w:color="112449"/>
          </w:divBdr>
          <w:divsChild>
            <w:div w:id="1243680925">
              <w:marLeft w:val="3"/>
              <w:marRight w:val="3"/>
              <w:marTop w:val="0"/>
              <w:marBottom w:val="0"/>
              <w:divBdr>
                <w:top w:val="single" w:sz="6" w:space="0" w:color="112449"/>
                <w:left w:val="single" w:sz="6" w:space="0" w:color="112449"/>
                <w:bottom w:val="single" w:sz="6" w:space="0" w:color="112449"/>
                <w:right w:val="single" w:sz="6" w:space="0" w:color="112449"/>
              </w:divBdr>
            </w:div>
          </w:divsChild>
        </w:div>
      </w:divsChild>
    </w:div>
    <w:div w:id="1844204574">
      <w:bodyDiv w:val="1"/>
      <w:marLeft w:val="0"/>
      <w:marRight w:val="0"/>
      <w:marTop w:val="0"/>
      <w:marBottom w:val="0"/>
      <w:divBdr>
        <w:top w:val="none" w:sz="0" w:space="0" w:color="auto"/>
        <w:left w:val="none" w:sz="0" w:space="0" w:color="auto"/>
        <w:bottom w:val="none" w:sz="0" w:space="0" w:color="auto"/>
        <w:right w:val="none" w:sz="0" w:space="0" w:color="auto"/>
      </w:divBdr>
    </w:div>
    <w:div w:id="1883714398">
      <w:bodyDiv w:val="1"/>
      <w:marLeft w:val="0"/>
      <w:marRight w:val="0"/>
      <w:marTop w:val="0"/>
      <w:marBottom w:val="0"/>
      <w:divBdr>
        <w:top w:val="none" w:sz="0" w:space="0" w:color="auto"/>
        <w:left w:val="none" w:sz="0" w:space="0" w:color="auto"/>
        <w:bottom w:val="none" w:sz="0" w:space="0" w:color="auto"/>
        <w:right w:val="none" w:sz="0" w:space="0" w:color="auto"/>
      </w:divBdr>
    </w:div>
    <w:div w:id="201025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f253c38000e511ed8fa7d02a65c371ad"/>
  <Relationship Id="rId11" Type="http://schemas.openxmlformats.org/officeDocument/2006/relationships/hyperlink" TargetMode="External" Target="https://www.e-tar.lt/portal/legalAct.html?documentId=eb089c202ed011efbdaea558de59136c"/>
  <Relationship Id="rId12" Type="http://schemas.openxmlformats.org/officeDocument/2006/relationships/hyperlink" TargetMode="External" Target="https://www.e-tar.lt/portal/legalAct.html?documentId=936c2fc0a5a111ea9515f752ff221ec9"/>
  <Relationship Id="rId13" Type="http://schemas.openxmlformats.org/officeDocument/2006/relationships/hyperlink" TargetMode="External" Target="https://www.e-tar.lt/portal/legalAct.html?documentId=3adc163291f211efa605b9842742bf37"/>
  <Relationship Id="rId14" Type="http://schemas.openxmlformats.org/officeDocument/2006/relationships/hyperlink" TargetMode="External" Target="https://www.e-tar.lt/portal/legalAct.html?documentId=936c2fc0a5a111ea9515f752ff221ec9"/>
  <Relationship Id="rId15" Type="http://schemas.openxmlformats.org/officeDocument/2006/relationships/hyperlink" TargetMode="External" Target="https://www.e-tar.lt/portal/legalAct.html?documentId=f253c38000e511ed8fa7d02a65c371ad"/>
  <Relationship Id="rId16" Type="http://schemas.openxmlformats.org/officeDocument/2006/relationships/hyperlink" TargetMode="External" Target="https://www.e-tar.lt/portal/legalAct.html?documentId=f253c38000e511ed8fa7d02a65c371ad"/>
  <Relationship Id="rId17" Type="http://schemas.openxmlformats.org/officeDocument/2006/relationships/hyperlink" TargetMode="External" Target="https://www.e-tar.lt/portal/legalAct.html?documentId=f253c38000e511ed8fa7d02a65c371ad"/>
  <Relationship Id="rId18" Type="http://schemas.openxmlformats.org/officeDocument/2006/relationships/hyperlink" TargetMode="External" Target="https://www.e-tar.lt/portal/legalAct.html?documentId=eb089c202ed011efbdaea558de59136c"/>
  <Relationship Id="rId19" Type="http://schemas.openxmlformats.org/officeDocument/2006/relationships/hyperlink" TargetMode="External" Target="https://www.e-tar.lt/portal/legalAct.html?documentId=936c2fc0a5a111ea9515f752ff221ec9"/>
  <Relationship Id="rId2" Type="http://schemas.openxmlformats.org/officeDocument/2006/relationships/styles" Target="styles.xml"/>
  <Relationship Id="rId20" Type="http://schemas.openxmlformats.org/officeDocument/2006/relationships/hyperlink" TargetMode="External" Target="https://www.e-tar.lt/portal/legalAct.html?documentId=a959cf4050fe11e7846ef01bfffb9b64"/>
  <Relationship Id="rId21" Type="http://schemas.openxmlformats.org/officeDocument/2006/relationships/hyperlink" TargetMode="External" Target="https://www.e-tar.lt/portal/legalAct.html?documentId=eb089c202ed011efbdaea558de59136c"/>
  <Relationship Id="rId22" Type="http://schemas.openxmlformats.org/officeDocument/2006/relationships/hyperlink" TargetMode="External" Target="https://www.e-tar.lt/portal/legalAct.html?documentId=f253c38000e511ed8fa7d02a65c371ad"/>
  <Relationship Id="rId23" Type="http://schemas.openxmlformats.org/officeDocument/2006/relationships/hyperlink" TargetMode="External" Target="https://www.e-tar.lt/portal/legalAct.html?documentId=f253c38000e511ed8fa7d02a65c371ad"/>
  <Relationship Id="rId24" Type="http://schemas.openxmlformats.org/officeDocument/2006/relationships/hyperlink" TargetMode="External" Target="https://www.e-tar.lt/portal/legalAct.html?documentId=eb089c202ed011efbdaea558de59136c"/>
  <Relationship Id="rId25" Type="http://schemas.openxmlformats.org/officeDocument/2006/relationships/hyperlink" TargetMode="External" Target="https://www.e-tar.lt/portal/legalAct.html?documentId=936c2fc0a5a111ea9515f752ff221ec9"/>
  <Relationship Id="rId26" Type="http://schemas.openxmlformats.org/officeDocument/2006/relationships/hyperlink" TargetMode="External" Target="https://www.e-tar.lt/portal/legalAct.html?documentId=f253c38000e511ed8fa7d02a65c371ad"/>
  <Relationship Id="rId27" Type="http://schemas.openxmlformats.org/officeDocument/2006/relationships/hyperlink" TargetMode="External" Target="https://www.e-tar.lt/portal/legalAct.html?documentId=eb089c202ed011efbdaea558de59136c"/>
  <Relationship Id="rId28" Type="http://schemas.openxmlformats.org/officeDocument/2006/relationships/hyperlink" TargetMode="External" Target="https://www.e-tar.lt/portal/legalAct.html?documentId=eb089c202ed011efbdaea558de59136c"/>
  <Relationship Id="rId29" Type="http://schemas.openxmlformats.org/officeDocument/2006/relationships/hyperlink" TargetMode="External" Target="https://www.e-tar.lt/portal/legalAct.html?documentId=c2670a604ae011e4a8328599cac64d82"/>
  <Relationship Id="rId3" Type="http://schemas.openxmlformats.org/officeDocument/2006/relationships/settings" Target="settings.xml"/>
  <Relationship Id="rId30" Type="http://schemas.openxmlformats.org/officeDocument/2006/relationships/hyperlink" TargetMode="External" Target="https://www.e-tar.lt/portal/legalAct.html?documentId=3799d4f0a54c11eea5a28c81c82193a8"/>
  <Relationship Id="rId31" Type="http://schemas.openxmlformats.org/officeDocument/2006/relationships/hyperlink" TargetMode="External" Target="https://www.e-tar.lt/portal/legalAct.html?documentId=d2df2bb0452f11e78ff8eec6d7a8f58e"/>
  <Relationship Id="rId32" Type="http://schemas.openxmlformats.org/officeDocument/2006/relationships/hyperlink" TargetMode="External" Target="https://www.e-tar.lt/portal/legalAct.html?documentId=d2df2bb0452f11e78ff8eec6d7a8f58e"/>
  <Relationship Id="rId33" Type="http://schemas.openxmlformats.org/officeDocument/2006/relationships/hyperlink" TargetMode="External" Target="https://www.e-tar.lt/portal/legalAct.html?documentId=7c10862000e211ed8fa7d02a65c371ad"/>
  <Relationship Id="rId34" Type="http://schemas.openxmlformats.org/officeDocument/2006/relationships/hyperlink" TargetMode="External" Target="http://www3.lrs.lt/cgi-bin/preps2?Condition1=84376&amp;Condition2="/>
  <Relationship Id="rId35" Type="http://schemas.openxmlformats.org/officeDocument/2006/relationships/hyperlink" TargetMode="External" Target="http://www3.lrs.lt/cgi-bin/preps2?a=245486&amp;b="/>
  <Relationship Id="rId36" Type="http://schemas.openxmlformats.org/officeDocument/2006/relationships/hyperlink" TargetMode="External" Target="http://www3.lrs.lt/cgi-bin/preps2?a=372920&amp;b="/>
  <Relationship Id="rId37" Type="http://schemas.openxmlformats.org/officeDocument/2006/relationships/hyperlink" TargetMode="External" Target="https://www.e-tar.lt/portal/legalAct.html?documentId=623be7b0e87a11ecb369fde863feb27d"/>
  <Relationship Id="rId38" Type="http://schemas.openxmlformats.org/officeDocument/2006/relationships/hyperlink" TargetMode="External" Target="https://www.e-tar.lt/portal/legalAct.html?documentId=8039f8b09a5311eea5a28c81c82193a8"/>
  <Relationship Id="rId39" Type="http://schemas.openxmlformats.org/officeDocument/2006/relationships/hyperlink" TargetMode="External" Target="https://www.e-tar.lt/portal/legalAct.html?documentId=3adc163291f211efa605b9842742bf37"/>
  <Relationship Id="rId4" Type="http://schemas.openxmlformats.org/officeDocument/2006/relationships/webSettings" Target="webSettings.xml"/>
  <Relationship Id="rId40" Type="http://schemas.openxmlformats.org/officeDocument/2006/relationships/hyperlink" TargetMode="External" Target="https://www.e-tar.lt/portal/legalAct.html?documentId=9426f590df2411eb9f09e7df20500045"/>
  <Relationship Id="rId41" Type="http://schemas.openxmlformats.org/officeDocument/2006/relationships/hyperlink" TargetMode="External" Target="https://www.e-tar.lt/portal/legalAct.html?documentId=4c7183600aa511e9a5eaf2cd290f1944"/>
  <Relationship Id="rId42" Type="http://schemas.openxmlformats.org/officeDocument/2006/relationships/hyperlink" TargetMode="External" Target="https://www.e-tar.lt/portal/legalAct.html?documentId=936c2fc0a5a111ea9515f752ff221ec9"/>
  <Relationship Id="rId43" Type="http://schemas.openxmlformats.org/officeDocument/2006/relationships/hyperlink" TargetMode="External" Target="https://www.e-tar.lt/portal/legalAct.html?documentId=f253c38000e511ed8fa7d02a65c371ad"/>
  <Relationship Id="rId44" Type="http://schemas.openxmlformats.org/officeDocument/2006/relationships/hyperlink" TargetMode="External" Target="https://www.e-tar.lt/portal/legalAct.html?documentId=502db2108eb911eea5a28c81c82193a8"/>
  <Relationship Id="rId45" Type="http://schemas.openxmlformats.org/officeDocument/2006/relationships/header" Target="header1.xml"/>
  <Relationship Id="rId46" Type="http://schemas.openxmlformats.org/officeDocument/2006/relationships/footer" Target="footer1.xml"/>
  <Relationship Id="rId47" Type="http://schemas.openxmlformats.org/officeDocument/2006/relationships/footer" Target="footer2.xml"/>
  <Relationship Id="rId48" Type="http://schemas.openxmlformats.org/officeDocument/2006/relationships/footer" Target="footer3.xml"/>
  <Relationship Id="rId49" Type="http://schemas.openxmlformats.org/officeDocument/2006/relationships/fontTable" Target="fontTable.xml"/>
  <Relationship Id="rId5" Type="http://schemas.openxmlformats.org/officeDocument/2006/relationships/footnotes" Target="footnotes.xml"/>
  <Relationship Id="rId50" Type="http://schemas.openxmlformats.org/officeDocument/2006/relationships/theme" Target="theme/theme1.xml"/>
  <Relationship Id="rId51" Type="http://schemas.openxmlformats.org/officeDocument/2006/relationships/customXml" Target="../customXml/item2.xml"/>
  <Relationship Id="rId6" Type="http://schemas.openxmlformats.org/officeDocument/2006/relationships/endnotes" Target="endnotes.xml"/>
  <Relationship Id="rId7" Type="http://schemas.openxmlformats.org/officeDocument/2006/relationships/hyperlink" TargetMode="External" Target="https://www.e-tar.lt/portal/legalAct.html?documentId=936c2fc0a5a111ea9515f752ff221ec9"/>
  <Relationship Id="rId8" Type="http://schemas.openxmlformats.org/officeDocument/2006/relationships/hyperlink" TargetMode="External" Target="https://www.e-tar.lt/portal/legalAct.html?documentId=f253c38000e511ed8fa7d02a65c371ad"/>
  <Relationship Id="rId9" Type="http://schemas.openxmlformats.org/officeDocument/2006/relationships/hyperlink" TargetMode="External" Target="https://www.e-tar.lt/portal/legalAct.html?documentId=f253c38000e511ed8fa7d02a65c371ad"/>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ac4a1075ec7846cd8e5c54a27a5b5004" PartId="f6184322532e4b1ea53b4a5c465f6597"/>
  <Part Type="pastraipa" DocPartId="fe5707a5109f49ad8208df560f2dc006" PartId="818c2d3d24b349c186f0f2a70a58fedb"/>
</Parts>
</file>

<file path=customXml/itemProps1.xml><?xml version="1.0" encoding="utf-8"?>
<ds:datastoreItem xmlns:ds="http://schemas.openxmlformats.org/officeDocument/2006/customXml" ds:itemID="{708DC04A-24A1-434B-B4E4-428618C4BF5E}">
  <ds:schemaRefs>
    <ds:schemaRef ds:uri="http://schemas.openxmlformats.org/officeDocument/2006/bibliography"/>
  </ds:schemaRefs>
</ds:datastoreItem>
</file>

<file path=customXml/itemProps2.xml><?xml version="1.0" encoding="utf-8"?>
<ds:datastoreItem xmlns:ds="http://schemas.openxmlformats.org/officeDocument/2006/customXml" ds:itemID="{07240070-9D13-4F50-A0D7-62A7EBBCF3CF}">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9630</Words>
  <Characters>67609</Characters>
  <Application>Microsoft Office Word</Application>
  <DocSecurity>4</DocSecurity>
  <Lines>1572</Lines>
  <Paragraphs>563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pozicijos Europos Sąjungos institucijose nagrinėjamais klausimais rengimo, derinimo, pristatymo ir Europo</vt:lpstr>
      <vt:lpstr>Lietuvos Respublikos pozicijos Europos Sąjungos institucijose nagrinėjamais klausimais rengimo, derinimo, pristatymo ir Europo</vt:lpstr>
    </vt:vector>
  </TitlesOfParts>
  <Company>NVTAT</Company>
  <LinksUpToDate>false</LinksUpToDate>
  <CharactersWithSpaces>76676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Girma</dc:creator>
  <lastModifiedBy>adlibuser</lastModifiedBy>
  <lastPrinted>2005-11-23T07:04:00Z</lastPrinted>
  <dcterms:modified xsi:type="dcterms:W3CDTF">2026-03-05T11:33:00Z</dcterms:modified>
  <revision>2</revision>
  <dc:title>Lietuvos Respublikos pozicijos Europos Sąjungos institucijose nagrinėjamais klausimais rengimo, derinimo, pristatymo ir Europo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49ea61cc,1350c997,405e0990</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