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8e56ce90a8043a49c93b4abb2d136ea"/>
        <w:lock w:val="sdtLocked"/>
        <w:richText/>
      </w:sdtPr>
      <w:sdtContent>
        <w:p>
          <w:pPr>
            <w:jc w:val="center"/>
            <w:rPr>
              <w:b/>
              <w:lang w:eastAsia="lt-LT"/>
            </w:rPr>
          </w:pPr>
          <w:r>
            <w:rPr>
              <w:b/>
              <w:szCs w:val="24"/>
              <w:lang w:eastAsia="lt-LT"/>
            </w:rPr>
            <w:t xml:space="preserve">DIREKTYVOS 2006/54/EB IR </w:t>
          </w:r>
          <w:r>
            <w:rPr>
              <w:b/>
              <w:lang w:eastAsia="lt-LT"/>
            </w:rPr>
            <w:t xml:space="preserve">NACIONALINIŲ TEISĖS AKTŲ </w:t>
          </w:r>
          <w:r>
            <w:rPr>
              <w:b/>
              <w:szCs w:val="24"/>
              <w:lang w:eastAsia="lt-LT"/>
            </w:rPr>
            <w:t>ATITIKTIES LENTELĖ</w:t>
          </w:r>
        </w:p>
        <w:p>
          <w:pPr>
            <w:jc w:val="center"/>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88"/>
            <w:gridCol w:w="6095"/>
            <w:gridCol w:w="1705"/>
          </w:tblGrid>
          <w:tr>
            <w:trPr>
              <w:jc w:val="center"/>
            </w:trPr>
            <w:tc>
              <w:tcPr>
                <w:tcW w:w="5988" w:type="dxa"/>
                <w:tcBorders>
                  <w:bottom w:val="single" w:sz="4" w:space="0" w:color="auto"/>
                </w:tcBorders>
                <w:vAlign w:val="center"/>
              </w:tcPr>
              <w:p>
                <w:pPr>
                  <w:jc w:val="both"/>
                  <w:rPr>
                    <w:b/>
                    <w:bCs/>
                    <w:szCs w:val="24"/>
                  </w:rPr>
                </w:pPr>
                <w:smartTag w:uri="schemas-tilde-lv/tildestengine" w:element="metric">
                  <w:smartTagPr>
                    <w:attr w:name="metric_text" w:val="m"/>
                    <w:attr w:name="metric_value" w:val="2006"/>
                  </w:smartTagPr>
                  <w:r>
                    <w:rPr>
                      <w:b/>
                      <w:bCs/>
                      <w:szCs w:val="24"/>
                    </w:rPr>
                    <w:t>2006 m</w:t>
                  </w:r>
                </w:smartTag>
                <w:r>
                  <w:rPr>
                    <w:b/>
                    <w:bCs/>
                    <w:szCs w:val="24"/>
                  </w:rPr>
                  <w:t xml:space="preserve">. liepos 5 d. Europos Parlamento ir Tarybos direktyva </w:t>
                </w:r>
                <w:fldSimple w:instr="HYPERLINK http://eur-lex.europa.eu/legal-content/LIT/TXT/?uri=CELEX:32006L0054&amp;locale=lt \t _blank">
                  <w:r>
                    <w:rPr>
                      <w:b/>
                      <w:bCs/>
                      <w:szCs w:val="24"/>
                      <w:u w:val="single"/>
                      <w:color w:val="0000FF" w:themeColor="hyperlink"/>
                    </w:rPr>
                    <w:t>2006/54/EB</w:t>
                  </w:r>
                </w:fldSimple>
                <w:r>
                  <w:rPr>
                    <w:b/>
                    <w:bCs/>
                    <w:szCs w:val="24"/>
                  </w:rPr>
                  <w:t xml:space="preserve"> dėl moterų ir vyrų lygių galimybių ir vienodo požiūrio į moteris ir vyrus užimtumo bei profesinės veiklos srityje principo įgyvendinimo (nauja redakcija)</w:t>
                </w:r>
              </w:p>
              <w:p>
                <w:pPr>
                  <w:rPr>
                    <w:b/>
                    <w:szCs w:val="24"/>
                    <w:lang w:eastAsia="lt-LT"/>
                  </w:rPr>
                </w:pPr>
              </w:p>
              <w:p>
                <w:pPr>
                  <w:rPr>
                    <w:sz w:val="6"/>
                    <w:szCs w:val="6"/>
                  </w:rPr>
                </w:pPr>
              </w:p>
              <w:p>
                <w:pPr>
                  <w:rPr>
                    <w:szCs w:val="24"/>
                    <w:lang w:eastAsia="lt-LT"/>
                  </w:rPr>
                </w:pPr>
              </w:p>
            </w:tc>
            <w:tc>
              <w:tcPr>
                <w:tcW w:w="6095" w:type="dxa"/>
              </w:tcPr>
              <w:p>
                <w:pPr>
                  <w:ind w:left="360" w:hanging="360"/>
                  <w:rPr>
                    <w:b/>
                    <w:szCs w:val="24"/>
                    <w:lang w:eastAsia="lt-LT"/>
                  </w:rPr>
                </w:pPr>
                <w:r>
                  <w:rPr>
                    <w:b/>
                    <w:szCs w:val="24"/>
                    <w:lang w:eastAsia="lt-LT"/>
                  </w:rPr>
                  <w:t>1.</w:t>
                  <w:tab/>
                  <w:t>Lietuvos Respublikos lygių galimybių įstatymo Nr. IX-1826 pakeitimo įstatymo projektas (toliau – Projektas)</w:t>
                </w:r>
              </w:p>
              <w:p>
                <w:pPr>
                  <w:rPr>
                    <w:szCs w:val="24"/>
                    <w:lang w:eastAsia="lt-LT"/>
                  </w:rPr>
                </w:pPr>
              </w:p>
              <w:p>
                <w:pPr>
                  <w:rPr>
                    <w:szCs w:val="24"/>
                    <w:lang w:eastAsia="lt-LT"/>
                  </w:rPr>
                </w:pPr>
                <w:r>
                  <w:rPr>
                    <w:szCs w:val="24"/>
                    <w:lang w:eastAsia="lt-LT"/>
                  </w:rPr>
                  <w:t>2. Lietuvos Respublikos moterų ir vyrų lygių galimybių įstatymas Nr. VIII-947</w:t>
                </w:r>
              </w:p>
              <w:p>
                <w:pPr>
                  <w:rPr>
                    <w:color w:val="000000"/>
                    <w:lang w:eastAsia="lt-LT"/>
                  </w:rPr>
                </w:pPr>
              </w:p>
              <w:p>
                <w:pPr>
                  <w:rPr>
                    <w:color w:val="000000"/>
                    <w:lang w:eastAsia="lt-LT"/>
                  </w:rPr>
                </w:pPr>
                <w:r>
                  <w:rPr>
                    <w:color w:val="000000"/>
                    <w:lang w:eastAsia="lt-LT"/>
                  </w:rPr>
                  <w:t>3. Lietuvos Respublikos moterų ir vyrų lygių galimybių įstatymo Nr. VIII-947 1, 2, 9 straipsnių, priedo pakeitimo ir Įstatymo papildymo 6-1, 11-1 ir 20 straipsniais įstatymas Nr. XIV-3011</w:t>
                </w:r>
              </w:p>
              <w:p>
                <w:pPr>
                  <w:rPr>
                    <w:color w:val="000000"/>
                    <w:lang w:eastAsia="lt-LT"/>
                  </w:rPr>
                </w:pPr>
              </w:p>
              <w:p>
                <w:pPr>
                  <w:jc w:val="both"/>
                  <w:rPr>
                    <w:bCs/>
                    <w:szCs w:val="24"/>
                  </w:rPr>
                </w:pPr>
                <w:r>
                  <w:rPr>
                    <w:bCs/>
                    <w:szCs w:val="24"/>
                  </w:rPr>
                  <w:t xml:space="preserve">4. Lietuvos Respublikos profesinių pensijų kaupimo įstatymas Nr. X-745 </w:t>
                </w:r>
              </w:p>
              <w:p>
                <w:pPr>
                  <w:jc w:val="both"/>
                  <w:rPr>
                    <w:bCs/>
                    <w:szCs w:val="24"/>
                  </w:rPr>
                </w:pPr>
              </w:p>
              <w:p>
                <w:pPr>
                  <w:jc w:val="both"/>
                  <w:rPr>
                    <w:szCs w:val="24"/>
                  </w:rPr>
                </w:pPr>
                <w:r>
                  <w:rPr>
                    <w:szCs w:val="24"/>
                  </w:rPr>
                  <w:t>5. Lietuvos Respublikos profesinių sąjungų įstatymas Nr. I-2018 (Suvestinė redakcija nuo 2013-06-28)</w:t>
                </w:r>
              </w:p>
              <w:p>
                <w:pPr>
                  <w:jc w:val="both"/>
                  <w:rPr>
                    <w:b/>
                    <w:bCs/>
                    <w:szCs w:val="24"/>
                  </w:rPr>
                </w:pPr>
              </w:p>
              <w:p>
                <w:pPr>
                  <w:jc w:val="both"/>
                  <w:rPr>
                    <w:bCs/>
                    <w:lang w:eastAsia="lt-LT"/>
                  </w:rPr>
                </w:pPr>
                <w:r>
                  <w:rPr>
                    <w:bCs/>
                    <w:szCs w:val="24"/>
                    <w:lang w:eastAsia="lt-LT"/>
                  </w:rPr>
                  <w:t xml:space="preserve">6. Lietuvos Respublikos civilinio kodekso </w:t>
                </w:r>
                <w:r>
                  <w:rPr>
                    <w:bCs/>
                    <w:lang w:eastAsia="lt-LT"/>
                  </w:rPr>
                  <w:t>patvirtinimo, įsigaliojimo ir įgyvendinimo įstatymas Nr. VIII-1864 (Suvestinė redakcija 2025-09-01 – 2026-03-31)</w:t>
                </w:r>
              </w:p>
              <w:p>
                <w:pPr>
                  <w:jc w:val="both"/>
                  <w:rPr>
                    <w:bCs/>
                    <w:lang w:eastAsia="lt-LT"/>
                  </w:rPr>
                </w:pPr>
              </w:p>
              <w:p>
                <w:pPr>
                  <w:jc w:val="both"/>
                  <w:rPr>
                    <w:bCs/>
                    <w:lang w:eastAsia="lt-LT"/>
                  </w:rPr>
                </w:pPr>
                <w:r>
                  <w:rPr>
                    <w:bCs/>
                    <w:szCs w:val="24"/>
                    <w:lang w:eastAsia="lt-LT"/>
                  </w:rPr>
                  <w:t>7. Lietuvos Respublikos civilinio proceso kodekso patvirtinimo, įsigaliojimo ir įgyvendinimo įstatymas Nr. IX-743</w:t>
                </w:r>
              </w:p>
              <w:p>
                <w:pPr>
                  <w:jc w:val="both"/>
                  <w:rPr>
                    <w:bCs/>
                    <w:lang w:eastAsia="lt-LT"/>
                  </w:rPr>
                </w:pPr>
              </w:p>
              <w:p>
                <w:pPr>
                  <w:jc w:val="both"/>
                  <w:rPr>
                    <w:bCs/>
                    <w:szCs w:val="24"/>
                    <w:lang w:eastAsia="lt-LT"/>
                  </w:rPr>
                </w:pPr>
                <w:r>
                  <w:rPr>
                    <w:bCs/>
                    <w:szCs w:val="24"/>
                    <w:lang w:eastAsia="lt-LT"/>
                  </w:rPr>
                  <w:t>8. Lietuvos Respublikos asociacijų įstatymas Nr. IX-1969</w:t>
                </w:r>
              </w:p>
              <w:p>
                <w:pPr>
                  <w:jc w:val="both"/>
                  <w:rPr>
                    <w:b/>
                    <w:szCs w:val="24"/>
                    <w:lang w:eastAsia="lt-LT"/>
                  </w:rPr>
                </w:pPr>
              </w:p>
            </w:tc>
            <w:tc>
              <w:tcPr>
                <w:tcW w:w="1705" w:type="dxa"/>
              </w:tcPr>
              <w:p>
                <w:pPr>
                  <w:rPr>
                    <w:sz w:val="6"/>
                    <w:szCs w:val="6"/>
                  </w:rPr>
                </w:pPr>
              </w:p>
              <w:p>
                <w:pPr>
                  <w:rPr>
                    <w:b/>
                    <w:szCs w:val="24"/>
                    <w:lang w:eastAsia="lt-LT"/>
                  </w:rPr>
                </w:pPr>
                <w:r>
                  <w:rPr>
                    <w:b/>
                    <w:szCs w:val="24"/>
                    <w:lang w:eastAsia="lt-LT"/>
                  </w:rPr>
                  <w:t xml:space="preserve">Europos Sąjungos teisės akto perkėlimo (įgyvendinimo) lygis </w:t>
                </w:r>
              </w:p>
            </w:tc>
          </w:tr>
          <w:tr>
            <w:trPr>
              <w:jc w:val="center"/>
            </w:trPr>
            <w:tc>
              <w:tcPr>
                <w:tcW w:w="5988" w:type="dxa"/>
              </w:tcPr>
              <w:p>
                <w:pPr>
                  <w:jc w:val="both"/>
                  <w:rPr>
                    <w:b/>
                    <w:bCs/>
                    <w:iCs/>
                    <w:szCs w:val="24"/>
                  </w:rPr>
                </w:pPr>
                <w:r>
                  <w:rPr>
                    <w:b/>
                    <w:bCs/>
                    <w:iCs/>
                    <w:szCs w:val="24"/>
                  </w:rPr>
                  <w:t>12 straipsnis</w:t>
                </w:r>
              </w:p>
              <w:p>
                <w:pPr>
                  <w:jc w:val="both"/>
                  <w:rPr>
                    <w:b/>
                    <w:bCs/>
                    <w:iCs/>
                    <w:szCs w:val="24"/>
                  </w:rPr>
                </w:pPr>
                <w:r>
                  <w:rPr>
                    <w:b/>
                    <w:bCs/>
                    <w:iCs/>
                    <w:szCs w:val="24"/>
                  </w:rPr>
                  <w:t>Poveikis atgaline data</w:t>
                </w:r>
              </w:p>
              <w:p/>
              <w:p>
                <w:pPr>
                  <w:jc w:val="both"/>
                  <w:rPr>
                    <w:szCs w:val="24"/>
                    <w:lang w:eastAsia="lt-LT"/>
                  </w:rPr>
                </w:pPr>
                <w:r>
                  <w:rPr>
                    <w:szCs w:val="24"/>
                    <w:lang w:eastAsia="lt-LT"/>
                  </w:rPr>
                  <w:t xml:space="preserve">1. Bet kuri šį skyrių įgyvendinanti priemonė dėl darbuotojų apima visas pagal profesines socialinės apsaugos sistemas mokamas išmokas, priklausančias už darbo stažą, įgytą po </w:t>
                </w:r>
                <w:smartTag w:uri="schemas-tilde-lv/tildestengine" w:element="metric">
                  <w:smartTagPr>
                    <w:attr w:name="metric_text" w:val="m"/>
                    <w:attr w:name="metric_value" w:val="1990"/>
                  </w:smartTagPr>
                  <w:r>
                    <w:rPr>
                      <w:szCs w:val="24"/>
                      <w:lang w:eastAsia="lt-LT"/>
                    </w:rPr>
                    <w:t>1990 m</w:t>
                  </w:r>
                </w:smartTag>
                <w:r>
                  <w:rPr>
                    <w:szCs w:val="24"/>
                    <w:lang w:eastAsia="lt-LT"/>
                  </w:rPr>
                  <w:t xml:space="preserve">. gegužės 17 d., ir taikomas atgaline data, nepažeidžiant darbuotojų ar jų teisių turėtojų, iki tos datos pradėjusių teismo procesą ar iškėlusių lygiavertį ieškinį pagal nacionalinius teisės aktus, teisių. Tokiu atveju įgyvendinimo priemonės taikomos atgaline data iki </w:t>
                </w:r>
                <w:smartTag w:uri="schemas-tilde-lv/tildestengine" w:element="metric">
                  <w:smartTagPr>
                    <w:attr w:name="metric_text" w:val="m"/>
                    <w:attr w:name="metric_value" w:val="1976"/>
                  </w:smartTagPr>
                  <w:r>
                    <w:rPr>
                      <w:szCs w:val="24"/>
                      <w:lang w:eastAsia="lt-LT"/>
                    </w:rPr>
                    <w:t>1976 m</w:t>
                  </w:r>
                </w:smartTag>
                <w:r>
                  <w:rPr>
                    <w:szCs w:val="24"/>
                    <w:lang w:eastAsia="lt-LT"/>
                  </w:rPr>
                  <w:t xml:space="preserve">. balandžio 8 d. ir apima visas išmokas, priklausančias už darbo stažą, įgytą po tos datos. Valstybėms narėms, įstojusioms į Bendriją po </w:t>
                </w:r>
                <w:smartTag w:uri="schemas-tilde-lv/tildestengine" w:element="metric">
                  <w:smartTagPr>
                    <w:attr w:name="metric_text" w:val="m"/>
                    <w:attr w:name="metric_value" w:val="1976"/>
                  </w:smartTagPr>
                  <w:r>
                    <w:rPr>
                      <w:szCs w:val="24"/>
                      <w:lang w:eastAsia="lt-LT"/>
                    </w:rPr>
                    <w:t>1976 m</w:t>
                  </w:r>
                </w:smartTag>
                <w:r>
                  <w:rPr>
                    <w:szCs w:val="24"/>
                    <w:lang w:eastAsia="lt-LT"/>
                  </w:rPr>
                  <w:t xml:space="preserve">. balandžio 8 d. ir iki </w:t>
                </w:r>
                <w:smartTag w:uri="schemas-tilde-lv/tildestengine" w:element="metric">
                  <w:smartTagPr>
                    <w:attr w:name="metric_text" w:val="m"/>
                    <w:attr w:name="metric_value" w:val="1990"/>
                  </w:smartTagPr>
                  <w:r>
                    <w:rPr>
                      <w:szCs w:val="24"/>
                      <w:lang w:eastAsia="lt-LT"/>
                    </w:rPr>
                    <w:t>1990 m</w:t>
                  </w:r>
                </w:smartTag>
                <w:r>
                  <w:rPr>
                    <w:szCs w:val="24"/>
                    <w:lang w:eastAsia="lt-LT"/>
                  </w:rPr>
                  <w:t>. gegužės 17 d., ši data pakeičiama data, kai jų teritorijoje buvo pradėtas taikyti Sutarties 141 straipsnis.</w:t>
                </w:r>
              </w:p>
              <w:p>
                <w:pPr>
                  <w:jc w:val="both"/>
                  <w:rPr>
                    <w:szCs w:val="24"/>
                    <w:lang w:eastAsia="lt-LT"/>
                  </w:rPr>
                </w:pPr>
                <w:r>
                  <w:rPr>
                    <w:szCs w:val="24"/>
                    <w:lang w:eastAsia="lt-LT"/>
                  </w:rPr>
                  <w:t xml:space="preserve">2. 1 dalies antras sakinys nekliudo taikyti nacionalinių taisyklių, reglamentuojančių ieškinių iškėlimo pagal nacionalinę teisę senaties terminus, darbuotojams ar jų teisių turėtojams, iki </w:t>
                </w:r>
                <w:smartTag w:uri="schemas-tilde-lv/tildestengine" w:element="metric">
                  <w:smartTagPr>
                    <w:attr w:name="metric_text" w:val="m"/>
                    <w:attr w:name="metric_value" w:val="1990"/>
                  </w:smartTagPr>
                  <w:r>
                    <w:rPr>
                      <w:szCs w:val="24"/>
                      <w:lang w:eastAsia="lt-LT"/>
                    </w:rPr>
                    <w:t>1990 m</w:t>
                  </w:r>
                </w:smartTag>
                <w:r>
                  <w:rPr>
                    <w:szCs w:val="24"/>
                    <w:lang w:eastAsia="lt-LT"/>
                  </w:rPr>
                  <w:t>. gegužės 17 d. pradėjusiems teismo procesą ar iškėlusiems lygiavertį ieškinį pagal nacionalinės teisės aktus, jeigu jos yra ne mažiau palankios tokiems ieškiniams nei panašaus pobūdžio šalies vidaus ieškiniams ir nesukuria sąlygų, kuriomis Bendrijos teisės suteikiamomis teisėmis negalima praktiškai naudotis.</w:t>
                </w:r>
              </w:p>
              <w:p>
                <w:pPr>
                  <w:jc w:val="both"/>
                  <w:rPr>
                    <w:szCs w:val="24"/>
                  </w:rPr>
                </w:pPr>
                <w:r>
                  <w:rPr>
                    <w:szCs w:val="24"/>
                  </w:rPr>
                  <w:t>[...]</w:t>
                </w:r>
              </w:p>
            </w:tc>
            <w:tc>
              <w:tcPr>
                <w:tcW w:w="6095" w:type="dxa"/>
              </w:tcPr>
              <w:p>
                <w:pPr>
                  <w:jc w:val="both"/>
                  <w:rPr>
                    <w:szCs w:val="24"/>
                  </w:rPr>
                </w:pPr>
                <w:r>
                  <w:rPr>
                    <w:b/>
                    <w:szCs w:val="24"/>
                  </w:rPr>
                  <w:t>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r>
                  <w:rPr>
                    <w:b/>
                    <w:szCs w:val="24"/>
                    <w:lang w:eastAsia="lt-LT"/>
                  </w:rPr>
                  <w:t xml:space="preserve">24 straipsnis. Skundo pateikimas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 xml:space="preserve">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eastAsia="lt-LT"/>
                  </w:rPr>
                </w:pP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eastAsia="lt-LT"/>
                  </w:rPr>
                </w:pPr>
              </w:p>
              <w:p>
                <w:pPr>
                  <w:jc w:val="both"/>
                  <w:rPr>
                    <w:b/>
                    <w:szCs w:val="24"/>
                  </w:rPr>
                </w:pPr>
                <w:r>
                  <w:rPr>
                    <w:b/>
                    <w:szCs w:val="24"/>
                  </w:rPr>
                  <w:t>Lietuvos Respublikos Civilinio kodekso patvirtinimo, įsigaliojimo ir įgyvendinimo įstatymas VIII-1864</w:t>
                </w:r>
              </w:p>
              <w:p>
                <w:pPr>
                  <w:jc w:val="both"/>
                  <w:rPr>
                    <w:b/>
                    <w:szCs w:val="24"/>
                  </w:rPr>
                </w:pPr>
                <w:r>
                  <w:rPr>
                    <w:b/>
                    <w:szCs w:val="24"/>
                  </w:rPr>
                  <w:t>1.125 straipsnis. Ieškinio senaties terminai</w:t>
                </w:r>
              </w:p>
              <w:p>
                <w:pPr>
                  <w:jc w:val="both"/>
                  <w:rPr>
                    <w:szCs w:val="24"/>
                  </w:rPr>
                </w:pPr>
                <w:r>
                  <w:rPr>
                    <w:szCs w:val="24"/>
                  </w:rPr>
                  <w:t>1. Bendrasis ieškinio senaties terminas yra dešimt metų.</w:t>
                </w:r>
              </w:p>
              <w:p>
                <w:pPr>
                  <w:jc w:val="both"/>
                  <w:rPr>
                    <w:szCs w:val="24"/>
                  </w:rPr>
                </w:pPr>
                <w:r>
                  <w:rPr>
                    <w:szCs w:val="24"/>
                  </w:rPr>
                  <w:t>8. Sutrumpintas dvejų metų ieškinio senaties terminas taikomas reikalavimams dėl prekių, paslaugų ar skaitmeninio turinio trūkumų (netinkamos kokybės).</w:t>
                </w:r>
              </w:p>
              <w:p>
                <w:pPr>
                  <w:jc w:val="both"/>
                  <w:rPr>
                    <w:szCs w:val="24"/>
                  </w:rPr>
                </w:pPr>
                <w:r>
                  <w:rPr>
                    <w:i/>
                    <w:iCs/>
                    <w:szCs w:val="24"/>
                  </w:rPr>
                  <w:t>Papildyta straipsnio dalimi:</w:t>
                </w:r>
              </w:p>
              <w:p>
                <w:pPr>
                  <w:jc w:val="both"/>
                  <w:rPr>
                    <w:szCs w:val="24"/>
                  </w:rPr>
                </w:pPr>
                <w:r>
                  <w:rPr>
                    <w:i/>
                    <w:iCs/>
                    <w:szCs w:val="24"/>
                  </w:rPr>
                  <w:t>Nr. </w:t>
                </w:r>
                <w:hyperlink r:id="rId6" w:tgtFrame="_parent" w:history="1">
                  <w:r>
                    <w:rPr>
                      <w:i/>
                      <w:iCs/>
                      <w:color w:val="000000"/>
                      <w:szCs w:val="24"/>
                      <w:u w:val="single"/>
                    </w:rPr>
                    <w:t>XIV-466</w:t>
                  </w:r>
                </w:hyperlink>
                <w:r>
                  <w:rPr>
                    <w:i/>
                    <w:iCs/>
                    <w:szCs w:val="24"/>
                  </w:rPr>
                  <w:t>, 2021-06-29, paskelbta TAR 2021-07-14, i. k. 2021-15844</w:t>
                </w:r>
              </w:p>
              <w:p>
                <w:pPr>
                  <w:jc w:val="both"/>
                  <w:rPr>
                    <w:b/>
                    <w:szCs w:val="24"/>
                  </w:rPr>
                </w:pPr>
                <w:r>
                  <w:rPr>
                    <w:b/>
                    <w:szCs w:val="24"/>
                  </w:rPr>
                  <w:t>1.127 straipsnis. Ieškinio senaties termino pradžia</w:t>
                </w:r>
              </w:p>
              <w:p>
                <w:pPr>
                  <w:jc w:val="both"/>
                  <w:rPr>
                    <w:szCs w:val="24"/>
                  </w:rPr>
                </w:pPr>
                <w:r>
                  <w:rPr>
                    <w:szCs w:val="24"/>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pPr>
                  <w:jc w:val="both"/>
                  <w:rPr>
                    <w:szCs w:val="24"/>
                  </w:rPr>
                </w:pPr>
                <w:r>
                  <w:rPr>
                    <w:szCs w:val="24"/>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jc w:val="both"/>
                  <w:rPr>
                    <w:b/>
                    <w:szCs w:val="24"/>
                  </w:rPr>
                </w:pPr>
                <w:r>
                  <w:rPr>
                    <w:b/>
                    <w:szCs w:val="24"/>
                  </w:rPr>
                  <w:t>1.134 straipsnis. Reikalavimai, kuriems ieškinio senatis netaikoma</w:t>
                </w:r>
              </w:p>
              <w:p>
                <w:pPr>
                  <w:jc w:val="both"/>
                  <w:rPr>
                    <w:szCs w:val="24"/>
                  </w:rPr>
                </w:pPr>
                <w:r>
                  <w:rPr>
                    <w:szCs w:val="24"/>
                  </w:rPr>
                  <w:t>Ieškinio senatis netaikoma:</w:t>
                </w:r>
              </w:p>
              <w:p>
                <w:pPr>
                  <w:jc w:val="both"/>
                  <w:rPr>
                    <w:szCs w:val="24"/>
                  </w:rPr>
                </w:pPr>
                <w:r>
                  <w:rPr>
                    <w:szCs w:val="24"/>
                  </w:rPr>
                  <w:t>1) iš asmeninių neturtinių teisių pažeidimų atsirandantiems reikalavimams, išskyrus įstatymų numatytus atvejus;</w:t>
                </w:r>
              </w:p>
              <w:p>
                <w:pPr>
                  <w:jc w:val="both"/>
                  <w:rPr>
                    <w:szCs w:val="24"/>
                  </w:rPr>
                </w:pPr>
                <w:r>
                  <w:rPr>
                    <w:szCs w:val="24"/>
                  </w:rPr>
                  <w:t>&lt;...&gt;</w:t>
                </w:r>
              </w:p>
              <w:p>
                <w:pPr>
                  <w:jc w:val="both"/>
                  <w:rPr>
                    <w:szCs w:val="24"/>
                  </w:rPr>
                </w:pPr>
                <w:r>
                  <w:rPr>
                    <w:i/>
                    <w:iCs/>
                    <w:szCs w:val="24"/>
                  </w:rPr>
                  <w:t>Straipsnio pakeitimai:</w:t>
                </w:r>
              </w:p>
              <w:p>
                <w:pPr>
                  <w:jc w:val="both"/>
                  <w:rPr>
                    <w:szCs w:val="24"/>
                  </w:rPr>
                </w:pPr>
                <w:r>
                  <w:rPr>
                    <w:i/>
                    <w:iCs/>
                    <w:szCs w:val="24"/>
                  </w:rPr>
                  <w:t>Nr. </w:t>
                </w:r>
                <w:hyperlink r:id="rId7" w:tgtFrame="_parent" w:history="1">
                  <w:r>
                    <w:rPr>
                      <w:i/>
                      <w:iCs/>
                      <w:color w:val="000000"/>
                      <w:szCs w:val="24"/>
                      <w:u w:val="single"/>
                    </w:rPr>
                    <w:t>XI-1441</w:t>
                  </w:r>
                </w:hyperlink>
                <w:r>
                  <w:rPr>
                    <w:i/>
                    <w:iCs/>
                    <w:szCs w:val="24"/>
                  </w:rPr>
                  <w:t xml:space="preserve">, 2011-06-09, Žin., 2011, Nr. </w:t>
                </w:r>
                <w:fldSimple w:instr="HYPERLINK https://www.e-tar.lt/portal/legalAct.html?documentId=TAIS.401063 \t _blank">
                  <w:r>
                    <w:rPr>
                      <w:i/>
                      <w:iCs/>
                      <w:szCs w:val="24"/>
                      <w:u w:val="single"/>
                      <w:color w:val="0000FF" w:themeColor="hyperlink"/>
                    </w:rPr>
                    <w:t>74-3545</w:t>
                  </w:r>
                </w:fldSimple>
                <w:r>
                  <w:rPr>
                    <w:i/>
                    <w:iCs/>
                    <w:szCs w:val="24"/>
                  </w:rPr>
                  <w:t xml:space="preserve"> (2011-06-18)</w:t>
                </w:r>
              </w:p>
              <w:p/>
              <w:p>
                <w:pPr>
                  <w:jc w:val="both"/>
                  <w:rPr>
                    <w:szCs w:val="24"/>
                  </w:rPr>
                </w:pPr>
              </w:p>
            </w:tc>
            <w:tc>
              <w:tcPr>
                <w:tcW w:w="1705" w:type="dxa"/>
              </w:tcPr>
              <w:p>
                <w:pPr>
                  <w:jc w:val="both"/>
                  <w:rPr>
                    <w:sz w:val="6"/>
                    <w:szCs w:val="6"/>
                  </w:rPr>
                </w:pPr>
              </w:p>
              <w:p>
                <w:pPr>
                  <w:jc w:val="both"/>
                  <w:rPr>
                    <w:b/>
                    <w:bCs/>
                    <w:szCs w:val="24"/>
                  </w:rPr>
                </w:pPr>
                <w:r>
                  <w:rPr>
                    <w:b/>
                    <w:bCs/>
                    <w:szCs w:val="24"/>
                  </w:rPr>
                  <w:t>Visiškas</w:t>
                </w:r>
              </w:p>
            </w:tc>
          </w:tr>
          <w:tr>
            <w:trPr>
              <w:jc w:val="center"/>
            </w:trPr>
            <w:tc>
              <w:tcPr>
                <w:tcW w:w="5988" w:type="dxa"/>
                <w:tcBorders>
                  <w:top w:val="single" w:sz="4" w:space="0" w:color="auto"/>
                </w:tcBorders>
              </w:tcPr>
              <w:p>
                <w:pPr>
                  <w:jc w:val="both"/>
                  <w:rPr>
                    <w:b/>
                    <w:bCs/>
                    <w:iCs/>
                    <w:szCs w:val="24"/>
                  </w:rPr>
                </w:pPr>
                <w:r>
                  <w:rPr>
                    <w:b/>
                    <w:bCs/>
                    <w:iCs/>
                    <w:szCs w:val="24"/>
                  </w:rPr>
                  <w:t>17 straipsnis</w:t>
                </w:r>
              </w:p>
              <w:p>
                <w:pPr>
                  <w:jc w:val="both"/>
                  <w:rPr>
                    <w:b/>
                    <w:bCs/>
                    <w:iCs/>
                    <w:szCs w:val="24"/>
                  </w:rPr>
                </w:pPr>
                <w:r>
                  <w:rPr>
                    <w:b/>
                    <w:bCs/>
                    <w:iCs/>
                    <w:szCs w:val="24"/>
                  </w:rPr>
                  <w:t>Teisių gynimo priemonės ir vykdymas</w:t>
                </w:r>
              </w:p>
              <w:p>
                <w:pPr>
                  <w:jc w:val="both"/>
                  <w:rPr>
                    <w:b/>
                    <w:bCs/>
                    <w:iCs/>
                    <w:szCs w:val="24"/>
                  </w:rPr>
                </w:pPr>
              </w:p>
              <w:p>
                <w:pPr>
                  <w:jc w:val="both"/>
                  <w:rPr>
                    <w:szCs w:val="24"/>
                    <w:lang w:eastAsia="lt-LT"/>
                  </w:rPr>
                </w:pPr>
                <w:r>
                  <w:rPr>
                    <w:szCs w:val="24"/>
                    <w:lang w:eastAsia="lt-LT"/>
                  </w:rPr>
                  <w:t>Teisių gynimas</w:t>
                </w:r>
              </w:p>
              <w:p>
                <w:pPr>
                  <w:jc w:val="both"/>
                  <w:rPr>
                    <w:szCs w:val="24"/>
                    <w:lang w:eastAsia="lt-LT"/>
                  </w:rPr>
                </w:pPr>
                <w:r>
                  <w:rPr>
                    <w:szCs w:val="24"/>
                    <w:lang w:eastAsia="lt-LT"/>
                  </w:rPr>
                  <w:t>1. Visiems asmenims, manantiems, kad jie nukentėjo, kadangi jiems nebuvo taikomas vienodo požiūrio principas, ir jau pasinaudojusiems galimybe kreiptis į kitas kompetentingas institucijas, įskaitant tam tikrais atvejais tikslingą taikinimo procedūrą, valstybės narės užtikrina teisę į teismines procedūras net pasibaigus tariamai diskriminuojantiems santykiams.</w:t>
                </w:r>
              </w:p>
              <w:p>
                <w:pPr>
                  <w:jc w:val="both"/>
                  <w:rPr>
                    <w:szCs w:val="24"/>
                    <w:lang w:eastAsia="lt-LT"/>
                  </w:rPr>
                </w:pPr>
              </w:p>
              <w:p>
                <w:pPr>
                  <w:jc w:val="both"/>
                  <w:rPr>
                    <w:szCs w:val="24"/>
                    <w:lang w:eastAsia="lt-LT"/>
                  </w:rPr>
                </w:pPr>
              </w:p>
              <w:p>
                <w:pPr>
                  <w:jc w:val="both"/>
                  <w:rPr>
                    <w:szCs w:val="24"/>
                    <w:lang w:eastAsia="lt-LT"/>
                  </w:rPr>
                </w:pPr>
                <w:r>
                  <w:rPr>
                    <w:szCs w:val="24"/>
                    <w:lang w:eastAsia="lt-LT"/>
                  </w:rPr>
                  <w:t>2. Valstybės narės užtikrina, kad asociacijos, organizacijos arba kiti juridiniai asmenys, kurie pagal jų nacionalinėje teisėje nustatytus kriterijus turi teisėtą interesą, kad būtų užtikrintas šios direktyvos nuostatų laikymasis, nukentėjusiojo vardu arba jį remdami, gavę jo sutikimą, gali dalyvauti visose teisminėse ir (arba) administracinėse procedūrose šioje direktyvoje numatytiems įsipareigojimams įgyvendinti.</w:t>
                </w:r>
              </w:p>
              <w:p>
                <w:pPr>
                  <w:rPr>
                    <w:sz w:val="10"/>
                    <w:szCs w:val="10"/>
                  </w:rPr>
                </w:pPr>
              </w:p>
              <w:p>
                <w:pPr>
                  <w:jc w:val="both"/>
                  <w:rPr>
                    <w:i/>
                    <w:szCs w:val="24"/>
                  </w:rPr>
                </w:pPr>
                <w:r>
                  <w:rPr>
                    <w:szCs w:val="24"/>
                  </w:rPr>
                  <w:t>3. 1 ir 2 dalys nepažeidžia nacionalinių taisyklių, kuriomis nustatomi terminai, per kuriuos turi būti iškeltos bylos dėl vienodo požiūrio principo.</w:t>
                </w:r>
              </w:p>
            </w:tc>
            <w:tc>
              <w:tcPr>
                <w:tcW w:w="6095" w:type="dxa"/>
              </w:tcPr>
              <w:p>
                <w:pPr>
                  <w:jc w:val="both"/>
                  <w:rPr>
                    <w:b/>
                    <w:szCs w:val="24"/>
                  </w:rPr>
                </w:pPr>
                <w:r>
                  <w:rPr>
                    <w:b/>
                    <w:szCs w:val="24"/>
                  </w:rPr>
                  <w:t>Projektas</w:t>
                </w:r>
              </w:p>
              <w:p>
                <w:pPr>
                  <w:jc w:val="both"/>
                  <w:rPr>
                    <w:b/>
                    <w:szCs w:val="24"/>
                  </w:rPr>
                </w:pPr>
                <w:r>
                  <w:rPr>
                    <w:b/>
                    <w:szCs w:val="24"/>
                  </w:rPr>
                  <w:t xml:space="preserve">23 straipsnis. Asmens, kurio lygios galimybės galimai pažeistos, teisės </w:t>
                </w:r>
              </w:p>
              <w:p>
                <w:pPr>
                  <w:jc w:val="both"/>
                  <w:rPr>
                    <w:b/>
                    <w:szCs w:val="24"/>
                  </w:rPr>
                </w:pPr>
                <w:r>
                  <w:rPr>
                    <w:b/>
                    <w:szCs w:val="24"/>
                  </w:rPr>
                  <w:t xml:space="preserve">1. Asmuo, manantis, kad yra pažeistos jo lygios galimybės, turi teisę kreiptis į lygių galimybių kontrolierių ir šio įstatymo VI skyriuje nustatyta tvarka pateikti skundą. </w:t>
                </w:r>
              </w:p>
              <w:p>
                <w:pPr>
                  <w:jc w:val="both"/>
                  <w:rPr>
                    <w:b/>
                    <w:szCs w:val="24"/>
                  </w:rPr>
                </w:pPr>
                <w:r>
                  <w:rPr>
                    <w:b/>
                    <w:szCs w:val="24"/>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jc w:val="both"/>
                  <w:rPr>
                    <w:b/>
                    <w:szCs w:val="24"/>
                  </w:rPr>
                </w:pPr>
                <w:r>
                  <w:rPr>
                    <w:b/>
                    <w:szCs w:val="24"/>
                  </w:rPr>
                  <w:t>3. Lygių galimybių kontrolieriaus tarnyba informaciją apie skundo pateikimo ir nagrinėjimo tvarką skelbia savo interneto svetainėje.</w:t>
                </w:r>
              </w:p>
              <w:p>
                <w:pPr>
                  <w:jc w:val="both"/>
                  <w:rPr>
                    <w:b/>
                    <w:szCs w:val="24"/>
                  </w:rPr>
                </w:pPr>
                <w:r>
                  <w:rPr>
                    <w:b/>
                    <w:szCs w:val="24"/>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szCs w:val="24"/>
                  </w:rPr>
                </w:pPr>
              </w:p>
              <w:p>
                <w:pPr>
                  <w:jc w:val="both"/>
                  <w:rPr>
                    <w:b/>
                    <w:bCs/>
                    <w:szCs w:val="24"/>
                  </w:rPr>
                </w:pPr>
              </w:p>
              <w:p>
                <w:pPr>
                  <w:jc w:val="both"/>
                  <w:rPr>
                    <w:szCs w:val="24"/>
                  </w:rPr>
                </w:pPr>
                <w:r>
                  <w:rPr>
                    <w:b/>
                    <w:szCs w:val="24"/>
                  </w:rPr>
                  <w:t xml:space="preserve">24 straipsnis. Skundo pateikimas </w:t>
                </w:r>
              </w:p>
              <w:p>
                <w:pPr>
                  <w:jc w:val="both"/>
                  <w:rPr>
                    <w:b/>
                    <w:bCs/>
                    <w:szCs w:val="24"/>
                  </w:rPr>
                </w:pPr>
                <w:r>
                  <w:rPr>
                    <w:b/>
                    <w:bCs/>
                    <w:szCs w:val="24"/>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szCs w:val="24"/>
                  </w:rPr>
                </w:pPr>
                <w:r>
                  <w:rPr>
                    <w:b/>
                    <w:bCs/>
                    <w:szCs w:val="24"/>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szCs w:val="24"/>
                  </w:rPr>
                </w:pPr>
                <w:r>
                  <w:rPr>
                    <w:b/>
                    <w:bCs/>
                    <w:szCs w:val="24"/>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jc w:val="both"/>
                  <w:rPr>
                    <w:b/>
                    <w:bCs/>
                    <w:szCs w:val="24"/>
                  </w:rPr>
                </w:pPr>
                <w:r>
                  <w:rPr>
                    <w:b/>
                    <w:bCs/>
                    <w:szCs w:val="24"/>
                  </w:rPr>
                  <w:t>4. Anoniminiai skundai nenagrinėjami, jeigu lygių galimybių kontrolierius nenusprendžia kitaip.</w:t>
                </w:r>
              </w:p>
              <w:p>
                <w:pPr>
                  <w:jc w:val="both"/>
                  <w:rPr>
                    <w:b/>
                    <w:bCs/>
                    <w:szCs w:val="24"/>
                  </w:rPr>
                </w:pPr>
              </w:p>
              <w:p>
                <w:pPr>
                  <w:jc w:val="both"/>
                  <w:rPr>
                    <w:b/>
                    <w:bCs/>
                    <w:szCs w:val="24"/>
                  </w:rPr>
                </w:pPr>
                <w:r>
                  <w:rPr>
                    <w:b/>
                    <w:bCs/>
                    <w:szCs w:val="24"/>
                  </w:rPr>
                  <w:t>29 straipsnis. Lygių galimybių kontrolieriaus sprendimai</w:t>
                </w:r>
              </w:p>
              <w:p>
                <w:pPr>
                  <w:jc w:val="both"/>
                  <w:rPr>
                    <w:b/>
                    <w:bCs/>
                    <w:szCs w:val="24"/>
                  </w:rPr>
                </w:pPr>
                <w:r>
                  <w:rPr>
                    <w:b/>
                    <w:bCs/>
                    <w:szCs w:val="24"/>
                  </w:rPr>
                  <w:t xml:space="preserve">1. Lygių galimybių kontrolierius, atlikdamas lygių galimybių pažeidimo tyrimą pagal pateiktą skundą arba savo iniciatyva ar jį atlikęs, priima vieną arba kelis iš šių sprendimų:      </w:t>
                </w:r>
              </w:p>
              <w:p>
                <w:pPr>
                  <w:jc w:val="both"/>
                  <w:rPr>
                    <w:b/>
                    <w:bCs/>
                    <w:szCs w:val="24"/>
                  </w:rPr>
                </w:pPr>
                <w:r>
                  <w:rPr>
                    <w:b/>
                    <w:bCs/>
                    <w:szCs w:val="24"/>
                  </w:rPr>
                  <w:t xml:space="preserve">1) perduoti turimą tyrimo informaciją ir medžiagą ikiteisminio tyrimo įstaigai ar prokurorui, jeigu nustatomi galimi nusikalstamos veikos požymiai; </w:t>
                </w:r>
              </w:p>
              <w:p>
                <w:pPr>
                  <w:jc w:val="both"/>
                  <w:rPr>
                    <w:b/>
                    <w:bCs/>
                    <w:szCs w:val="24"/>
                  </w:rPr>
                </w:pPr>
                <w:r>
                  <w:rPr>
                    <w:b/>
                    <w:bCs/>
                    <w:szCs w:val="24"/>
                  </w:rPr>
                  <w:t>[...]</w:t>
                </w:r>
              </w:p>
              <w:p>
                <w:pPr>
                  <w:jc w:val="both"/>
                  <w:rPr>
                    <w:b/>
                    <w:bCs/>
                    <w:szCs w:val="24"/>
                  </w:rPr>
                </w:pPr>
                <w:r>
                  <w:rPr>
                    <w:b/>
                    <w:bCs/>
                    <w:szCs w:val="24"/>
                  </w:rPr>
                  <w:t xml:space="preserve">3. Lygių galimybių pažeidimo tyrimas gali būti nutrauktas, jei: </w:t>
                </w:r>
              </w:p>
              <w:p>
                <w:pPr>
                  <w:jc w:val="both"/>
                  <w:rPr>
                    <w:b/>
                    <w:bCs/>
                    <w:szCs w:val="24"/>
                  </w:rPr>
                </w:pPr>
                <w:r>
                  <w:rPr>
                    <w:b/>
                    <w:bCs/>
                    <w:szCs w:val="24"/>
                  </w:rPr>
                  <w:t>1) pareiškėjas skundą atsiima;</w:t>
                </w:r>
              </w:p>
              <w:p>
                <w:pPr>
                  <w:jc w:val="both"/>
                  <w:rPr>
                    <w:b/>
                    <w:bCs/>
                    <w:szCs w:val="24"/>
                  </w:rPr>
                </w:pPr>
                <w:r>
                  <w:rPr>
                    <w:b/>
                    <w:bCs/>
                    <w:szCs w:val="24"/>
                  </w:rPr>
                  <w:t xml:space="preserve">2) trūksta duomenų, kad būtų galima nustatyti pažeidėją ar ištirti padarytą lygių galimybių pažeidimą; </w:t>
                </w:r>
              </w:p>
              <w:p>
                <w:pPr>
                  <w:jc w:val="both"/>
                  <w:rPr>
                    <w:b/>
                    <w:bCs/>
                    <w:szCs w:val="24"/>
                  </w:rPr>
                </w:pPr>
                <w:r>
                  <w:rPr>
                    <w:b/>
                    <w:bCs/>
                    <w:szCs w:val="24"/>
                  </w:rPr>
                  <w:t>3) lygias galimybes pažeidžiantys veiksmai ar neveikimas nutraukiami;</w:t>
                </w:r>
              </w:p>
              <w:p>
                <w:pPr>
                  <w:jc w:val="both"/>
                  <w:rPr>
                    <w:b/>
                    <w:bCs/>
                    <w:szCs w:val="24"/>
                  </w:rPr>
                </w:pPr>
                <w:r>
                  <w:rPr>
                    <w:b/>
                    <w:bCs/>
                    <w:szCs w:val="24"/>
                  </w:rPr>
                  <w:t xml:space="preserve">4) lygias galimybes pažeidžiantis norminis administracinis aktas (jo dalis) arba administracinis sprendimas (jo dalis) pakeičiamas ar pripažįstamas netekusiu galios. </w:t>
                </w:r>
              </w:p>
              <w:p>
                <w:pPr>
                  <w:jc w:val="both"/>
                  <w:rPr>
                    <w:szCs w:val="24"/>
                  </w:rPr>
                </w:pPr>
                <w:r>
                  <w:rPr>
                    <w:szCs w:val="24"/>
                  </w:rPr>
                  <w:t>[...]</w:t>
                </w:r>
              </w:p>
              <w:p>
                <w:pPr>
                  <w:jc w:val="both"/>
                  <w:rPr>
                    <w:b/>
                    <w:szCs w:val="24"/>
                  </w:rPr>
                </w:pPr>
              </w:p>
              <w:p>
                <w:pPr>
                  <w:jc w:val="both"/>
                  <w:rPr>
                    <w:b/>
                    <w:lang w:eastAsia="lt-LT"/>
                  </w:rPr>
                </w:pPr>
                <w:r>
                  <w:rPr>
                    <w:b/>
                    <w:szCs w:val="24"/>
                    <w:lang w:eastAsia="lt-LT"/>
                  </w:rPr>
                  <w:t xml:space="preserve">Lietuvos Respublikos civilinio kodekso </w:t>
                </w:r>
                <w:r>
                  <w:rPr>
                    <w:b/>
                    <w:lang w:eastAsia="lt-LT"/>
                  </w:rPr>
                  <w:t xml:space="preserve">patvirtinimo, įsigaliojimo ir įgyvendinimo įstatymas Nr. VIII-1864 </w:t>
                </w:r>
              </w:p>
              <w:p>
                <w:pPr>
                  <w:jc w:val="both"/>
                  <w:rPr>
                    <w:b/>
                    <w:lang w:eastAsia="lt-LT"/>
                  </w:rPr>
                </w:pPr>
              </w:p>
              <w:p>
                <w:pPr>
                  <w:jc w:val="both"/>
                  <w:rPr>
                    <w:b/>
                    <w:szCs w:val="24"/>
                  </w:rPr>
                </w:pPr>
                <w:r>
                  <w:rPr>
                    <w:b/>
                    <w:szCs w:val="24"/>
                  </w:rPr>
                  <w:t>1.114 straipsnis. Asmeninės neturtinės teisės ir vertybės</w:t>
                </w:r>
              </w:p>
              <w:p>
                <w:pPr>
                  <w:jc w:val="both"/>
                  <w:rPr>
                    <w:szCs w:val="24"/>
                  </w:rPr>
                </w:pPr>
                <w:r>
                  <w:rPr>
                    <w:szCs w:val="24"/>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pPr>
                  <w:jc w:val="both"/>
                  <w:rPr>
                    <w:b/>
                    <w:szCs w:val="24"/>
                  </w:rPr>
                </w:pPr>
                <w:r>
                  <w:rPr>
                    <w:b/>
                    <w:szCs w:val="24"/>
                  </w:rPr>
                  <w:t>1.115 straipsnis. Asmeninės neturtinės teisės</w:t>
                </w:r>
              </w:p>
              <w:p>
                <w:pPr>
                  <w:jc w:val="both"/>
                  <w:rPr>
                    <w:szCs w:val="24"/>
                  </w:rPr>
                </w:pPr>
                <w:r>
                  <w:rPr>
                    <w:szCs w:val="24"/>
                  </w:rPr>
                  <w:t>1. Civilinės teisės saugomi objektai yra asmeninės neturtinės teisės, t. y. ekonominio turinio neturinčios ir neatskiriamai susijusios su jų turėtoju teisės.</w:t>
                </w:r>
              </w:p>
              <w:p>
                <w:pPr>
                  <w:jc w:val="both"/>
                  <w:rPr>
                    <w:b/>
                    <w:szCs w:val="24"/>
                  </w:rPr>
                </w:pPr>
                <w:r>
                  <w:rPr>
                    <w:b/>
                    <w:szCs w:val="24"/>
                  </w:rPr>
                  <w:t>1.125 straipsnis. Ieškinio senaties terminai</w:t>
                </w:r>
              </w:p>
              <w:p>
                <w:pPr>
                  <w:jc w:val="both"/>
                  <w:rPr>
                    <w:szCs w:val="24"/>
                  </w:rPr>
                </w:pPr>
                <w:r>
                  <w:rPr>
                    <w:szCs w:val="24"/>
                  </w:rPr>
                  <w:t>1. Bendrasis ieškinio senaties terminas yra dešimt metų.</w:t>
                </w:r>
              </w:p>
              <w:p>
                <w:pPr>
                  <w:jc w:val="both"/>
                  <w:rPr>
                    <w:szCs w:val="24"/>
                  </w:rPr>
                </w:pPr>
                <w:r>
                  <w:rPr>
                    <w:szCs w:val="24"/>
                  </w:rPr>
                  <w:t>8. Sutrumpintas dvejų metų ieškinio senaties terminas taikomas reikalavimams dėl prekių, paslaugų ar skaitmeninio turinio trūkumų (netinkamos kokybės).</w:t>
                </w:r>
              </w:p>
              <w:p>
                <w:pPr>
                  <w:jc w:val="both"/>
                  <w:rPr>
                    <w:szCs w:val="24"/>
                  </w:rPr>
                </w:pPr>
                <w:r>
                  <w:rPr>
                    <w:i/>
                    <w:iCs/>
                    <w:szCs w:val="24"/>
                  </w:rPr>
                  <w:t>Papildyta straipsnio dalimi:</w:t>
                </w:r>
              </w:p>
              <w:p>
                <w:pPr>
                  <w:jc w:val="both"/>
                  <w:rPr>
                    <w:szCs w:val="24"/>
                  </w:rPr>
                </w:pPr>
                <w:r>
                  <w:rPr>
                    <w:i/>
                    <w:iCs/>
                    <w:szCs w:val="24"/>
                  </w:rPr>
                  <w:t>Nr. </w:t>
                </w:r>
                <w:hyperlink r:id="rId8" w:tgtFrame="_parent" w:history="1">
                  <w:r>
                    <w:rPr>
                      <w:i/>
                      <w:iCs/>
                      <w:color w:val="000000"/>
                      <w:szCs w:val="24"/>
                      <w:u w:val="single"/>
                    </w:rPr>
                    <w:t>XIV-466</w:t>
                  </w:r>
                </w:hyperlink>
                <w:r>
                  <w:rPr>
                    <w:i/>
                    <w:iCs/>
                    <w:szCs w:val="24"/>
                  </w:rPr>
                  <w:t>, 2021-06-29, paskelbta TAR 2021-07-14, i. k. 2021-15844</w:t>
                </w:r>
              </w:p>
              <w:p>
                <w:pPr>
                  <w:jc w:val="both"/>
                  <w:rPr>
                    <w:b/>
                    <w:szCs w:val="24"/>
                  </w:rPr>
                </w:pPr>
                <w:r>
                  <w:rPr>
                    <w:b/>
                    <w:szCs w:val="24"/>
                  </w:rPr>
                  <w:t>1.127 straipsnis. Ieškinio senaties termino pradžia</w:t>
                </w:r>
              </w:p>
              <w:p>
                <w:pPr>
                  <w:jc w:val="both"/>
                  <w:rPr>
                    <w:szCs w:val="24"/>
                  </w:rPr>
                </w:pPr>
                <w:r>
                  <w:rPr>
                    <w:szCs w:val="24"/>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pPr>
                  <w:jc w:val="both"/>
                  <w:rPr>
                    <w:szCs w:val="24"/>
                  </w:rPr>
                </w:pPr>
                <w:r>
                  <w:rPr>
                    <w:szCs w:val="24"/>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jc w:val="both"/>
                  <w:rPr>
                    <w:b/>
                    <w:szCs w:val="24"/>
                  </w:rPr>
                </w:pPr>
                <w:r>
                  <w:rPr>
                    <w:b/>
                    <w:szCs w:val="24"/>
                  </w:rPr>
                  <w:t>1.134 straipsnis. Reikalavimai, kuriems ieškinio senatis netaikoma</w:t>
                </w:r>
              </w:p>
              <w:p>
                <w:pPr>
                  <w:ind w:firstLine="720"/>
                  <w:jc w:val="both"/>
                  <w:rPr>
                    <w:szCs w:val="24"/>
                  </w:rPr>
                </w:pPr>
                <w:r>
                  <w:rPr>
                    <w:szCs w:val="24"/>
                  </w:rPr>
                  <w:t>Ieškinio senatis netaikoma:</w:t>
                </w:r>
              </w:p>
              <w:p>
                <w:pPr>
                  <w:jc w:val="both"/>
                  <w:rPr>
                    <w:szCs w:val="24"/>
                  </w:rPr>
                </w:pPr>
                <w:r>
                  <w:rPr>
                    <w:szCs w:val="24"/>
                  </w:rPr>
                  <w:t>1) iš asmeninių neturtinių teisių pažeidimų atsirandantiems reikalavimams, išskyrus įstatymų numatytus atvejus;</w:t>
                </w:r>
              </w:p>
              <w:p>
                <w:pPr>
                  <w:jc w:val="both"/>
                  <w:rPr>
                    <w:szCs w:val="24"/>
                  </w:rPr>
                </w:pPr>
                <w:r>
                  <w:rPr>
                    <w:szCs w:val="24"/>
                  </w:rPr>
                  <w:t>&lt;...&gt;</w:t>
                </w:r>
              </w:p>
              <w:p>
                <w:pPr>
                  <w:jc w:val="both"/>
                  <w:rPr>
                    <w:szCs w:val="24"/>
                  </w:rPr>
                </w:pPr>
                <w:r>
                  <w:rPr>
                    <w:i/>
                    <w:iCs/>
                    <w:szCs w:val="24"/>
                  </w:rPr>
                  <w:t>Straipsnio pakeitimai:</w:t>
                </w:r>
              </w:p>
              <w:p>
                <w:pPr>
                  <w:jc w:val="both"/>
                  <w:rPr>
                    <w:szCs w:val="24"/>
                  </w:rPr>
                </w:pPr>
                <w:r>
                  <w:rPr>
                    <w:i/>
                    <w:iCs/>
                    <w:szCs w:val="24"/>
                  </w:rPr>
                  <w:t>Nr. </w:t>
                </w:r>
                <w:hyperlink r:id="rId9" w:tgtFrame="_parent" w:history="1">
                  <w:r>
                    <w:rPr>
                      <w:i/>
                      <w:iCs/>
                      <w:color w:val="000000"/>
                      <w:szCs w:val="24"/>
                      <w:u w:val="single"/>
                    </w:rPr>
                    <w:t>XI-1441</w:t>
                  </w:r>
                </w:hyperlink>
                <w:r>
                  <w:rPr>
                    <w:i/>
                    <w:iCs/>
                    <w:szCs w:val="24"/>
                  </w:rPr>
                  <w:t xml:space="preserve">, 2011-06-09, Žin., 2011, Nr. </w:t>
                </w:r>
                <w:fldSimple w:instr="HYPERLINK https://www.e-tar.lt/portal/legalAct.html?documentId=TAIS.401063 \t _blank">
                  <w:r>
                    <w:rPr>
                      <w:i/>
                      <w:iCs/>
                      <w:szCs w:val="24"/>
                      <w:u w:val="single"/>
                      <w:color w:val="0000FF" w:themeColor="hyperlink"/>
                    </w:rPr>
                    <w:t>74-3545</w:t>
                  </w:r>
                </w:fldSimple>
                <w:r>
                  <w:rPr>
                    <w:i/>
                    <w:iCs/>
                    <w:szCs w:val="24"/>
                  </w:rPr>
                  <w:t xml:space="preserve"> (2011-06-18)</w:t>
                </w:r>
              </w:p>
              <w:p/>
              <w:p>
                <w:pPr>
                  <w:jc w:val="both"/>
                  <w:rPr>
                    <w:b/>
                    <w:szCs w:val="24"/>
                  </w:rPr>
                </w:pPr>
                <w:r>
                  <w:rPr>
                    <w:b/>
                    <w:szCs w:val="24"/>
                  </w:rPr>
                  <w:t xml:space="preserve">Lietuvos Respublikos asociacijų įstatymas Nr. IX-1969 </w:t>
                </w:r>
              </w:p>
              <w:p>
                <w:pPr>
                  <w:jc w:val="both"/>
                  <w:rPr>
                    <w:b/>
                    <w:szCs w:val="24"/>
                    <w:lang w:eastAsia="lt-LT"/>
                  </w:rPr>
                </w:pPr>
                <w:r>
                  <w:rPr>
                    <w:b/>
                    <w:szCs w:val="24"/>
                    <w:lang w:eastAsia="lt-LT"/>
                  </w:rPr>
                  <w:t xml:space="preserve">2 straipsnis. Asociacijos samprata </w:t>
                </w:r>
              </w:p>
              <w:p>
                <w:pPr>
                  <w:jc w:val="both"/>
                  <w:rPr>
                    <w:szCs w:val="24"/>
                    <w:lang w:eastAsia="lt-LT"/>
                  </w:rPr>
                </w:pPr>
                <w:r>
                  <w:rPr>
                    <w:szCs w:val="24"/>
                    <w:lang w:eastAsia="lt-LT"/>
                  </w:rPr>
                  <w:t>1. Asociacija – savo pavadinimą turintis ribotos civilinės atsakomybės viešasis juridinis asmuo, kurio tikslas – koordinuoti asociacijos narių veiklą, atstovauti asociacijos narių interesams ir juos ginti ar tenkinti kitus viešuosius interesus.</w:t>
                </w:r>
              </w:p>
              <w:p>
                <w:pPr>
                  <w:jc w:val="both"/>
                  <w:rPr>
                    <w:szCs w:val="24"/>
                    <w:lang w:eastAsia="lt-LT"/>
                  </w:rPr>
                </w:pPr>
              </w:p>
              <w:p>
                <w:pPr>
                  <w:jc w:val="both"/>
                  <w:rPr>
                    <w:b/>
                    <w:szCs w:val="24"/>
                    <w:lang w:eastAsia="lt-LT"/>
                  </w:rPr>
                </w:pPr>
                <w:r>
                  <w:rPr>
                    <w:b/>
                    <w:szCs w:val="24"/>
                    <w:lang w:eastAsia="lt-LT"/>
                  </w:rPr>
                  <w:t xml:space="preserve">Lietuvos Respublikos profesinių sąjungų įstatymas Nr. I-2018 </w:t>
                </w:r>
              </w:p>
              <w:p>
                <w:pPr>
                  <w:jc w:val="both"/>
                  <w:rPr>
                    <w:b/>
                    <w:szCs w:val="24"/>
                    <w:lang w:eastAsia="lt-LT"/>
                  </w:rPr>
                </w:pPr>
              </w:p>
              <w:p>
                <w:pPr>
                  <w:jc w:val="both"/>
                  <w:rPr>
                    <w:bCs/>
                    <w:iCs/>
                    <w:szCs w:val="24"/>
                    <w:lang w:eastAsia="lt-LT"/>
                  </w:rPr>
                </w:pPr>
                <w:r>
                  <w:rPr>
                    <w:bCs/>
                    <w:iCs/>
                    <w:szCs w:val="24"/>
                    <w:lang w:eastAsia="lt-LT"/>
                  </w:rPr>
                  <w:t>Profesinės sąjungos yra savanoriškos, savarankiškos ir savaveiksmės organizacijos, atstovaujančios darbuotojų profesinėms darbo, ekonominėms, socialinėms teisėms ir interesams ir juos ginančios.</w:t>
                </w:r>
              </w:p>
              <w:p>
                <w:pPr>
                  <w:jc w:val="both"/>
                  <w:rPr>
                    <w:szCs w:val="24"/>
                  </w:rPr>
                </w:pPr>
                <w:r>
                  <w:rPr>
                    <w:i/>
                    <w:iCs/>
                    <w:szCs w:val="24"/>
                  </w:rPr>
                  <w:t>Preambulės pakeitimai:</w:t>
                </w:r>
              </w:p>
              <w:p>
                <w:pPr>
                  <w:jc w:val="both"/>
                  <w:rPr>
                    <w:szCs w:val="24"/>
                  </w:rPr>
                </w:pPr>
                <w:r>
                  <w:rPr>
                    <w:i/>
                    <w:iCs/>
                    <w:szCs w:val="24"/>
                  </w:rPr>
                  <w:t>Nr. </w:t>
                </w:r>
                <w:hyperlink r:id="rId10" w:tgtFrame="_parent" w:history="1">
                  <w:r>
                    <w:rPr>
                      <w:i/>
                      <w:iCs/>
                      <w:color w:val="000000"/>
                      <w:szCs w:val="24"/>
                      <w:u w:val="single"/>
                    </w:rPr>
                    <w:t>I-474</w:t>
                  </w:r>
                </w:hyperlink>
                <w:r>
                  <w:rPr>
                    <w:i/>
                    <w:iCs/>
                    <w:szCs w:val="24"/>
                  </w:rPr>
                  <w:t>, 94.05.24, Žin., 1994, Nr.</w:t>
                </w:r>
                <w:fldSimple w:instr="HYPERLINK https://www.e-tar.lt/portal/legalAct.html?documentId=TAIS.5818 \t _blank">
                  <w:r>
                    <w:rPr>
                      <w:i/>
                      <w:iCs/>
                      <w:szCs w:val="24"/>
                      <w:u w:val="single"/>
                      <w:color w:val="0000FF" w:themeColor="hyperlink"/>
                    </w:rPr>
                    <w:t>42-758</w:t>
                  </w:r>
                </w:fldSimple>
              </w:p>
              <w:p>
                <w:pPr>
                  <w:jc w:val="both"/>
                  <w:rPr>
                    <w:szCs w:val="24"/>
                  </w:rPr>
                </w:pPr>
                <w:r>
                  <w:rPr>
                    <w:i/>
                    <w:iCs/>
                    <w:szCs w:val="24"/>
                  </w:rPr>
                  <w:t>Nr. </w:t>
                </w:r>
                <w:hyperlink r:id="rId11" w:tgtFrame="_parent" w:history="1">
                  <w:r>
                    <w:rPr>
                      <w:i/>
                      <w:iCs/>
                      <w:color w:val="000000"/>
                      <w:szCs w:val="24"/>
                      <w:u w:val="single"/>
                    </w:rPr>
                    <w:t>IX-1803</w:t>
                  </w:r>
                </w:hyperlink>
                <w:r>
                  <w:rPr>
                    <w:i/>
                    <w:iCs/>
                    <w:szCs w:val="24"/>
                  </w:rPr>
                  <w:t xml:space="preserve">, 2003-11-03, Žin., 2003, Nr. </w:t>
                </w:r>
                <w:fldSimple w:instr="HYPERLINK https://www.e-tar.lt/portal/legalAct.html?documentId=TAIS.221245 \t _blank">
                  <w:r>
                    <w:rPr>
                      <w:i/>
                      <w:iCs/>
                      <w:szCs w:val="24"/>
                      <w:u w:val="single"/>
                      <w:color w:val="0000FF" w:themeColor="hyperlink"/>
                    </w:rPr>
                    <w:t>108-4816</w:t>
                  </w:r>
                </w:fldSimple>
                <w:r>
                  <w:rPr>
                    <w:i/>
                    <w:iCs/>
                    <w:szCs w:val="24"/>
                  </w:rPr>
                  <w:t xml:space="preserve"> (2003-11-19)</w:t>
                </w:r>
              </w:p>
              <w:p>
                <w:pPr>
                  <w:jc w:val="both"/>
                  <w:rPr>
                    <w:szCs w:val="24"/>
                  </w:rPr>
                </w:pPr>
                <w:r>
                  <w:rPr>
                    <w:i/>
                    <w:iCs/>
                    <w:szCs w:val="24"/>
                  </w:rPr>
                  <w:t>Nr. </w:t>
                </w:r>
                <w:hyperlink r:id="rId12" w:tgtFrame="_parent" w:history="1">
                  <w:r>
                    <w:rPr>
                      <w:i/>
                      <w:iCs/>
                      <w:color w:val="000000"/>
                      <w:szCs w:val="24"/>
                      <w:u w:val="single"/>
                    </w:rPr>
                    <w:t>XII-364</w:t>
                  </w:r>
                </w:hyperlink>
                <w:r>
                  <w:rPr>
                    <w:i/>
                    <w:iCs/>
                    <w:szCs w:val="24"/>
                  </w:rPr>
                  <w:t xml:space="preserve">, 2013-06-13, Žin., 2013, Nr. </w:t>
                </w:r>
                <w:fldSimple w:instr="HYPERLINK https://www.e-tar.lt/portal/legalAct.html?documentId=TAIS.451387 \t _blank">
                  <w:r>
                    <w:rPr>
                      <w:i/>
                      <w:iCs/>
                      <w:szCs w:val="24"/>
                      <w:u w:val="single"/>
                      <w:color w:val="0000FF" w:themeColor="hyperlink"/>
                    </w:rPr>
                    <w:t>68-3405</w:t>
                  </w:r>
                </w:fldSimple>
                <w:r>
                  <w:rPr>
                    <w:i/>
                    <w:iCs/>
                    <w:szCs w:val="24"/>
                  </w:rPr>
                  <w:t xml:space="preserve"> (2013-06-28)</w:t>
                </w:r>
              </w:p>
              <w:p/>
              <w:p>
                <w:pPr>
                  <w:jc w:val="both"/>
                  <w:rPr>
                    <w:b/>
                    <w:szCs w:val="24"/>
                  </w:rPr>
                </w:pPr>
                <w:r>
                  <w:rPr>
                    <w:b/>
                    <w:bCs/>
                    <w:szCs w:val="24"/>
                  </w:rPr>
                  <w:t>20 straipsnis. Profesinių sąjungų ir jų narių teisių gynimas</w:t>
                </w:r>
              </w:p>
              <w:p>
                <w:pPr>
                  <w:jc w:val="both"/>
                  <w:rPr>
                    <w:bCs/>
                    <w:szCs w:val="24"/>
                  </w:rPr>
                </w:pPr>
                <w:r>
                  <w:rPr>
                    <w:bCs/>
                    <w:szCs w:val="24"/>
                  </w:rPr>
                  <w:t>Profesinės sąjungos ir jų nariai įstatymų nustatyta tvarka turi teisę kreiptis į teismą dėl jų teisių ir teisėtų interesų pažeidimo.</w:t>
                </w:r>
              </w:p>
              <w:p>
                <w:pPr>
                  <w:jc w:val="both"/>
                  <w:rPr>
                    <w:bCs/>
                    <w:szCs w:val="24"/>
                  </w:rPr>
                </w:pPr>
                <w:r>
                  <w:rPr>
                    <w:bCs/>
                    <w:szCs w:val="24"/>
                  </w:rPr>
                  <w:t>Asmenys, neteisėtais veiksmais padarę žalą profesinei sąjungai, privalo ją atlyginti įstatymų nustatyta tvarka.</w:t>
                </w:r>
              </w:p>
              <w:p>
                <w:pPr>
                  <w:jc w:val="both"/>
                  <w:rPr>
                    <w:bCs/>
                    <w:szCs w:val="24"/>
                  </w:rPr>
                </w:pPr>
                <w:r>
                  <w:rPr>
                    <w:bCs/>
                    <w:i/>
                    <w:iCs/>
                    <w:szCs w:val="24"/>
                  </w:rPr>
                  <w:t>Straipsnio pakeitimai:</w:t>
                </w:r>
              </w:p>
              <w:p>
                <w:pPr>
                  <w:jc w:val="both"/>
                  <w:rPr>
                    <w:bCs/>
                    <w:szCs w:val="24"/>
                  </w:rPr>
                </w:pPr>
                <w:r>
                  <w:rPr>
                    <w:bCs/>
                    <w:i/>
                    <w:iCs/>
                    <w:szCs w:val="24"/>
                  </w:rPr>
                  <w:t>Nr. </w:t>
                </w:r>
                <w:hyperlink r:id="rId13" w:tgtFrame="_parent" w:history="1">
                  <w:r>
                    <w:rPr>
                      <w:bCs/>
                      <w:i/>
                      <w:iCs/>
                      <w:color w:val="000000"/>
                      <w:szCs w:val="24"/>
                      <w:u w:val="single"/>
                    </w:rPr>
                    <w:t>XII-364</w:t>
                  </w:r>
                </w:hyperlink>
                <w:r>
                  <w:rPr>
                    <w:bCs/>
                    <w:i/>
                    <w:iCs/>
                    <w:szCs w:val="24"/>
                  </w:rPr>
                  <w:t xml:space="preserve">, 2013-06-13, Žin., 2013, Nr. </w:t>
                </w:r>
                <w:fldSimple w:instr="HYPERLINK https://www.e-tar.lt/portal/legalAct.html?documentId=TAIS.451387 \t _blank">
                  <w:r>
                    <w:rPr>
                      <w:bCs/>
                      <w:i/>
                      <w:iCs/>
                      <w:szCs w:val="24"/>
                      <w:u w:val="single"/>
                      <w:color w:val="0000FF" w:themeColor="hyperlink"/>
                    </w:rPr>
                    <w:t>68-3405</w:t>
                  </w:r>
                </w:fldSimple>
                <w:r>
                  <w:rPr>
                    <w:bCs/>
                    <w:i/>
                    <w:iCs/>
                    <w:szCs w:val="24"/>
                  </w:rPr>
                  <w:t xml:space="preserve"> (2013-06-28)</w:t>
                </w:r>
              </w:p>
              <w:p>
                <w:pPr>
                  <w:jc w:val="both"/>
                  <w:rPr>
                    <w:szCs w:val="24"/>
                    <w:lang w:eastAsia="lt-LT"/>
                  </w:rPr>
                </w:pPr>
              </w:p>
              <w:p>
                <w:pPr>
                  <w:jc w:val="both"/>
                  <w:rPr>
                    <w:szCs w:val="24"/>
                    <w:lang w:eastAsia="lt-LT"/>
                  </w:rPr>
                </w:pPr>
              </w:p>
              <w:p>
                <w:pPr>
                  <w:jc w:val="both"/>
                  <w:rPr>
                    <w:b/>
                    <w:szCs w:val="24"/>
                  </w:rPr>
                </w:pPr>
                <w:r>
                  <w:rPr>
                    <w:b/>
                    <w:szCs w:val="24"/>
                  </w:rPr>
                  <w:t xml:space="preserve">Lietuvos Respublikos civilinio proceso kodekso patvirtinimo, įsigaliojimo ir įgyvendinimo įstatymas Nr. IX-743 </w:t>
                </w:r>
              </w:p>
              <w:p>
                <w:pPr>
                  <w:jc w:val="both"/>
                  <w:rPr>
                    <w:b/>
                    <w:szCs w:val="24"/>
                    <w:lang w:eastAsia="lt-LT"/>
                  </w:rPr>
                </w:pPr>
                <w:r>
                  <w:rPr>
                    <w:b/>
                    <w:szCs w:val="24"/>
                    <w:lang w:eastAsia="lt-LT"/>
                  </w:rPr>
                  <w:t>37 straipsnis. Dalyvaujantys byloje asmenys</w:t>
                </w:r>
              </w:p>
              <w:p>
                <w:pPr>
                  <w:jc w:val="both"/>
                  <w:rPr>
                    <w:szCs w:val="24"/>
                    <w:lang w:eastAsia="lt-LT"/>
                  </w:rPr>
                </w:pPr>
                <w:r>
                  <w:rPr>
                    <w:szCs w:val="24"/>
                    <w:lang w:eastAsia="lt-LT"/>
                  </w:rPr>
                  <w:t>1. Dalyvaujančiais byloje asmenimis laikomi proceso dalyviai, turintys teisinį suinteresuotumą bylos baigtimi.</w:t>
                </w:r>
              </w:p>
              <w:p>
                <w:pPr>
                  <w:jc w:val="both"/>
                  <w:rPr>
                    <w:szCs w:val="24"/>
                    <w:lang w:eastAsia="lt-LT"/>
                  </w:rPr>
                </w:pPr>
                <w:r>
                  <w:rPr>
                    <w:szCs w:val="24"/>
                    <w:lang w:eastAsia="lt-LT"/>
                  </w:rPr>
                  <w:t>2. Dalyvaujančiais byloje asmenimis yra šalys, tretieji asmenys, asmenys, pareiškę ieškinį šio Kodekso 49 straipsnio nustatyta tvarka, pareiškėjai, suinteresuoti asmenys šio Kodekso 442 straipsnyje išvardytose bylose, šio Kodekso 431 straipsnyje numatyti kreditoriai ir skolininkai, taip pat šių asmenų atstovai.</w:t>
                </w:r>
              </w:p>
              <w:p>
                <w:pPr>
                  <w:jc w:val="both"/>
                  <w:rPr>
                    <w:b/>
                    <w:szCs w:val="24"/>
                    <w:lang w:eastAsia="lt-LT"/>
                  </w:rPr>
                </w:pPr>
                <w:r>
                  <w:rPr>
                    <w:b/>
                    <w:szCs w:val="24"/>
                    <w:lang w:eastAsia="lt-LT"/>
                  </w:rPr>
                  <w:t>51 straipsnis. Atstovavimas teisme</w:t>
                </w:r>
              </w:p>
              <w:p>
                <w:pPr>
                  <w:jc w:val="both"/>
                  <w:rPr>
                    <w:szCs w:val="24"/>
                    <w:lang w:eastAsia="lt-LT"/>
                  </w:rPr>
                </w:pPr>
                <w:r>
                  <w:rPr>
                    <w:szCs w:val="24"/>
                    <w:lang w:eastAsia="lt-LT"/>
                  </w:rPr>
                  <w:t>1. Asmenys gali vesti savo bylas teisme patys arba per atstovus. Paties asmens dalyvavimas byloje neatima iš jo teisės turėti šioje byloje atstovą.</w:t>
                </w:r>
              </w:p>
              <w:p>
                <w:pPr>
                  <w:jc w:val="both"/>
                  <w:rPr>
                    <w:b/>
                    <w:szCs w:val="24"/>
                    <w:lang w:eastAsia="lt-LT"/>
                  </w:rPr>
                </w:pPr>
                <w:r>
                  <w:rPr>
                    <w:b/>
                    <w:szCs w:val="24"/>
                    <w:lang w:eastAsia="lt-LT"/>
                  </w:rPr>
                  <w:t>54 straipsnis. Atstovų pagal įstatymą teisės</w:t>
                </w:r>
              </w:p>
              <w:p>
                <w:pPr>
                  <w:jc w:val="both"/>
                  <w:rPr>
                    <w:szCs w:val="24"/>
                    <w:lang w:eastAsia="lt-LT"/>
                  </w:rPr>
                </w:pPr>
                <w:r>
                  <w:rPr>
                    <w:szCs w:val="24"/>
                    <w:lang w:eastAsia="lt-LT"/>
                  </w:rPr>
                  <w:t>1. Atstovai pagal įstatymą atstovaujamųjų vardu atlieka visus procesinius veiksmus, kuriuos atlikti teisė priklauso atstovaujamiesiems, išskyrus įstatymų numatytas išimtis.</w:t>
                </w:r>
              </w:p>
              <w:p>
                <w:pPr>
                  <w:jc w:val="both"/>
                  <w:rPr>
                    <w:szCs w:val="24"/>
                    <w:lang w:eastAsia="lt-LT"/>
                  </w:rPr>
                </w:pPr>
                <w:r>
                  <w:rPr>
                    <w:szCs w:val="24"/>
                    <w:lang w:eastAsia="lt-LT"/>
                  </w:rPr>
                  <w:t>2. Atstovai pagal įstatymą gali pavesti bylą vesti teisme kitam jų pasirinktam atstovui.</w:t>
                </w:r>
              </w:p>
              <w:p>
                <w:pPr>
                  <w:jc w:val="both"/>
                  <w:rPr>
                    <w:b/>
                    <w:szCs w:val="24"/>
                  </w:rPr>
                </w:pPr>
                <w:r>
                  <w:rPr>
                    <w:b/>
                    <w:szCs w:val="24"/>
                  </w:rPr>
                  <w:t>56 straipsnis. Asmenys, kurie gali būti teisme atstovais pagal pavedimą</w:t>
                </w:r>
              </w:p>
              <w:p>
                <w:pPr>
                  <w:jc w:val="both"/>
                  <w:rPr>
                    <w:szCs w:val="24"/>
                  </w:rPr>
                </w:pPr>
                <w:r>
                  <w:rPr>
                    <w:szCs w:val="24"/>
                  </w:rPr>
                  <w:t>1. Fizinių asmenų atstovais</w:t>
                </w:r>
                <w:r>
                  <w:rPr>
                    <w:b/>
                    <w:bCs/>
                    <w:szCs w:val="24"/>
                  </w:rPr>
                  <w:t> </w:t>
                </w:r>
                <w:r>
                  <w:rPr>
                    <w:szCs w:val="24"/>
                  </w:rPr>
                  <w:t>pagal pavedimą teisme gali būti:</w:t>
                </w:r>
              </w:p>
              <w:p>
                <w:pPr>
                  <w:jc w:val="both"/>
                  <w:rPr>
                    <w:szCs w:val="24"/>
                  </w:rPr>
                </w:pPr>
                <w:r>
                  <w:rPr>
                    <w:szCs w:val="24"/>
                  </w:rPr>
                  <w:t>1) advokatai;</w:t>
                </w:r>
              </w:p>
              <w:p>
                <w:pPr>
                  <w:jc w:val="both"/>
                  <w:rPr>
                    <w:szCs w:val="24"/>
                  </w:rPr>
                </w:pPr>
                <w:r>
                  <w:rPr>
                    <w:szCs w:val="24"/>
                  </w:rPr>
                  <w:t>2) advokatų padėjėjai, turintys jų praktikai vadovaujančio advokato rašytinį leidimą atstovauti konkrečioje byloje;</w:t>
                </w:r>
              </w:p>
              <w:p>
                <w:pPr>
                  <w:jc w:val="both"/>
                  <w:rPr>
                    <w:szCs w:val="24"/>
                  </w:rPr>
                </w:pPr>
                <w:r>
                  <w:rPr>
                    <w:szCs w:val="24"/>
                  </w:rPr>
                  <w:t>3) vienas iš bendrininkų kitų bendrininkų pavedimu;</w:t>
                </w:r>
              </w:p>
              <w:p>
                <w:pPr>
                  <w:jc w:val="both"/>
                  <w:rPr>
                    <w:szCs w:val="24"/>
                  </w:rPr>
                </w:pPr>
                <w:r>
                  <w:rPr>
                    <w:szCs w:val="24"/>
                  </w:rPr>
                  <w:t>4) asmenys, turintys aukštąjį universitetinį teisinį išsilavinimą, kai</w:t>
                </w:r>
                <w:r>
                  <w:rPr>
                    <w:b/>
                    <w:bCs/>
                    <w:szCs w:val="24"/>
                  </w:rPr>
                  <w:t> </w:t>
                </w:r>
                <w:r>
                  <w:rPr>
                    <w:szCs w:val="24"/>
                  </w:rPr>
                  <w:t>jie atstovauja savo artimiesiems giminaičiams ar sutuoktiniui (sugyventiniui);</w:t>
                </w:r>
              </w:p>
              <w:p>
                <w:pPr>
                  <w:jc w:val="both"/>
                  <w:rPr>
                    <w:szCs w:val="24"/>
                  </w:rPr>
                </w:pPr>
                <w:r>
                  <w:rPr>
                    <w:szCs w:val="24"/>
                  </w:rPr>
                  <w:t>5) profesinės sąjungos, jeigu jos</w:t>
                </w:r>
                <w:r>
                  <w:rPr>
                    <w:b/>
                    <w:bCs/>
                    <w:szCs w:val="24"/>
                  </w:rPr>
                  <w:t> </w:t>
                </w:r>
                <w:r>
                  <w:rPr>
                    <w:szCs w:val="24"/>
                  </w:rPr>
                  <w:t>atstovauja profesinės sąjungos nariams darbo teisinių santykių bylose. Šiuo atveju bylą teisme veda profesinės sąjungos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pPr>
                  <w:jc w:val="both"/>
                  <w:rPr>
                    <w:szCs w:val="24"/>
                  </w:rPr>
                </w:pPr>
                <w:r>
                  <w:rPr>
                    <w:szCs w:val="24"/>
                  </w:rPr>
                  <w:t>6) asociacijos arba kiti viešieji juridiniai asmenys, kurių steigimo dokumentuose kaip vienas iš veiklos tikslų yra nurodytas tam tikros grupės asmenų gynimas ir jų atstovavimas teisme, jeigu jie neatlygintinai atstovauja asociacijos arba kito viešojo juridinio asmens dalyviams bylose dėl teisinių santykių, tiesiogiai susijusių su šių juridinių asmenų steigimo dokumentuose numatytais veiklos tikslais ir sritimi. Šiuo atveju bylą teisme veda atitinkamo juridinio asmens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pPr>
                  <w:jc w:val="both"/>
                  <w:rPr>
                    <w:szCs w:val="24"/>
                  </w:rPr>
                </w:pPr>
                <w:r>
                  <w:rPr>
                    <w:szCs w:val="24"/>
                  </w:rPr>
                  <w:t>7) antstolių padėjėjai, turintys aukštąjį universitetinį teisinį išsilavinimą ir antstolio įgaliojimą atstovauti antstoliui bylose dėl antstolio vykdomų funkcijų.</w:t>
                </w:r>
              </w:p>
              <w:p>
                <w:pPr>
                  <w:jc w:val="both"/>
                  <w:rPr>
                    <w:b/>
                    <w:bCs/>
                    <w:szCs w:val="24"/>
                    <w:lang w:eastAsia="lt-LT"/>
                  </w:rPr>
                </w:pPr>
              </w:p>
              <w:p>
                <w:pPr>
                  <w:jc w:val="both"/>
                  <w:rPr>
                    <w:b/>
                    <w:szCs w:val="24"/>
                  </w:rPr>
                </w:pPr>
              </w:p>
            </w:tc>
            <w:tc>
              <w:tcPr>
                <w:tcW w:w="1705" w:type="dxa"/>
              </w:tcPr>
              <w:p>
                <w:pPr>
                  <w:rPr>
                    <w:sz w:val="6"/>
                    <w:szCs w:val="6"/>
                  </w:rPr>
                </w:pPr>
              </w:p>
              <w:p>
                <w:pPr>
                  <w:jc w:val="both"/>
                  <w:rPr>
                    <w:b/>
                    <w:bCs/>
                    <w:szCs w:val="24"/>
                  </w:rPr>
                </w:pPr>
                <w:r>
                  <w:rPr>
                    <w:b/>
                    <w:bCs/>
                    <w:szCs w:val="24"/>
                  </w:rPr>
                  <w:t>Visiškas</w:t>
                </w:r>
              </w:p>
            </w:tc>
          </w:tr>
          <w:tr>
            <w:trPr>
              <w:jc w:val="center"/>
            </w:trPr>
            <w:tc>
              <w:tcPr>
                <w:tcW w:w="5988" w:type="dxa"/>
              </w:tcPr>
              <w:p>
                <w:pPr>
                  <w:ind w:right="72"/>
                  <w:jc w:val="both"/>
                  <w:rPr>
                    <w:b/>
                    <w:bCs/>
                    <w:szCs w:val="24"/>
                  </w:rPr>
                </w:pPr>
                <w:r>
                  <w:rPr>
                    <w:b/>
                    <w:bCs/>
                    <w:szCs w:val="24"/>
                  </w:rPr>
                  <w:t>20 straipsnis</w:t>
                </w:r>
              </w:p>
              <w:p>
                <w:pPr>
                  <w:ind w:right="72"/>
                  <w:jc w:val="both"/>
                  <w:rPr>
                    <w:b/>
                    <w:bCs/>
                    <w:szCs w:val="24"/>
                  </w:rPr>
                </w:pPr>
                <w:r>
                  <w:rPr>
                    <w:b/>
                    <w:bCs/>
                    <w:szCs w:val="24"/>
                  </w:rPr>
                  <w:t>Lygybę užtikrinančios institucijos</w:t>
                </w:r>
              </w:p>
              <w:p>
                <w:pPr>
                  <w:ind w:right="72"/>
                  <w:jc w:val="both"/>
                  <w:rPr>
                    <w:i/>
                    <w:iCs/>
                    <w:szCs w:val="24"/>
                  </w:rPr>
                </w:pPr>
              </w:p>
              <w:p>
                <w:pPr>
                  <w:jc w:val="both"/>
                  <w:rPr>
                    <w:szCs w:val="24"/>
                    <w:lang w:eastAsia="lt-LT"/>
                  </w:rPr>
                </w:pPr>
                <w:r>
                  <w:rPr>
                    <w:szCs w:val="24"/>
                    <w:lang w:eastAsia="lt-LT"/>
                  </w:rPr>
                  <w:t>1. Valstybės narės paskiria instituciją ar institucijas bei parengia atitinkamą tvarką, kad būtų skatinamas, tiriamas, prižiūrimas ir remiamas vienodas požiūris į visus asmenis, nediskriminuojant dėl lyties. Šios institucijos gali priklausyti agentūroms, įpareigotoms rūpintis žmogaus teisių arba asmenų teisių apsauga nacionaliniu lygiu.</w:t>
                </w:r>
              </w:p>
              <w:p>
                <w:pPr>
                  <w:jc w:val="both"/>
                  <w:rPr>
                    <w:szCs w:val="24"/>
                    <w:lang w:eastAsia="lt-LT"/>
                  </w:rPr>
                </w:pPr>
                <w:r>
                  <w:rPr>
                    <w:szCs w:val="24"/>
                    <w:lang w:eastAsia="lt-LT"/>
                  </w:rPr>
                  <w:t>2. Valstybės narės užtikrina, kad šios institucijos būtų įgaliotos:</w:t>
                </w:r>
              </w:p>
              <w:p>
                <w:pPr>
                  <w:jc w:val="both"/>
                  <w:rPr>
                    <w:szCs w:val="24"/>
                    <w:lang w:eastAsia="lt-LT"/>
                  </w:rPr>
                </w:pPr>
                <w:r>
                  <w:rPr>
                    <w:szCs w:val="24"/>
                    <w:lang w:eastAsia="lt-LT"/>
                  </w:rPr>
                  <w:t>a) nepažeidžiant nukentėjusiųjų ir 17 straipsnio 2 dalyje minėtų asociacijų, organizacijų ar kitų juridinių asmenų teisių, teikti nepriklausomą pagalbą nukentėjusiesiems nuo diskriminacijos teikiant skundus dėl diskriminacijos;</w:t>
                </w:r>
              </w:p>
              <w:p>
                <w:pPr>
                  <w:jc w:val="both"/>
                  <w:rPr>
                    <w:szCs w:val="24"/>
                    <w:lang w:eastAsia="lt-LT"/>
                  </w:rPr>
                </w:pPr>
                <w:r>
                  <w:rPr>
                    <w:szCs w:val="24"/>
                    <w:lang w:eastAsia="lt-LT"/>
                  </w:rPr>
                  <w:t>b) atlikti nepriklausomus tyrimus dėl diskriminacijos;</w:t>
                </w:r>
              </w:p>
              <w:p>
                <w:pPr>
                  <w:jc w:val="both"/>
                  <w:rPr>
                    <w:szCs w:val="24"/>
                    <w:lang w:eastAsia="lt-LT"/>
                  </w:rPr>
                </w:pPr>
                <w:r>
                  <w:rPr>
                    <w:szCs w:val="24"/>
                    <w:lang w:eastAsia="lt-LT"/>
                  </w:rPr>
                  <w:t>c) skelbti nepriklausomas ataskaitas ir teikti rekomendacijas visais su tokia diskriminacija susijusiais klausimais;</w:t>
                </w:r>
              </w:p>
              <w:p>
                <w:pPr>
                  <w:jc w:val="both"/>
                  <w:rPr>
                    <w:i/>
                    <w:iCs/>
                    <w:szCs w:val="24"/>
                  </w:rPr>
                </w:pPr>
                <w:r>
                  <w:rPr>
                    <w:szCs w:val="24"/>
                  </w:rPr>
                  <w:t>d) atitinkamu lygiu keistis turima informacija su atitinkamomis institucijomis Europoje, pavyzdžiui, su būsimu Europos lyčių lygybės institutu.</w:t>
                </w:r>
              </w:p>
            </w:tc>
            <w:tc>
              <w:tcPr>
                <w:tcW w:w="6095" w:type="dxa"/>
              </w:tcPr>
              <w:p>
                <w:pPr>
                  <w:jc w:val="both"/>
                  <w:rPr>
                    <w:b/>
                    <w:bCs/>
                    <w:szCs w:val="24"/>
                  </w:rPr>
                </w:pPr>
                <w:r>
                  <w:rPr>
                    <w:b/>
                    <w:bCs/>
                    <w:szCs w:val="24"/>
                  </w:rPr>
                  <w:t>Projektas</w:t>
                </w:r>
              </w:p>
              <w:p>
                <w:pPr>
                  <w:jc w:val="both"/>
                  <w:rPr>
                    <w:b/>
                    <w:bCs/>
                    <w:szCs w:val="24"/>
                  </w:rPr>
                </w:pPr>
                <w:r>
                  <w:rPr>
                    <w:b/>
                    <w:bCs/>
                    <w:szCs w:val="24"/>
                  </w:rPr>
                  <w:t>6 straipsnis. Lygių galimybių įgyvendinimo priežiūra ir stebėsena</w:t>
                </w:r>
              </w:p>
              <w:p>
                <w:pPr>
                  <w:jc w:val="both"/>
                  <w:rPr>
                    <w:b/>
                    <w:bCs/>
                    <w:szCs w:val="24"/>
                  </w:rPr>
                </w:pPr>
                <w:r>
                  <w:rPr>
                    <w:b/>
                    <w:bCs/>
                    <w:szCs w:val="24"/>
                  </w:rPr>
                  <w:t xml:space="preserve">1. Lygių galimybių kontrolierius atlieka šio įstatymo įgyvendinimo priežiūrą. </w:t>
                </w:r>
              </w:p>
              <w:p>
                <w:pPr>
                  <w:jc w:val="both"/>
                  <w:rPr>
                    <w:bCs/>
                    <w:szCs w:val="24"/>
                  </w:rPr>
                </w:pPr>
                <w:r>
                  <w:rPr>
                    <w:bCs/>
                    <w:szCs w:val="24"/>
                  </w:rPr>
                  <w:t>[...]</w:t>
                </w:r>
              </w:p>
              <w:p>
                <w:pPr>
                  <w:jc w:val="both"/>
                  <w:rPr>
                    <w:bCs/>
                    <w:szCs w:val="24"/>
                  </w:rPr>
                </w:pPr>
              </w:p>
              <w:p>
                <w:pPr>
                  <w:jc w:val="both"/>
                  <w:rPr>
                    <w:b/>
                    <w:bCs/>
                    <w:szCs w:val="24"/>
                  </w:rPr>
                </w:pPr>
                <w:r>
                  <w:rPr>
                    <w:b/>
                    <w:bCs/>
                    <w:szCs w:val="24"/>
                  </w:rPr>
                  <w:t>20 straipsnis. Lygių galimybių kontrolieriaus tarnyba</w:t>
                </w:r>
              </w:p>
              <w:p>
                <w:pPr>
                  <w:jc w:val="both"/>
                  <w:rPr>
                    <w:bCs/>
                    <w:szCs w:val="24"/>
                  </w:rPr>
                </w:pPr>
                <w:r>
                  <w:rPr>
                    <w:b/>
                    <w:bCs/>
                    <w:szCs w:val="24"/>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r>
                  <w:rPr>
                    <w:bCs/>
                    <w:szCs w:val="24"/>
                  </w:rPr>
                  <w:t>.</w:t>
                </w:r>
              </w:p>
              <w:p>
                <w:pPr>
                  <w:jc w:val="both"/>
                  <w:rPr>
                    <w:bCs/>
                    <w:szCs w:val="24"/>
                  </w:rPr>
                </w:pPr>
                <w:r>
                  <w:rPr>
                    <w:bCs/>
                    <w:szCs w:val="24"/>
                  </w:rPr>
                  <w:t>[...]</w:t>
                </w:r>
              </w:p>
              <w:p>
                <w:pPr>
                  <w:jc w:val="both"/>
                  <w:rPr>
                    <w:bCs/>
                    <w:szCs w:val="24"/>
                  </w:rPr>
                </w:pPr>
              </w:p>
              <w:p>
                <w:pPr>
                  <w:widowControl w:val="0"/>
                  <w:spacing w:line="360" w:lineRule="auto"/>
                  <w:jc w:val="both"/>
                  <w:rPr>
                    <w:szCs w:val="24"/>
                  </w:rPr>
                </w:pPr>
                <w:r>
                  <w:rPr>
                    <w:b/>
                    <w:szCs w:val="24"/>
                  </w:rPr>
                  <w:t xml:space="preserve">13 straipsnis. Lygių galimybių kontrolierius </w:t>
                </w:r>
              </w:p>
              <w:p>
                <w:pPr>
                  <w:widowControl w:val="0"/>
                  <w:spacing w:line="360" w:lineRule="auto"/>
                  <w:jc w:val="both"/>
                  <w:rPr>
                    <w:szCs w:val="24"/>
                  </w:rPr>
                </w:pPr>
                <w:r>
                  <w:rPr>
                    <w:szCs w:val="24"/>
                  </w:rPr>
                  <w:t>[...]</w:t>
                </w:r>
              </w:p>
              <w:p>
                <w:pPr>
                  <w:jc w:val="both"/>
                  <w:rPr>
                    <w:b/>
                    <w:szCs w:val="24"/>
                  </w:rPr>
                </w:pPr>
                <w:r>
                  <w:rPr>
                    <w:b/>
                    <w:szCs w:val="24"/>
                  </w:rPr>
                  <w:t>4. Lygių galimybių kontrolierius:</w:t>
                </w:r>
              </w:p>
              <w:p>
                <w:pPr>
                  <w:jc w:val="both"/>
                  <w:rPr>
                    <w:b/>
                    <w:szCs w:val="24"/>
                  </w:rPr>
                </w:pPr>
                <w:r>
                  <w:rPr>
                    <w:b/>
                    <w:szCs w:val="24"/>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szCs w:val="24"/>
                  </w:rPr>
                </w:pPr>
                <w:r>
                  <w:rPr>
                    <w:b/>
                    <w:szCs w:val="24"/>
                  </w:rPr>
                  <w:t>[...]</w:t>
                </w:r>
              </w:p>
              <w:p>
                <w:pPr>
                  <w:jc w:val="both"/>
                  <w:rPr>
                    <w:b/>
                    <w:szCs w:val="24"/>
                  </w:rPr>
                </w:pPr>
                <w:r>
                  <w:rPr>
                    <w:b/>
                    <w:szCs w:val="24"/>
                  </w:rPr>
                  <w:t>3) vykdo šio įstatymo įgyvendinimo priežiūrą ir Jungtinių Tautų asmenų su negalia teisių konvencijos įgyvendinimo kontrolę;</w:t>
                </w:r>
              </w:p>
              <w:p>
                <w:pPr>
                  <w:jc w:val="both"/>
                  <w:rPr>
                    <w:b/>
                    <w:szCs w:val="24"/>
                  </w:rPr>
                </w:pPr>
                <w:r>
                  <w:rPr>
                    <w:b/>
                    <w:szCs w:val="24"/>
                  </w:rPr>
                  <w:t>[...]</w:t>
                </w:r>
              </w:p>
              <w:p>
                <w:pPr>
                  <w:jc w:val="both"/>
                  <w:rPr>
                    <w:b/>
                    <w:szCs w:val="24"/>
                  </w:rPr>
                </w:pPr>
                <w:r>
                  <w:rPr>
                    <w:b/>
                    <w:szCs w:val="24"/>
                  </w:rPr>
                  <w:t xml:space="preserve">9) nagrinėja asmenų skundus; </w:t>
                </w:r>
              </w:p>
              <w:p>
                <w:pPr>
                  <w:jc w:val="both"/>
                  <w:rPr>
                    <w:b/>
                    <w:szCs w:val="24"/>
                  </w:rPr>
                </w:pPr>
                <w:r>
                  <w:rPr>
                    <w:b/>
                    <w:szCs w:val="24"/>
                  </w:rPr>
                  <w:t>[...]</w:t>
                </w:r>
              </w:p>
              <w:p>
                <w:pPr>
                  <w:jc w:val="both"/>
                  <w:rPr>
                    <w:b/>
                    <w:szCs w:val="24"/>
                  </w:rPr>
                </w:pPr>
                <w:r>
                  <w:rPr>
                    <w:b/>
                    <w:szCs w:val="24"/>
                  </w:rPr>
                  <w:t>13) vykdo informacinę, prevencinę ir švietėjišką veiklą lygių galimybių srityje;</w:t>
                </w:r>
              </w:p>
              <w:p>
                <w:pPr>
                  <w:jc w:val="both"/>
                  <w:rPr>
                    <w:b/>
                    <w:szCs w:val="24"/>
                  </w:rPr>
                </w:pPr>
                <w:r>
                  <w:rPr>
                    <w:b/>
                    <w:szCs w:val="24"/>
                  </w:rPr>
                  <w:t>14) savo iniciatyva atlieka nepriklausomus socialinius, visuomenės nuostatų tyrimus, rengia diskriminacijos apraiškų ir lygių galimybių užtikrinimo apžvalgas;</w:t>
                </w:r>
              </w:p>
              <w:p>
                <w:pPr>
                  <w:jc w:val="both"/>
                  <w:rPr>
                    <w:b/>
                    <w:szCs w:val="24"/>
                  </w:rPr>
                </w:pPr>
                <w:r>
                  <w:rPr>
                    <w:b/>
                    <w:szCs w:val="24"/>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žmonių teise į lygybę ir vienodą požiūrį į juos be diskriminacijos visoje Lietuvos Respublikos teritorijoje;</w:t>
                </w:r>
              </w:p>
              <w:p>
                <w:pPr>
                  <w:jc w:val="both"/>
                  <w:rPr>
                    <w:b/>
                    <w:szCs w:val="24"/>
                  </w:rPr>
                </w:pPr>
                <w:r>
                  <w:rPr>
                    <w:b/>
                    <w:szCs w:val="24"/>
                  </w:rPr>
                  <w:t>[...]</w:t>
                </w:r>
              </w:p>
              <w:p>
                <w:pPr>
                  <w:jc w:val="both"/>
                  <w:rPr>
                    <w:b/>
                    <w:szCs w:val="24"/>
                  </w:rPr>
                </w:pPr>
              </w:p>
              <w:p>
                <w:pPr>
                  <w:jc w:val="both"/>
                  <w:rPr>
                    <w:b/>
                    <w:szCs w:val="24"/>
                  </w:rPr>
                </w:pPr>
                <w:r>
                  <w:rPr>
                    <w:b/>
                    <w:szCs w:val="24"/>
                  </w:rPr>
                  <w:t>20 straipsnis. Lygių galimybių kontrolieriaus tarnyba</w:t>
                </w:r>
              </w:p>
              <w:p>
                <w:pPr>
                  <w:jc w:val="both"/>
                  <w:rPr>
                    <w:bCs/>
                    <w:szCs w:val="24"/>
                  </w:rPr>
                </w:pPr>
                <w:r>
                  <w:rPr>
                    <w:bCs/>
                    <w:szCs w:val="24"/>
                  </w:rPr>
                  <w:t>[...]</w:t>
                </w:r>
              </w:p>
              <w:p>
                <w:pPr>
                  <w:jc w:val="both"/>
                  <w:rPr>
                    <w:b/>
                    <w:szCs w:val="24"/>
                  </w:rPr>
                </w:pPr>
                <w:r>
                  <w:rPr>
                    <w:b/>
                    <w:szCs w:val="24"/>
                  </w:rPr>
                  <w:t>3. Lygių galimybių kontrolieriaus tarnybai vadovauja lygių galimybių kontrolierius.</w:t>
                </w:r>
              </w:p>
              <w:p>
                <w:pPr>
                  <w:jc w:val="both"/>
                  <w:rPr>
                    <w:b/>
                    <w:szCs w:val="24"/>
                  </w:rPr>
                </w:pPr>
                <w:r>
                  <w:rPr>
                    <w:b/>
                    <w:szCs w:val="24"/>
                  </w:rPr>
                  <w:t>[...]</w:t>
                </w:r>
              </w:p>
              <w:p>
                <w:pPr>
                  <w:jc w:val="both"/>
                  <w:rPr>
                    <w:b/>
                    <w:szCs w:val="24"/>
                  </w:rPr>
                </w:pPr>
              </w:p>
              <w:p>
                <w:pPr>
                  <w:jc w:val="both"/>
                  <w:rPr>
                    <w:b/>
                    <w:szCs w:val="24"/>
                  </w:rPr>
                </w:pPr>
                <w:r>
                  <w:rPr>
                    <w:b/>
                    <w:szCs w:val="24"/>
                  </w:rPr>
                  <w:t xml:space="preserve">23 straipsnis. Asmens, kurio lygios galimybės galimai pažeistos, teisės </w:t>
                </w:r>
              </w:p>
              <w:p>
                <w:pPr>
                  <w:jc w:val="both"/>
                  <w:rPr>
                    <w:b/>
                    <w:szCs w:val="24"/>
                  </w:rPr>
                </w:pPr>
                <w:r>
                  <w:rPr>
                    <w:b/>
                    <w:szCs w:val="24"/>
                  </w:rPr>
                  <w:t>1. Asmuo, manantis, kad yra pažeistos jo lygios galimybės, turi teisę kreiptis į lygių galimybių kontrolierių ir šio įstatymo VI skyriuje nustatyta tvarka pateikti skundą. [...]</w:t>
                </w:r>
              </w:p>
              <w:p>
                <w:pPr>
                  <w:jc w:val="both"/>
                  <w:rPr>
                    <w:b/>
                    <w:szCs w:val="24"/>
                  </w:rPr>
                </w:pPr>
              </w:p>
              <w:p>
                <w:pPr>
                  <w:jc w:val="both"/>
                  <w:rPr>
                    <w:iCs/>
                    <w:szCs w:val="24"/>
                  </w:rPr>
                </w:pPr>
                <w:r>
                  <w:rPr>
                    <w:b/>
                    <w:iCs/>
                    <w:szCs w:val="24"/>
                  </w:rPr>
                  <w:t>18 straipsnis. Lygių galimybių kontrolieriaus veiklos viešumas</w:t>
                </w:r>
              </w:p>
              <w:p>
                <w:pPr>
                  <w:jc w:val="both"/>
                  <w:rPr>
                    <w:iCs/>
                    <w:szCs w:val="24"/>
                  </w:rPr>
                </w:pPr>
                <w:r>
                  <w:rPr>
                    <w:iCs/>
                    <w:szCs w:val="24"/>
                  </w:rPr>
                  <w:t>[...]</w:t>
                </w:r>
              </w:p>
              <w:p>
                <w:pPr>
                  <w:jc w:val="both"/>
                  <w:rPr>
                    <w:b/>
                    <w:bCs/>
                    <w:iCs/>
                    <w:szCs w:val="24"/>
                  </w:rPr>
                </w:pPr>
                <w:r>
                  <w:rPr>
                    <w:b/>
                    <w:bCs/>
                    <w:iCs/>
                    <w:szCs w:val="24"/>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
                <w:pPr>
                  <w:jc w:val="both"/>
                  <w:rPr>
                    <w:b/>
                    <w:bCs/>
                    <w:szCs w:val="24"/>
                  </w:rPr>
                </w:pPr>
                <w:r>
                  <w:rPr>
                    <w:b/>
                    <w:bCs/>
                    <w:szCs w:val="24"/>
                  </w:rPr>
                  <w:t>19 straipsnis. Lygių galimybių kontrolieriaus metinė veiklos ataskaita</w:t>
                </w:r>
              </w:p>
              <w:p>
                <w:pPr>
                  <w:jc w:val="both"/>
                  <w:rPr>
                    <w:b/>
                    <w:bCs/>
                    <w:szCs w:val="24"/>
                  </w:rPr>
                </w:pPr>
                <w:r>
                  <w:rPr>
                    <w:b/>
                    <w:bCs/>
                    <w:szCs w:val="24"/>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p>
                <w:pPr>
                  <w:jc w:val="both"/>
                  <w:rPr>
                    <w:szCs w:val="24"/>
                  </w:rPr>
                </w:pPr>
                <w:r>
                  <w:rPr>
                    <w:szCs w:val="24"/>
                  </w:rPr>
                  <w:t xml:space="preserve">. </w:t>
                </w:r>
              </w:p>
            </w:tc>
            <w:tc>
              <w:tcPr>
                <w:tcW w:w="1705" w:type="dxa"/>
              </w:tcPr>
              <w:p>
                <w:pPr>
                  <w:rPr>
                    <w:sz w:val="6"/>
                    <w:szCs w:val="6"/>
                  </w:rPr>
                </w:pPr>
              </w:p>
              <w:p>
                <w:pPr>
                  <w:jc w:val="both"/>
                  <w:rPr>
                    <w:szCs w:val="24"/>
                  </w:rPr>
                </w:pPr>
                <w:r>
                  <w:rPr>
                    <w:b/>
                    <w:bCs/>
                    <w:szCs w:val="24"/>
                  </w:rPr>
                  <w:t>Visiškas</w:t>
                </w: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p>
                <w:pPr>
                  <w:rPr>
                    <w:sz w:val="6"/>
                    <w:szCs w:val="6"/>
                  </w:rPr>
                </w:pPr>
              </w:p>
              <w:p>
                <w:pPr>
                  <w:jc w:val="both"/>
                  <w:rPr>
                    <w:szCs w:val="24"/>
                  </w:rPr>
                </w:pPr>
              </w:p>
            </w:tc>
          </w:tr>
          <w:tr>
            <w:trPr>
              <w:jc w:val="center"/>
            </w:trPr>
            <w:tc>
              <w:tcPr>
                <w:tcW w:w="5988" w:type="dxa"/>
                <w:tcBorders>
                  <w:top w:val="single" w:sz="4" w:space="0" w:color="auto"/>
                  <w:left w:val="single" w:sz="4" w:space="0" w:color="auto"/>
                  <w:bottom w:val="single" w:sz="4" w:space="0" w:color="auto"/>
                  <w:right w:val="single" w:sz="4" w:space="0" w:color="auto"/>
                </w:tcBorders>
              </w:tcPr>
              <w:p>
                <w:pPr>
                  <w:jc w:val="both"/>
                  <w:rPr>
                    <w:b/>
                    <w:bCs/>
                    <w:szCs w:val="24"/>
                  </w:rPr>
                </w:pPr>
                <w:r>
                  <w:rPr>
                    <w:b/>
                    <w:bCs/>
                    <w:szCs w:val="24"/>
                  </w:rPr>
                  <w:t>33 straipsnis</w:t>
                </w:r>
              </w:p>
              <w:p>
                <w:pPr>
                  <w:jc w:val="both"/>
                  <w:rPr>
                    <w:b/>
                    <w:bCs/>
                    <w:szCs w:val="24"/>
                    <w:lang w:eastAsia="lt-LT"/>
                  </w:rPr>
                </w:pPr>
                <w:r>
                  <w:rPr>
                    <w:b/>
                    <w:bCs/>
                    <w:szCs w:val="24"/>
                    <w:lang w:eastAsia="lt-LT"/>
                  </w:rPr>
                  <w:t>Įgyvendinimas</w:t>
                </w:r>
              </w:p>
              <w:p>
                <w:pPr>
                  <w:jc w:val="both"/>
                  <w:rPr>
                    <w:b/>
                    <w:bCs/>
                    <w:szCs w:val="24"/>
                    <w:lang w:eastAsia="lt-LT"/>
                  </w:rPr>
                </w:pPr>
              </w:p>
              <w:p>
                <w:pPr>
                  <w:jc w:val="both"/>
                  <w:rPr>
                    <w:szCs w:val="24"/>
                    <w:lang w:eastAsia="lt-LT"/>
                  </w:rPr>
                </w:pPr>
                <w:r>
                  <w:rPr>
                    <w:szCs w:val="24"/>
                    <w:lang w:eastAsia="lt-LT"/>
                  </w:rPr>
                  <w:t xml:space="preserve">Valstybės narės priima įstatymus ir kitus teisės aktus, kurie, įsigalioję ne vėliau kaip iki </w:t>
                </w:r>
                <w:smartTag w:uri="schemas-tilde-lv/tildestengine" w:element="metric">
                  <w:smartTagPr>
                    <w:attr w:name="metric_value" w:val="2008"/>
                    <w:attr w:name="metric_text" w:val="m"/>
                  </w:smartTagPr>
                  <w:r>
                    <w:rPr>
                      <w:szCs w:val="24"/>
                      <w:lang w:eastAsia="lt-LT"/>
                    </w:rPr>
                    <w:t>2008 m</w:t>
                  </w:r>
                </w:smartTag>
                <w:r>
                  <w:rPr>
                    <w:szCs w:val="24"/>
                    <w:lang w:eastAsia="lt-LT"/>
                  </w:rPr>
                  <w:t>. rugpjūčio 15 d., įgyvendina šią direktyvą arba užtikrina, kad iki tos datos socialiniai partneriai tarpusavio susitarimu būtų nustatę reikiamas nuostatas. Valstybės narės gali, jei tai būtina siekiant atsižvelgti į ypatingus sunkumus, šios direktyvos įgyvendinimui papildomai turėti vienus metus. Valstybės narės imasi visų reikiamų priemonių, kad bet kuriuo metu galėtų užtikrinti rezultatus, kurie turi būti pasiekti pagal šią direktyvą. Jos nedelsdamos pateikia Komisijai tų nuostatų tekstus.</w:t>
                </w:r>
              </w:p>
              <w:p>
                <w:pPr>
                  <w:jc w:val="both"/>
                  <w:rPr>
                    <w:szCs w:val="24"/>
                    <w:lang w:eastAsia="lt-LT"/>
                  </w:rPr>
                </w:pPr>
                <w:r>
                  <w:rPr>
                    <w:szCs w:val="24"/>
                    <w:lang w:eastAsia="lt-LT"/>
                  </w:rPr>
                  <w:t>Valstybės narės, patvirtindamos šias priemones, daro jose nuorodą į šią direktyvą, arba tokia nuoroda daroma jas oficialiai skelbiant. Be to, jos paskelbia, kad galiojančiuose įstatymuose ir kituose teisės aktuose nurodytos direktyvos, panaikintos šia direktyva, turi būti suprantamos kaip nuorodos į šią direktyvą. Nuorodos darymo tvarką ir jos redakciją nustato valstybės narės.</w:t>
                </w:r>
              </w:p>
              <w:p>
                <w:pPr>
                  <w:jc w:val="both"/>
                  <w:rPr>
                    <w:szCs w:val="24"/>
                    <w:lang w:eastAsia="lt-LT"/>
                  </w:rPr>
                </w:pPr>
                <w:r>
                  <w:rPr>
                    <w:szCs w:val="24"/>
                    <w:lang w:eastAsia="lt-LT"/>
                  </w:rPr>
                  <w:t>Prievolė perkelti šią direktyvą į nacionalinę teisę taikoma tik toms nuostatoms, kurios iš esmės skiriasi nuo ankstesnių direktyvų nuostatų. Prievolė perkelti nuostatas, kurios iš esmės nepakito, kyla pagal ankstesnes direktyvas.</w:t>
                </w:r>
              </w:p>
              <w:p>
                <w:pPr>
                  <w:jc w:val="both"/>
                  <w:rPr>
                    <w:i/>
                    <w:iCs/>
                    <w:szCs w:val="24"/>
                  </w:rPr>
                </w:pPr>
                <w:r>
                  <w:rPr>
                    <w:szCs w:val="24"/>
                  </w:rPr>
                  <w:t>Valstybės narės pateikia Komisijai šios direktyvos taikymo srityje priimtų nacionalinės teisės aktų pagrindinių nuostatų tekstus</w:t>
                </w:r>
              </w:p>
            </w:tc>
            <w:tc>
              <w:tcPr>
                <w:tcW w:w="6095" w:type="dxa"/>
                <w:tcBorders>
                  <w:top w:val="single" w:sz="4" w:space="0" w:color="auto"/>
                  <w:left w:val="single" w:sz="4" w:space="0" w:color="auto"/>
                  <w:bottom w:val="single" w:sz="4" w:space="0" w:color="auto"/>
                  <w:right w:val="single" w:sz="4" w:space="0" w:color="auto"/>
                </w:tcBorders>
              </w:tcPr>
              <w:p>
                <w:pPr>
                  <w:rPr>
                    <w:b/>
                    <w:bCs/>
                    <w:szCs w:val="24"/>
                  </w:rPr>
                </w:pPr>
                <w:r>
                  <w:rPr>
                    <w:b/>
                    <w:bCs/>
                    <w:szCs w:val="24"/>
                  </w:rPr>
                  <w:t>Projektas</w:t>
                </w:r>
              </w:p>
              <w:p>
                <w:pPr>
                  <w:jc w:val="right"/>
                  <w:rPr>
                    <w:b/>
                    <w:bCs/>
                    <w:szCs w:val="24"/>
                  </w:rPr>
                </w:pPr>
                <w:r>
                  <w:rPr>
                    <w:b/>
                    <w:bCs/>
                    <w:szCs w:val="24"/>
                  </w:rPr>
                  <w:t>Lietuvos Respublikos</w:t>
                </w:r>
              </w:p>
              <w:p>
                <w:pPr>
                  <w:jc w:val="right"/>
                  <w:rPr>
                    <w:b/>
                    <w:bCs/>
                    <w:szCs w:val="24"/>
                  </w:rPr>
                </w:pPr>
                <w:r>
                  <w:rPr>
                    <w:b/>
                    <w:bCs/>
                    <w:szCs w:val="24"/>
                  </w:rPr>
                  <w:t>lygių galimybių įstatymo</w:t>
                </w:r>
              </w:p>
              <w:p>
                <w:pPr>
                  <w:jc w:val="right"/>
                  <w:rPr>
                    <w:b/>
                    <w:bCs/>
                    <w:szCs w:val="24"/>
                  </w:rPr>
                </w:pPr>
                <w:r>
                  <w:rPr>
                    <w:b/>
                    <w:bCs/>
                    <w:szCs w:val="24"/>
                  </w:rPr>
                  <w:t>priedas</w:t>
                </w:r>
              </w:p>
              <w:p>
                <w:pPr>
                  <w:ind w:firstLine="62"/>
                  <w:jc w:val="both"/>
                  <w:rPr>
                    <w:b/>
                    <w:bCs/>
                    <w:szCs w:val="24"/>
                  </w:rPr>
                </w:pPr>
              </w:p>
              <w:p>
                <w:pPr>
                  <w:jc w:val="both"/>
                  <w:rPr>
                    <w:b/>
                    <w:bCs/>
                    <w:szCs w:val="24"/>
                  </w:rPr>
                </w:pPr>
                <w:r>
                  <w:rPr>
                    <w:b/>
                    <w:bCs/>
                    <w:szCs w:val="24"/>
                  </w:rPr>
                  <w:t>ĮGYVENDINAMI EUROPOS SĄJUNGOS TEISĖS AKTAI</w:t>
                </w:r>
              </w:p>
              <w:p>
                <w:pPr>
                  <w:ind w:firstLine="62"/>
                  <w:jc w:val="both"/>
                  <w:rPr>
                    <w:b/>
                    <w:bCs/>
                    <w:szCs w:val="24"/>
                  </w:rPr>
                </w:pPr>
              </w:p>
              <w:p>
                <w:pPr>
                  <w:jc w:val="both"/>
                  <w:rPr>
                    <w:b/>
                    <w:bCs/>
                    <w:szCs w:val="24"/>
                  </w:rPr>
                </w:pPr>
                <w:r>
                  <w:rPr>
                    <w:b/>
                    <w:bCs/>
                    <w:szCs w:val="24"/>
                  </w:rPr>
                  <w:t>[...]</w:t>
                </w:r>
              </w:p>
              <w:p>
                <w:pPr>
                  <w:jc w:val="both"/>
                  <w:rPr>
                    <w:b/>
                    <w:bCs/>
                    <w:szCs w:val="24"/>
                  </w:rPr>
                </w:pPr>
                <w:r>
                  <w:rPr>
                    <w:b/>
                    <w:bCs/>
                    <w:szCs w:val="24"/>
                  </w:rPr>
                  <w:t xml:space="preserve">3. 2006 m. liepos 5 d. Europos Parlamento ir Tarybos direktyva </w:t>
                </w:r>
                <w:fldSimple w:instr="HYPERLINK http://eur-lex.europa.eu/legal-content/LIT/TXT/?uri=CELEX:32006L0054&amp;locale=lt \t _blank">
                  <w:r>
                    <w:rPr>
                      <w:b/>
                      <w:bCs/>
                      <w:szCs w:val="24"/>
                      <w:u w:val="single"/>
                      <w:color w:val="0000FF" w:themeColor="hyperlink"/>
                    </w:rPr>
                    <w:t>2006/54/EB</w:t>
                  </w:r>
                </w:fldSimple>
                <w:r>
                  <w:rPr>
                    <w:b/>
                    <w:bCs/>
                    <w:szCs w:val="24"/>
                  </w:rPr>
                  <w:t xml:space="preserve"> dėl moterų ir vyrų lygių galimybių ir vienodo požiūrio į moteris ir vyrus užimtumo bei profesinės veiklos srityje principo įgyvendinimo (nauja redakcija), su paskutiniais pakeitimais, padarytais 2024 m. gegužės 14 d. Europos Parlamento ir Tarybos direktyva </w:t>
                </w:r>
                <w:fldSimple w:instr="HYPERLINK http://eur-lex.europa.eu/legal-content/LIT/TXT/?uri=CELEX:32024L1500&amp;locale=lt \t _blank">
                  <w:r>
                    <w:rPr>
                      <w:b/>
                      <w:bCs/>
                      <w:szCs w:val="24"/>
                      <w:u w:val="single"/>
                      <w:color w:val="0000FF" w:themeColor="hyperlink"/>
                    </w:rPr>
                    <w:t>(ES) 2024/1500</w:t>
                  </w:r>
                </w:fldSimple>
                <w:r>
                  <w:rPr>
                    <w:b/>
                    <w:bCs/>
                    <w:szCs w:val="24"/>
                  </w:rPr>
                  <w:t xml:space="preserve"> .</w:t>
                </w:r>
              </w:p>
              <w:p>
                <w:pPr>
                  <w:jc w:val="both"/>
                  <w:rPr>
                    <w:b/>
                    <w:bCs/>
                    <w:szCs w:val="24"/>
                  </w:rPr>
                </w:pPr>
                <w:r>
                  <w:rPr>
                    <w:b/>
                    <w:bCs/>
                    <w:szCs w:val="24"/>
                  </w:rPr>
                  <w:t>[...]</w:t>
                </w:r>
              </w:p>
              <w:p>
                <w:pPr>
                  <w:jc w:val="both"/>
                  <w:rPr>
                    <w:bCs/>
                    <w:szCs w:val="24"/>
                  </w:rPr>
                </w:pPr>
              </w:p>
            </w:tc>
            <w:tc>
              <w:tcPr>
                <w:tcW w:w="1705" w:type="dxa"/>
                <w:tcBorders>
                  <w:top w:val="single" w:sz="4" w:space="0" w:color="auto"/>
                  <w:left w:val="single" w:sz="4" w:space="0" w:color="auto"/>
                  <w:bottom w:val="single" w:sz="4" w:space="0" w:color="auto"/>
                  <w:right w:val="single" w:sz="4" w:space="0" w:color="auto"/>
                </w:tcBorders>
              </w:tcPr>
              <w:p>
                <w:pPr>
                  <w:rPr>
                    <w:sz w:val="6"/>
                    <w:szCs w:val="6"/>
                  </w:rPr>
                </w:pPr>
              </w:p>
              <w:p>
                <w:pPr>
                  <w:jc w:val="both"/>
                  <w:rPr>
                    <w:b/>
                    <w:bCs/>
                    <w:szCs w:val="24"/>
                  </w:rPr>
                </w:pPr>
                <w:r>
                  <w:rPr>
                    <w:b/>
                    <w:bCs/>
                    <w:szCs w:val="24"/>
                  </w:rPr>
                  <w:t>Visiškas</w:t>
                </w:r>
              </w:p>
            </w:tc>
          </w:tr>
        </w:tbl>
        <w:p>
          <w:pPr>
            <w:jc w:val="center"/>
            <w:rPr>
              <w:szCs w:val="24"/>
            </w:rPr>
          </w:pPr>
        </w:p>
      </w:sdtContent>
    </w:sdt>
    <w:sdt>
      <w:sdtPr>
        <w:alias w:val="pastraipa"/>
        <w:tag w:val="part_2fc0c6c9c81846e0904a0b35abfb04bd"/>
        <w:lock w:val="sdtLocked"/>
        <w:richText/>
      </w:sdtPr>
      <w:sdtContent>
        <w:p>
          <w:pPr>
            <w:jc w:val="center"/>
            <w:rPr>
              <w:szCs w:val="24"/>
            </w:rPr>
          </w:pPr>
          <w:r>
            <w:rPr>
              <w:szCs w:val="24"/>
            </w:rPr>
            <w:t>_________________________</w:t>
          </w:r>
        </w:p>
      </w:sdtContent>
    </w:sdt>
    <w:sectPr>
      <w:headerReference w:type="even" r:id="rId14"/>
      <w:headerReference w:type="default" r:id="rId15"/>
      <w:footerReference w:type="even" r:id="rId16"/>
      <w:footerReference w:type="default" r:id="rId17"/>
      <w:footerReference w:type="first" r:id="rId18"/>
      <w:pgSz w:w="16838" w:h="11906" w:orient="landscape"/>
      <w:pgMar w:top="1701"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szCs w:val="24"/>
        </w:rPr>
      </w:pPr>
      <w:r>
        <w:rPr>
          <w:szCs w:val="24"/>
        </w:rPr>
        <w:separator/>
      </w:r>
    </w:p>
  </w:endnote>
  <w:endnote w:type="continuationSeparator" w:id="0">
    <w:p>
      <w:pPr>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rPr>
        <w:szCs w:val="24"/>
      </w:rPr>
    </w:pPr>
    <w:r>
      <w:rPr>
        <w:szCs w:val="24"/>
        <w:lang w:val="en-US"/>
      </w:rPr>
      <mc:AlternateContent>
        <mc:Choice Requires="wps">
          <w:drawing>
            <wp:anchor distT="0" distB="0" distL="0" distR="0" simplePos="0" relativeHeight="251659264" behindDoc="0" locked="0" layoutInCell="1" allowOverlap="1" wp14:anchorId="211EFC23" wp14:editId="31309A65">
              <wp:simplePos x="635" y="635"/>
              <wp:positionH relativeFrom="page">
                <wp:align>left</wp:align>
              </wp:positionH>
              <wp:positionV relativeFrom="page">
                <wp:align>bottom</wp:align>
              </wp:positionV>
              <wp:extent cx="4829175" cy="345440"/>
              <wp:effectExtent l="0" t="0" r="9525" b="0"/>
              <wp:wrapNone/>
              <wp:docPr id="1555917986"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11EFC23"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left:0;text-align:left;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NvgvtQIAAP8EAAAOAAAAZHJzL2Uyb0RvYy54bWysVEtu2zAQ3RfoHQjuHcmu1NhG5ECx46JA kARw2qxpirIZiByCpG2ln3N03RP0Bl0l9+qQstM27arohhrODOfzZp5OTlvVkK2wToIuaP8opURo DpXUq4K+u5n3hpQ4z3TFGtCioPfC0dPJyxcnOzMWA1hDUwlLMIh2450p6Np7M04Sx9dCMXcERmg0 1mAV83i1q6SybIfRVZMM0vR1sgNbGQtcOIfaWWekkxi/rgX3V3XthCdNQbE2H08bz2U4k8kJG68s M2vJ92Wwf6hCMakx6VOoGfOMbKz8I5SS3IKD2h9xUAnUteQi9oDd9NNn3SzWzIjYC4LjzBNM7v+F 5Zfba0tkhbPL83zUPx4NX1OimcJZ3YjWkzNoSU5JJRxH2BbAJWukfvjiCDOObVbgiLSkYnYJREkt nRdW3jGyFJIYtmVN9fhdotPDN1wDGdw/kfdSPH5lCtNsKriTaiMjdpjuwvmAYkgc0fuYl+dZf14O etN0Pu9l2XHaG53Nsl4+L2fTcng8PTsffA5TTOKr+D7ZGTeOjYU1iOLCYJe+xWaw0eAe9A6VIVtb WxW+OA2CdlyT+6fVCJVwVGbDAYKDQHC0vcryLIu7g1kPr411/o0ARYJQUIurF7tiWyyqK/DgEpJp mMumievX6N8UGDNoYhddiaFY3y7bfd1LqO6xHQvdNjvD5xJzXjDnr5nF9cUOkJL+Co+6gV1BYS9R sgb74W/64I9bhVZKdkiHgmrkKyXNW43bNsizNA30iTcU7EFYRqE/SvNg1xs1BWRaH0lveBSDs28O Ym1B3SJjy5ANTUxzzFnQ5UGc+o6cyHguyjI6IVMM8xd6YXgIHcAKSN60t8yaPdweB3UJB8Kw8TPU O9/w0ply4xH7OJIAbIfmHm9kWVyl/R8h0PjXe/T6+d+a/AAAAP//AwBQSwMEFAAGAAgAAAAhALW5 fR7bAAAABAEAAA8AAABkcnMvZG93bnJldi54bWxMj81uwjAQhO+VeAdrkXorThGkKI2DEP1Rr00r laMTL3FEvA7xAunb1+2FXlYazWjm23w9uk6ccQitJwX3swQEUu1NS42Cz4+XuxWIwJqM7jyhgm8M sC4mN7nOjL/QO55LbkQsoZBpBZa5z6QMtUWnw8z3SNHb+8FpjnJopBn0JZa7Ts6TJJVOtxQXrO5x a7E+lCenIH163dj+K90d9/PwFip/4NI/K3U7HTePIBhHvobhFz+iQxGZKn8iE0SnID7Cfzd6D2my BFEpWC4WIItc/ocvfgAAAP//AwBQSwECLQAUAAYACAAAACEAtoM4kv4AAADhAQAAEwAAAAAAAAAA AAAAAAAAAAAAW0NvbnRlbnRfVHlwZXNdLnhtbFBLAQItABQABgAIAAAAIQA4/SH/1gAAAJQBAAAL AAAAAAAAAAAAAAAAAC8BAABfcmVscy8ucmVsc1BLAQItABQABgAIAAAAIQACNvgvtQIAAP8EAAAO AAAAAAAAAAAAAAAAAC4CAABkcnMvZTJvRG9jLnhtbFBLAQItABQABgAIAAAAIQC1uX0e2wAAAAQB AAAPAAAAAAAAAAAAAAAAAA8FAABkcnMvZG93bnJldi54bWxQSwUGAAAAAAQABADzAAAAFwYAAAAA " filled="f" stroked="f">
              <v:textbox style="mso-fit-shape-to-text:t" inset="20pt,0,0,15pt">
                <w:txbxContent>
                  <w:p w14:paraId="00EA83B5" w14:textId="3FCB7266">
                    <w:pPr>
                      <w:jc w:val="both"/>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rPr>
        <w:szCs w:val="24"/>
      </w:rPr>
    </w:pPr>
    <w:r>
      <w:rPr>
        <w:szCs w:val="24"/>
        <w:lang w:val="en-US"/>
      </w:rPr>
      <mc:AlternateContent>
        <mc:Choice Requires="wps">
          <w:drawing>
            <wp:anchor distT="0" distB="0" distL="0" distR="0" simplePos="0" relativeHeight="251660288" behindDoc="0" locked="0" layoutInCell="1" allowOverlap="1" wp14:anchorId="5FBCA799" wp14:editId="5C8D8487">
              <wp:simplePos x="1082040" y="6934200"/>
              <wp:positionH relativeFrom="page">
                <wp:align>left</wp:align>
              </wp:positionH>
              <wp:positionV relativeFrom="page">
                <wp:align>bottom</wp:align>
              </wp:positionV>
              <wp:extent cx="4829175" cy="345440"/>
              <wp:effectExtent l="0" t="0" r="9525" b="0"/>
              <wp:wrapNone/>
              <wp:docPr id="1188819702" name="Text Box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FBCA799" id="_x0000_t202" coordsize="21600,21600" o:spt="202" path="m,l,21600r21600,l21600,xe">
              <v:stroke joinstyle="miter"/>
              <v:path gradientshapeok="t" o:connecttype="rect"/>
            </v:shapetype>
            <v:shape id="Text Box 6" o:spid="_x0000_s1027" type="#_x0000_t202" alt="Socialinės apsaugos ir darbo ministerija bei pavaldžios įstaigos | Viešam naudojimui" style="position:absolute;left:0;text-align:left;margin-left:0;margin-top:0;width:380.2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aq0quAIAAAYFAAAOAAAAZHJzL2Uyb0RvYy54bWysVEtu2zAQ3RfoHQjuHUmuHH8QOVDsqCgQ JAGcNmuaomwG4gckbSlNe46ue4LeoKvkXh1SVtqmXRXdUMOZ4XzezNPJaStqtGfGciUznBzFGDFJ VcnlJsPvb4rBBCPriCxJrSTL8D2z+HT++tVJo2dsqLaqLplBEETaWaMzvHVOz6LI0i0TxB4pzSQY K2UEcXA1m6g0pIHooo6GcXwcNcqU2ijKrAXtsjPieYhfVYy6q6qyzKE6w1CbC6cJ59qf0fyEzDaG 6C2nhzLIP1QhCJeQ9DnUkjiCdob/EUpwapRVlTuiSkSqqjhloQfoJolfdLPaEs1CLwCO1c8w2f8X ll7urw3iJcwumUwmyXQcDzGSRMCsbljr0Jlq0TFGJbMUYFspyknN5eMXi4i2ZLdRFnGDSmLWCgku uXXM8DuC1owjTfakLp++c3B6/AZrwL37J/SBs6evRECaXanuuNjxgB2ku7DOo+gTB/QeRvl5mhT5 cLCIi2KQpuN4MD1bpoNRkS8X+WS8ODsffvZTjMKr8D5qtJ2FxvwaBHGloUvXQjPQqHf3egtKn62t jPBfmAYCO6zJ/fNq+EooKNPJcJqMRxhRsL1JR2kadgey9q+1se4tUwJ5IcMGVi90RfZQVFdg7+KT SVXwug7rV8vfFBDTa0IXXYm+WNeu225OfflrVd5DV0Z1S201LTikviDWXRMDWwyNADPdFRxVrZoM q4OE0VaZj3/Te39YLrBi1AArMiyBthjV7yQs3XCUxrFnUbiBYHphHYRkGo+8Xe7EQgHhEuC+pkH0 zq7uxcoocQvEzX02MBFJIWeG1724cB1HgfiU5XlwAsJo4i7kSlMf2mPmAb1pb4nRB9QdzOtS9bwh sxfgd77+pdX5zsEIwmQ8vh2aB9iBbGGjDj8Gz+Zf78Hr5+9r/gM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CWaq0quAIAAAYF AAAOAAAAAAAAAAAAAAAAAC4CAABkcnMvZTJvRG9jLnhtbFBLAQItABQABgAIAAAAIQC1uX0e2wAA AAQBAAAPAAAAAAAAAAAAAAAAABIFAABkcnMvZG93bnJldi54bWxQSwUGAAAAAAQABADzAAAAGgYA AAAA " filled="f" stroked="f">
              <v:textbox style="mso-fit-shape-to-text:t" inset="20pt,0,0,15pt">
                <w:txbxContent>
                  <w:p w14:paraId="5546938E" w14:textId="6658AAB5">
                    <w:pPr>
                      <w:jc w:val="both"/>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r>
      <w:rPr>
        <w:szCs w:val="24"/>
        <w:lang w:val="en-US"/>
      </w:rPr>
      <mc:AlternateContent>
        <mc:Choice Requires="wps">
          <w:drawing>
            <wp:anchor distT="0" distB="0" distL="0" distR="0" simplePos="0" relativeHeight="251658240" behindDoc="0" locked="0" layoutInCell="1" allowOverlap="1" wp14:anchorId="2A690B81" wp14:editId="1C0D23A6">
              <wp:simplePos x="635" y="635"/>
              <wp:positionH relativeFrom="page">
                <wp:align>left</wp:align>
              </wp:positionH>
              <wp:positionV relativeFrom="page">
                <wp:align>bottom</wp:align>
              </wp:positionV>
              <wp:extent cx="4829175" cy="345440"/>
              <wp:effectExtent l="0" t="0" r="9525" b="0"/>
              <wp:wrapNone/>
              <wp:docPr id="1715043093"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A690B81" id="_x0000_t202" coordsize="21600,21600" o:spt="202" path="m,l,21600r21600,l21600,xe">
              <v:stroke joinstyle="miter"/>
              <v:path gradientshapeok="t" o:connecttype="rect"/>
            </v:shapetype>
            <v:shape id="Text Box 4" o:spid="_x0000_s1028" type="#_x0000_t202" alt="Socialinės apsaugos ir darbo ministerija bei pavaldžios įstaigos | Viešam naudojimui" style="position:absolute;left:0;text-align:left;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knnCuQIAAAYFAAAOAAAAZHJzL2Uyb0RvYy54bWysVEtu2zAQ3RfoHQjuHUmOVMdG5ECxq6JA kARw2qwpirIZiB+QtKX0c46ue4LeoKvkXh3SVtqmXRXdUMOZ4XzezNPpWS9atGPGciVznBzFGDFJ Vc3lOsfvbsrRCUbWEVmTVkmW43tm8dn85YvTTs/YWG1UWzODIIi0s07neOOcnkWRpRsmiD1Smkkw NsoI4uBq1lFtSAfRRRuN4/hV1ClTa6Mosxa0y70Rz0P8pmHUXTWNZQ61OYbaXDhNOCt/RvNTMlsb ojecHsog/1CFIFxC0qdQS+II2hr+RyjBqVFWNe6IKhGppuGUhR6gmyR+1s1qQzQLvQA4Vj/BZP9f WHq5uzaI1zC7SZLF6XE8PcZIEgGzumG9Q+eqRylGNbMUYFspyknL5cMXi4i2ZLtWFnGDamIqhQSX 3Dpm+B1BFeNIkx1p68fvHJwevsEacO/+Cb3n7PErEZBmW6s7LrY8YAfpLqzzKPrEAb2PWfE6Tcpi PFrEZTlK00k8mp4v01FWFstFcTJZnL8ef/ZTjMKr8D7qtJ2FxvwaBHGloUvXQzPQqHf3egtKn61v jPBfmAYCO6zJ/dNq+EooKNOT8TSZZBhRsB2nWZqG3YGsw2ttrHvDlEBeyLGB1QtdkR0UtS9wcPHJ pCp524b1a+VvCojpNaGLfYm+WNdXfZjTeCi/UvU9dGXUfqmtpiWH1BfEumtiYIuhEWCmu4KjaVWX Y3WQMNoo8+Fveu8PywVWjDpgRY4l0Baj9q2EpRtnaRx7FoUbCGYQqiAk0zjzdrkVCwWES4D7mgbR O7t2EBujxC0Qt/DZwEQkhZw5rgZx4fYcBeJTVhTBCQijibuQK019aI+ZB/SmvyVGH1B3MK9LNfCG zJ6Bv/f1L60utg5GECbj8d2jeYAdyBY26vBj8Gz+9R68fv6+5j8AAAD//wMAUEsDBBQABgAIAAAA IQC1uX0e2wAAAAQBAAAPAAAAZHJzL2Rvd25yZXYueG1sTI/NbsIwEITvlXgHa5F6K04RpCiNgxD9 Ua9NK5WjEy9xRLwO8QLp29fthV5WGs1o5tt8PbpOnHEIrScF97MEBFLtTUuNgs+Pl7sViMCajO48 oYJvDLAuJje5zoy/0DueS25ELKGQaQWWuc+kDLVFp8PM90jR2/vBaY5yaKQZ9CWWu07OkySVTrcU F6zucWuxPpQnpyB9et3Y/ivdHffz8BYqf+DSPyt1Ox03jyAYR76G4Rc/okMRmSp/IhNEpyA+wn83 eg9psgRRKVguFiCLXP6HL34AAAD//wMAUEsBAi0AFAAGAAgAAAAhALaDOJL+AAAA4QEAABMAAAAA AAAAAAAAAAAAAAAAAFtDb250ZW50X1R5cGVzXS54bWxQSwECLQAUAAYACAAAACEAOP0h/9YAAACU AQAACwAAAAAAAAAAAAAAAAAvAQAAX3JlbHMvLnJlbHNQSwECLQAUAAYACAAAACEAc5J5wrkCAAAG BQAADgAAAAAAAAAAAAAAAAAuAgAAZHJzL2Uyb0RvYy54bWxQSwECLQAUAAYACAAAACEAtbl9HtsA AAAEAQAADwAAAAAAAAAAAAAAAAATBQAAZHJzL2Rvd25yZXYueG1sUEsFBgAAAAAEAAQA8wAAABsG AAAAAA== " filled="f" stroked="f">
              <v:textbox style="mso-fit-shape-to-text:t" inset="20pt,0,0,15pt">
                <w:txbxContent>
                  <w:p w14:paraId="491A5D06" w14:textId="136F7E4F">
                    <w:pPr>
                      <w:jc w:val="both"/>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szCs w:val="24"/>
        </w:rPr>
      </w:pPr>
      <w:r>
        <w:rPr>
          <w:szCs w:val="24"/>
        </w:rPr>
        <w:separator/>
      </w:r>
    </w:p>
  </w:footnote>
  <w:footnote w:type="continuationSeparator" w:id="0">
    <w:p>
      <w:pPr>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A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hapeDefaults>
    <o:shapedefaults v:ext="edit" spidmax="2050"/>
    <o:shapelayout v:ext="edit">
      <o:idmap v:ext="edit" data="2"/>
    </o:shapelayout>
  </w:shapeDefaults>
  <w:decimalSymbol w:val="."/>
  <w:listSeparator w:val=","/>
  <w15:chartTrackingRefBased/>
  <w15:docId w15:val="{E053AFDD-93E1-48D3-AB1C-02C2631880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301029">
      <w:bodyDiv w:val="1"/>
      <w:marLeft w:val="0"/>
      <w:marRight w:val="0"/>
      <w:marTop w:val="0"/>
      <w:marBottom w:val="0"/>
      <w:divBdr>
        <w:top w:val="none" w:sz="0" w:space="0" w:color="auto"/>
        <w:left w:val="none" w:sz="0" w:space="0" w:color="auto"/>
        <w:bottom w:val="none" w:sz="0" w:space="0" w:color="auto"/>
        <w:right w:val="none" w:sz="0" w:space="0" w:color="auto"/>
      </w:divBdr>
      <w:divsChild>
        <w:div w:id="1976792286">
          <w:marLeft w:val="0"/>
          <w:marRight w:val="0"/>
          <w:marTop w:val="0"/>
          <w:marBottom w:val="0"/>
          <w:divBdr>
            <w:top w:val="none" w:sz="0" w:space="0" w:color="auto"/>
            <w:left w:val="none" w:sz="0" w:space="0" w:color="auto"/>
            <w:bottom w:val="none" w:sz="0" w:space="0" w:color="auto"/>
            <w:right w:val="none" w:sz="0" w:space="0" w:color="auto"/>
          </w:divBdr>
        </w:div>
      </w:divsChild>
    </w:div>
    <w:div w:id="31200267">
      <w:bodyDiv w:val="1"/>
      <w:marLeft w:val="0"/>
      <w:marRight w:val="0"/>
      <w:marTop w:val="0"/>
      <w:marBottom w:val="0"/>
      <w:divBdr>
        <w:top w:val="none" w:sz="0" w:space="0" w:color="auto"/>
        <w:left w:val="none" w:sz="0" w:space="0" w:color="auto"/>
        <w:bottom w:val="none" w:sz="0" w:space="0" w:color="auto"/>
        <w:right w:val="none" w:sz="0" w:space="0" w:color="auto"/>
      </w:divBdr>
      <w:divsChild>
        <w:div w:id="1151823433">
          <w:marLeft w:val="0"/>
          <w:marRight w:val="0"/>
          <w:marTop w:val="0"/>
          <w:marBottom w:val="0"/>
          <w:divBdr>
            <w:top w:val="none" w:sz="0" w:space="0" w:color="auto"/>
            <w:left w:val="none" w:sz="0" w:space="0" w:color="auto"/>
            <w:bottom w:val="none" w:sz="0" w:space="0" w:color="auto"/>
            <w:right w:val="none" w:sz="0" w:space="0" w:color="auto"/>
          </w:divBdr>
        </w:div>
      </w:divsChild>
    </w:div>
    <w:div w:id="31351214">
      <w:bodyDiv w:val="1"/>
      <w:marLeft w:val="0"/>
      <w:marRight w:val="0"/>
      <w:marTop w:val="0"/>
      <w:marBottom w:val="0"/>
      <w:divBdr>
        <w:top w:val="none" w:sz="0" w:space="0" w:color="auto"/>
        <w:left w:val="none" w:sz="0" w:space="0" w:color="auto"/>
        <w:bottom w:val="none" w:sz="0" w:space="0" w:color="auto"/>
        <w:right w:val="none" w:sz="0" w:space="0" w:color="auto"/>
      </w:divBdr>
      <w:divsChild>
        <w:div w:id="941035991">
          <w:marLeft w:val="0"/>
          <w:marRight w:val="0"/>
          <w:marTop w:val="0"/>
          <w:marBottom w:val="0"/>
          <w:divBdr>
            <w:top w:val="none" w:sz="0" w:space="0" w:color="auto"/>
            <w:left w:val="none" w:sz="0" w:space="0" w:color="auto"/>
            <w:bottom w:val="none" w:sz="0" w:space="0" w:color="auto"/>
            <w:right w:val="none" w:sz="0" w:space="0" w:color="auto"/>
          </w:divBdr>
        </w:div>
      </w:divsChild>
    </w:div>
    <w:div w:id="89856321">
      <w:bodyDiv w:val="1"/>
      <w:marLeft w:val="0"/>
      <w:marRight w:val="0"/>
      <w:marTop w:val="0"/>
      <w:marBottom w:val="0"/>
      <w:divBdr>
        <w:top w:val="none" w:sz="0" w:space="0" w:color="auto"/>
        <w:left w:val="none" w:sz="0" w:space="0" w:color="auto"/>
        <w:bottom w:val="none" w:sz="0" w:space="0" w:color="auto"/>
        <w:right w:val="none" w:sz="0" w:space="0" w:color="auto"/>
      </w:divBdr>
      <w:divsChild>
        <w:div w:id="1815023444">
          <w:marLeft w:val="0"/>
          <w:marRight w:val="0"/>
          <w:marTop w:val="0"/>
          <w:marBottom w:val="0"/>
          <w:divBdr>
            <w:top w:val="none" w:sz="0" w:space="0" w:color="auto"/>
            <w:left w:val="none" w:sz="0" w:space="0" w:color="auto"/>
            <w:bottom w:val="none" w:sz="0" w:space="0" w:color="auto"/>
            <w:right w:val="none" w:sz="0" w:space="0" w:color="auto"/>
          </w:divBdr>
        </w:div>
      </w:divsChild>
    </w:div>
    <w:div w:id="160708090">
      <w:bodyDiv w:val="1"/>
      <w:marLeft w:val="0"/>
      <w:marRight w:val="0"/>
      <w:marTop w:val="0"/>
      <w:marBottom w:val="0"/>
      <w:divBdr>
        <w:top w:val="none" w:sz="0" w:space="0" w:color="auto"/>
        <w:left w:val="none" w:sz="0" w:space="0" w:color="auto"/>
        <w:bottom w:val="none" w:sz="0" w:space="0" w:color="auto"/>
        <w:right w:val="none" w:sz="0" w:space="0" w:color="auto"/>
      </w:divBdr>
      <w:divsChild>
        <w:div w:id="1409228232">
          <w:marLeft w:val="0"/>
          <w:marRight w:val="0"/>
          <w:marTop w:val="0"/>
          <w:marBottom w:val="0"/>
          <w:divBdr>
            <w:top w:val="none" w:sz="0" w:space="0" w:color="auto"/>
            <w:left w:val="none" w:sz="0" w:space="0" w:color="auto"/>
            <w:bottom w:val="none" w:sz="0" w:space="0" w:color="auto"/>
            <w:right w:val="none" w:sz="0" w:space="0" w:color="auto"/>
          </w:divBdr>
        </w:div>
      </w:divsChild>
    </w:div>
    <w:div w:id="225117205">
      <w:bodyDiv w:val="1"/>
      <w:marLeft w:val="0"/>
      <w:marRight w:val="0"/>
      <w:marTop w:val="0"/>
      <w:marBottom w:val="0"/>
      <w:divBdr>
        <w:top w:val="none" w:sz="0" w:space="0" w:color="auto"/>
        <w:left w:val="none" w:sz="0" w:space="0" w:color="auto"/>
        <w:bottom w:val="none" w:sz="0" w:space="0" w:color="auto"/>
        <w:right w:val="none" w:sz="0" w:space="0" w:color="auto"/>
      </w:divBdr>
      <w:divsChild>
        <w:div w:id="318000053">
          <w:marLeft w:val="0"/>
          <w:marRight w:val="0"/>
          <w:marTop w:val="0"/>
          <w:marBottom w:val="0"/>
          <w:divBdr>
            <w:top w:val="none" w:sz="0" w:space="0" w:color="auto"/>
            <w:left w:val="none" w:sz="0" w:space="0" w:color="auto"/>
            <w:bottom w:val="none" w:sz="0" w:space="0" w:color="auto"/>
            <w:right w:val="none" w:sz="0" w:space="0" w:color="auto"/>
          </w:divBdr>
        </w:div>
      </w:divsChild>
    </w:div>
    <w:div w:id="253243461">
      <w:bodyDiv w:val="1"/>
      <w:marLeft w:val="0"/>
      <w:marRight w:val="0"/>
      <w:marTop w:val="0"/>
      <w:marBottom w:val="0"/>
      <w:divBdr>
        <w:top w:val="none" w:sz="0" w:space="0" w:color="auto"/>
        <w:left w:val="none" w:sz="0" w:space="0" w:color="auto"/>
        <w:bottom w:val="none" w:sz="0" w:space="0" w:color="auto"/>
        <w:right w:val="none" w:sz="0" w:space="0" w:color="auto"/>
      </w:divBdr>
      <w:divsChild>
        <w:div w:id="600769129">
          <w:marLeft w:val="0"/>
          <w:marRight w:val="0"/>
          <w:marTop w:val="0"/>
          <w:marBottom w:val="0"/>
          <w:divBdr>
            <w:top w:val="none" w:sz="0" w:space="0" w:color="auto"/>
            <w:left w:val="none" w:sz="0" w:space="0" w:color="auto"/>
            <w:bottom w:val="none" w:sz="0" w:space="0" w:color="auto"/>
            <w:right w:val="none" w:sz="0" w:space="0" w:color="auto"/>
          </w:divBdr>
        </w:div>
      </w:divsChild>
    </w:div>
    <w:div w:id="258411128">
      <w:bodyDiv w:val="1"/>
      <w:marLeft w:val="0"/>
      <w:marRight w:val="0"/>
      <w:marTop w:val="0"/>
      <w:marBottom w:val="0"/>
      <w:divBdr>
        <w:top w:val="none" w:sz="0" w:space="0" w:color="auto"/>
        <w:left w:val="none" w:sz="0" w:space="0" w:color="auto"/>
        <w:bottom w:val="none" w:sz="0" w:space="0" w:color="auto"/>
        <w:right w:val="none" w:sz="0" w:space="0" w:color="auto"/>
      </w:divBdr>
      <w:divsChild>
        <w:div w:id="380785527">
          <w:marLeft w:val="0"/>
          <w:marRight w:val="0"/>
          <w:marTop w:val="0"/>
          <w:marBottom w:val="0"/>
          <w:divBdr>
            <w:top w:val="none" w:sz="0" w:space="0" w:color="auto"/>
            <w:left w:val="none" w:sz="0" w:space="0" w:color="auto"/>
            <w:bottom w:val="none" w:sz="0" w:space="0" w:color="auto"/>
            <w:right w:val="none" w:sz="0" w:space="0" w:color="auto"/>
          </w:divBdr>
        </w:div>
      </w:divsChild>
    </w:div>
    <w:div w:id="285938717">
      <w:bodyDiv w:val="1"/>
      <w:marLeft w:val="0"/>
      <w:marRight w:val="0"/>
      <w:marTop w:val="0"/>
      <w:marBottom w:val="0"/>
      <w:divBdr>
        <w:top w:val="none" w:sz="0" w:space="0" w:color="auto"/>
        <w:left w:val="none" w:sz="0" w:space="0" w:color="auto"/>
        <w:bottom w:val="none" w:sz="0" w:space="0" w:color="auto"/>
        <w:right w:val="none" w:sz="0" w:space="0" w:color="auto"/>
      </w:divBdr>
      <w:divsChild>
        <w:div w:id="1683432854">
          <w:marLeft w:val="0"/>
          <w:marRight w:val="0"/>
          <w:marTop w:val="0"/>
          <w:marBottom w:val="0"/>
          <w:divBdr>
            <w:top w:val="none" w:sz="0" w:space="0" w:color="auto"/>
            <w:left w:val="none" w:sz="0" w:space="0" w:color="auto"/>
            <w:bottom w:val="none" w:sz="0" w:space="0" w:color="auto"/>
            <w:right w:val="none" w:sz="0" w:space="0" w:color="auto"/>
          </w:divBdr>
        </w:div>
      </w:divsChild>
    </w:div>
    <w:div w:id="291446943">
      <w:bodyDiv w:val="1"/>
      <w:marLeft w:val="0"/>
      <w:marRight w:val="0"/>
      <w:marTop w:val="0"/>
      <w:marBottom w:val="0"/>
      <w:divBdr>
        <w:top w:val="none" w:sz="0" w:space="0" w:color="auto"/>
        <w:left w:val="none" w:sz="0" w:space="0" w:color="auto"/>
        <w:bottom w:val="none" w:sz="0" w:space="0" w:color="auto"/>
        <w:right w:val="none" w:sz="0" w:space="0" w:color="auto"/>
      </w:divBdr>
      <w:divsChild>
        <w:div w:id="1117798155">
          <w:marLeft w:val="0"/>
          <w:marRight w:val="0"/>
          <w:marTop w:val="0"/>
          <w:marBottom w:val="0"/>
          <w:divBdr>
            <w:top w:val="none" w:sz="0" w:space="0" w:color="auto"/>
            <w:left w:val="none" w:sz="0" w:space="0" w:color="auto"/>
            <w:bottom w:val="none" w:sz="0" w:space="0" w:color="auto"/>
            <w:right w:val="none" w:sz="0" w:space="0" w:color="auto"/>
          </w:divBdr>
        </w:div>
      </w:divsChild>
    </w:div>
    <w:div w:id="333456443">
      <w:bodyDiv w:val="1"/>
      <w:marLeft w:val="0"/>
      <w:marRight w:val="0"/>
      <w:marTop w:val="0"/>
      <w:marBottom w:val="0"/>
      <w:divBdr>
        <w:top w:val="none" w:sz="0" w:space="0" w:color="auto"/>
        <w:left w:val="none" w:sz="0" w:space="0" w:color="auto"/>
        <w:bottom w:val="none" w:sz="0" w:space="0" w:color="auto"/>
        <w:right w:val="none" w:sz="0" w:space="0" w:color="auto"/>
      </w:divBdr>
      <w:divsChild>
        <w:div w:id="1668050178">
          <w:marLeft w:val="0"/>
          <w:marRight w:val="0"/>
          <w:marTop w:val="0"/>
          <w:marBottom w:val="0"/>
          <w:divBdr>
            <w:top w:val="none" w:sz="0" w:space="0" w:color="auto"/>
            <w:left w:val="none" w:sz="0" w:space="0" w:color="auto"/>
            <w:bottom w:val="none" w:sz="0" w:space="0" w:color="auto"/>
            <w:right w:val="none" w:sz="0" w:space="0" w:color="auto"/>
          </w:divBdr>
        </w:div>
      </w:divsChild>
    </w:div>
    <w:div w:id="337781508">
      <w:bodyDiv w:val="1"/>
      <w:marLeft w:val="0"/>
      <w:marRight w:val="0"/>
      <w:marTop w:val="0"/>
      <w:marBottom w:val="0"/>
      <w:divBdr>
        <w:top w:val="none" w:sz="0" w:space="0" w:color="auto"/>
        <w:left w:val="none" w:sz="0" w:space="0" w:color="auto"/>
        <w:bottom w:val="none" w:sz="0" w:space="0" w:color="auto"/>
        <w:right w:val="none" w:sz="0" w:space="0" w:color="auto"/>
      </w:divBdr>
    </w:div>
    <w:div w:id="390344813">
      <w:bodyDiv w:val="1"/>
      <w:marLeft w:val="0"/>
      <w:marRight w:val="0"/>
      <w:marTop w:val="0"/>
      <w:marBottom w:val="0"/>
      <w:divBdr>
        <w:top w:val="none" w:sz="0" w:space="0" w:color="auto"/>
        <w:left w:val="none" w:sz="0" w:space="0" w:color="auto"/>
        <w:bottom w:val="none" w:sz="0" w:space="0" w:color="auto"/>
        <w:right w:val="none" w:sz="0" w:space="0" w:color="auto"/>
      </w:divBdr>
      <w:divsChild>
        <w:div w:id="341056631">
          <w:marLeft w:val="0"/>
          <w:marRight w:val="0"/>
          <w:marTop w:val="0"/>
          <w:marBottom w:val="0"/>
          <w:divBdr>
            <w:top w:val="none" w:sz="0" w:space="0" w:color="auto"/>
            <w:left w:val="none" w:sz="0" w:space="0" w:color="auto"/>
            <w:bottom w:val="none" w:sz="0" w:space="0" w:color="auto"/>
            <w:right w:val="none" w:sz="0" w:space="0" w:color="auto"/>
          </w:divBdr>
        </w:div>
      </w:divsChild>
    </w:div>
    <w:div w:id="437679006">
      <w:bodyDiv w:val="1"/>
      <w:marLeft w:val="0"/>
      <w:marRight w:val="0"/>
      <w:marTop w:val="0"/>
      <w:marBottom w:val="0"/>
      <w:divBdr>
        <w:top w:val="none" w:sz="0" w:space="0" w:color="auto"/>
        <w:left w:val="none" w:sz="0" w:space="0" w:color="auto"/>
        <w:bottom w:val="none" w:sz="0" w:space="0" w:color="auto"/>
        <w:right w:val="none" w:sz="0" w:space="0" w:color="auto"/>
      </w:divBdr>
      <w:divsChild>
        <w:div w:id="259145706">
          <w:marLeft w:val="0"/>
          <w:marRight w:val="0"/>
          <w:marTop w:val="0"/>
          <w:marBottom w:val="0"/>
          <w:divBdr>
            <w:top w:val="none" w:sz="0" w:space="0" w:color="auto"/>
            <w:left w:val="none" w:sz="0" w:space="0" w:color="auto"/>
            <w:bottom w:val="none" w:sz="0" w:space="0" w:color="auto"/>
            <w:right w:val="none" w:sz="0" w:space="0" w:color="auto"/>
          </w:divBdr>
        </w:div>
      </w:divsChild>
    </w:div>
    <w:div w:id="449982527">
      <w:bodyDiv w:val="1"/>
      <w:marLeft w:val="0"/>
      <w:marRight w:val="0"/>
      <w:marTop w:val="0"/>
      <w:marBottom w:val="0"/>
      <w:divBdr>
        <w:top w:val="none" w:sz="0" w:space="0" w:color="auto"/>
        <w:left w:val="none" w:sz="0" w:space="0" w:color="auto"/>
        <w:bottom w:val="none" w:sz="0" w:space="0" w:color="auto"/>
        <w:right w:val="none" w:sz="0" w:space="0" w:color="auto"/>
      </w:divBdr>
      <w:divsChild>
        <w:div w:id="402483395">
          <w:marLeft w:val="0"/>
          <w:marRight w:val="0"/>
          <w:marTop w:val="0"/>
          <w:marBottom w:val="0"/>
          <w:divBdr>
            <w:top w:val="none" w:sz="0" w:space="0" w:color="auto"/>
            <w:left w:val="none" w:sz="0" w:space="0" w:color="auto"/>
            <w:bottom w:val="none" w:sz="0" w:space="0" w:color="auto"/>
            <w:right w:val="none" w:sz="0" w:space="0" w:color="auto"/>
          </w:divBdr>
        </w:div>
      </w:divsChild>
    </w:div>
    <w:div w:id="470514223">
      <w:bodyDiv w:val="1"/>
      <w:marLeft w:val="0"/>
      <w:marRight w:val="0"/>
      <w:marTop w:val="0"/>
      <w:marBottom w:val="0"/>
      <w:divBdr>
        <w:top w:val="none" w:sz="0" w:space="0" w:color="auto"/>
        <w:left w:val="none" w:sz="0" w:space="0" w:color="auto"/>
        <w:bottom w:val="none" w:sz="0" w:space="0" w:color="auto"/>
        <w:right w:val="none" w:sz="0" w:space="0" w:color="auto"/>
      </w:divBdr>
    </w:div>
    <w:div w:id="499852888">
      <w:bodyDiv w:val="1"/>
      <w:marLeft w:val="0"/>
      <w:marRight w:val="0"/>
      <w:marTop w:val="0"/>
      <w:marBottom w:val="0"/>
      <w:divBdr>
        <w:top w:val="none" w:sz="0" w:space="0" w:color="auto"/>
        <w:left w:val="none" w:sz="0" w:space="0" w:color="auto"/>
        <w:bottom w:val="none" w:sz="0" w:space="0" w:color="auto"/>
        <w:right w:val="none" w:sz="0" w:space="0" w:color="auto"/>
      </w:divBdr>
      <w:divsChild>
        <w:div w:id="1404137644">
          <w:marLeft w:val="0"/>
          <w:marRight w:val="0"/>
          <w:marTop w:val="0"/>
          <w:marBottom w:val="0"/>
          <w:divBdr>
            <w:top w:val="none" w:sz="0" w:space="0" w:color="auto"/>
            <w:left w:val="none" w:sz="0" w:space="0" w:color="auto"/>
            <w:bottom w:val="none" w:sz="0" w:space="0" w:color="auto"/>
            <w:right w:val="none" w:sz="0" w:space="0" w:color="auto"/>
          </w:divBdr>
        </w:div>
      </w:divsChild>
    </w:div>
    <w:div w:id="501898734">
      <w:bodyDiv w:val="1"/>
      <w:marLeft w:val="0"/>
      <w:marRight w:val="0"/>
      <w:marTop w:val="0"/>
      <w:marBottom w:val="0"/>
      <w:divBdr>
        <w:top w:val="none" w:sz="0" w:space="0" w:color="auto"/>
        <w:left w:val="none" w:sz="0" w:space="0" w:color="auto"/>
        <w:bottom w:val="none" w:sz="0" w:space="0" w:color="auto"/>
        <w:right w:val="none" w:sz="0" w:space="0" w:color="auto"/>
      </w:divBdr>
      <w:divsChild>
        <w:div w:id="997421899">
          <w:marLeft w:val="0"/>
          <w:marRight w:val="0"/>
          <w:marTop w:val="0"/>
          <w:marBottom w:val="0"/>
          <w:divBdr>
            <w:top w:val="none" w:sz="0" w:space="0" w:color="auto"/>
            <w:left w:val="none" w:sz="0" w:space="0" w:color="auto"/>
            <w:bottom w:val="none" w:sz="0" w:space="0" w:color="auto"/>
            <w:right w:val="none" w:sz="0" w:space="0" w:color="auto"/>
          </w:divBdr>
        </w:div>
      </w:divsChild>
    </w:div>
    <w:div w:id="541985668">
      <w:bodyDiv w:val="1"/>
      <w:marLeft w:val="0"/>
      <w:marRight w:val="0"/>
      <w:marTop w:val="0"/>
      <w:marBottom w:val="0"/>
      <w:divBdr>
        <w:top w:val="none" w:sz="0" w:space="0" w:color="auto"/>
        <w:left w:val="none" w:sz="0" w:space="0" w:color="auto"/>
        <w:bottom w:val="none" w:sz="0" w:space="0" w:color="auto"/>
        <w:right w:val="none" w:sz="0" w:space="0" w:color="auto"/>
      </w:divBdr>
      <w:divsChild>
        <w:div w:id="899633031">
          <w:marLeft w:val="0"/>
          <w:marRight w:val="0"/>
          <w:marTop w:val="0"/>
          <w:marBottom w:val="0"/>
          <w:divBdr>
            <w:top w:val="none" w:sz="0" w:space="0" w:color="auto"/>
            <w:left w:val="none" w:sz="0" w:space="0" w:color="auto"/>
            <w:bottom w:val="none" w:sz="0" w:space="0" w:color="auto"/>
            <w:right w:val="none" w:sz="0" w:space="0" w:color="auto"/>
          </w:divBdr>
        </w:div>
      </w:divsChild>
    </w:div>
    <w:div w:id="543567689">
      <w:bodyDiv w:val="1"/>
      <w:marLeft w:val="0"/>
      <w:marRight w:val="0"/>
      <w:marTop w:val="0"/>
      <w:marBottom w:val="0"/>
      <w:divBdr>
        <w:top w:val="none" w:sz="0" w:space="0" w:color="auto"/>
        <w:left w:val="none" w:sz="0" w:space="0" w:color="auto"/>
        <w:bottom w:val="none" w:sz="0" w:space="0" w:color="auto"/>
        <w:right w:val="none" w:sz="0" w:space="0" w:color="auto"/>
      </w:divBdr>
      <w:divsChild>
        <w:div w:id="893733714">
          <w:marLeft w:val="0"/>
          <w:marRight w:val="0"/>
          <w:marTop w:val="0"/>
          <w:marBottom w:val="0"/>
          <w:divBdr>
            <w:top w:val="none" w:sz="0" w:space="0" w:color="auto"/>
            <w:left w:val="none" w:sz="0" w:space="0" w:color="auto"/>
            <w:bottom w:val="none" w:sz="0" w:space="0" w:color="auto"/>
            <w:right w:val="none" w:sz="0" w:space="0" w:color="auto"/>
          </w:divBdr>
        </w:div>
      </w:divsChild>
    </w:div>
    <w:div w:id="589967862">
      <w:bodyDiv w:val="1"/>
      <w:marLeft w:val="0"/>
      <w:marRight w:val="0"/>
      <w:marTop w:val="0"/>
      <w:marBottom w:val="0"/>
      <w:divBdr>
        <w:top w:val="none" w:sz="0" w:space="0" w:color="auto"/>
        <w:left w:val="none" w:sz="0" w:space="0" w:color="auto"/>
        <w:bottom w:val="none" w:sz="0" w:space="0" w:color="auto"/>
        <w:right w:val="none" w:sz="0" w:space="0" w:color="auto"/>
      </w:divBdr>
      <w:divsChild>
        <w:div w:id="1979264691">
          <w:marLeft w:val="0"/>
          <w:marRight w:val="0"/>
          <w:marTop w:val="0"/>
          <w:marBottom w:val="0"/>
          <w:divBdr>
            <w:top w:val="none" w:sz="0" w:space="0" w:color="auto"/>
            <w:left w:val="none" w:sz="0" w:space="0" w:color="auto"/>
            <w:bottom w:val="none" w:sz="0" w:space="0" w:color="auto"/>
            <w:right w:val="none" w:sz="0" w:space="0" w:color="auto"/>
          </w:divBdr>
        </w:div>
      </w:divsChild>
    </w:div>
    <w:div w:id="591016039">
      <w:bodyDiv w:val="1"/>
      <w:marLeft w:val="0"/>
      <w:marRight w:val="0"/>
      <w:marTop w:val="0"/>
      <w:marBottom w:val="0"/>
      <w:divBdr>
        <w:top w:val="none" w:sz="0" w:space="0" w:color="auto"/>
        <w:left w:val="none" w:sz="0" w:space="0" w:color="auto"/>
        <w:bottom w:val="none" w:sz="0" w:space="0" w:color="auto"/>
        <w:right w:val="none" w:sz="0" w:space="0" w:color="auto"/>
      </w:divBdr>
      <w:divsChild>
        <w:div w:id="1462992812">
          <w:marLeft w:val="0"/>
          <w:marRight w:val="0"/>
          <w:marTop w:val="0"/>
          <w:marBottom w:val="0"/>
          <w:divBdr>
            <w:top w:val="none" w:sz="0" w:space="0" w:color="auto"/>
            <w:left w:val="none" w:sz="0" w:space="0" w:color="auto"/>
            <w:bottom w:val="none" w:sz="0" w:space="0" w:color="auto"/>
            <w:right w:val="none" w:sz="0" w:space="0" w:color="auto"/>
          </w:divBdr>
        </w:div>
      </w:divsChild>
    </w:div>
    <w:div w:id="700669458">
      <w:bodyDiv w:val="1"/>
      <w:marLeft w:val="0"/>
      <w:marRight w:val="0"/>
      <w:marTop w:val="0"/>
      <w:marBottom w:val="0"/>
      <w:divBdr>
        <w:top w:val="none" w:sz="0" w:space="0" w:color="auto"/>
        <w:left w:val="none" w:sz="0" w:space="0" w:color="auto"/>
        <w:bottom w:val="none" w:sz="0" w:space="0" w:color="auto"/>
        <w:right w:val="none" w:sz="0" w:space="0" w:color="auto"/>
      </w:divBdr>
      <w:divsChild>
        <w:div w:id="200482899">
          <w:marLeft w:val="0"/>
          <w:marRight w:val="0"/>
          <w:marTop w:val="0"/>
          <w:marBottom w:val="0"/>
          <w:divBdr>
            <w:top w:val="none" w:sz="0" w:space="0" w:color="auto"/>
            <w:left w:val="none" w:sz="0" w:space="0" w:color="auto"/>
            <w:bottom w:val="none" w:sz="0" w:space="0" w:color="auto"/>
            <w:right w:val="none" w:sz="0" w:space="0" w:color="auto"/>
          </w:divBdr>
        </w:div>
      </w:divsChild>
    </w:div>
    <w:div w:id="714621532">
      <w:bodyDiv w:val="1"/>
      <w:marLeft w:val="0"/>
      <w:marRight w:val="0"/>
      <w:marTop w:val="0"/>
      <w:marBottom w:val="0"/>
      <w:divBdr>
        <w:top w:val="none" w:sz="0" w:space="0" w:color="auto"/>
        <w:left w:val="none" w:sz="0" w:space="0" w:color="auto"/>
        <w:bottom w:val="none" w:sz="0" w:space="0" w:color="auto"/>
        <w:right w:val="none" w:sz="0" w:space="0" w:color="auto"/>
      </w:divBdr>
      <w:divsChild>
        <w:div w:id="273443178">
          <w:marLeft w:val="0"/>
          <w:marRight w:val="0"/>
          <w:marTop w:val="0"/>
          <w:marBottom w:val="0"/>
          <w:divBdr>
            <w:top w:val="none" w:sz="0" w:space="0" w:color="auto"/>
            <w:left w:val="none" w:sz="0" w:space="0" w:color="auto"/>
            <w:bottom w:val="none" w:sz="0" w:space="0" w:color="auto"/>
            <w:right w:val="none" w:sz="0" w:space="0" w:color="auto"/>
          </w:divBdr>
        </w:div>
      </w:divsChild>
    </w:div>
    <w:div w:id="729815965">
      <w:bodyDiv w:val="1"/>
      <w:marLeft w:val="0"/>
      <w:marRight w:val="0"/>
      <w:marTop w:val="0"/>
      <w:marBottom w:val="0"/>
      <w:divBdr>
        <w:top w:val="none" w:sz="0" w:space="0" w:color="auto"/>
        <w:left w:val="none" w:sz="0" w:space="0" w:color="auto"/>
        <w:bottom w:val="none" w:sz="0" w:space="0" w:color="auto"/>
        <w:right w:val="none" w:sz="0" w:space="0" w:color="auto"/>
      </w:divBdr>
      <w:divsChild>
        <w:div w:id="1320769546">
          <w:marLeft w:val="0"/>
          <w:marRight w:val="0"/>
          <w:marTop w:val="0"/>
          <w:marBottom w:val="0"/>
          <w:divBdr>
            <w:top w:val="none" w:sz="0" w:space="0" w:color="auto"/>
            <w:left w:val="none" w:sz="0" w:space="0" w:color="auto"/>
            <w:bottom w:val="none" w:sz="0" w:space="0" w:color="auto"/>
            <w:right w:val="none" w:sz="0" w:space="0" w:color="auto"/>
          </w:divBdr>
        </w:div>
      </w:divsChild>
    </w:div>
    <w:div w:id="741558529">
      <w:bodyDiv w:val="1"/>
      <w:marLeft w:val="0"/>
      <w:marRight w:val="0"/>
      <w:marTop w:val="0"/>
      <w:marBottom w:val="0"/>
      <w:divBdr>
        <w:top w:val="none" w:sz="0" w:space="0" w:color="auto"/>
        <w:left w:val="none" w:sz="0" w:space="0" w:color="auto"/>
        <w:bottom w:val="none" w:sz="0" w:space="0" w:color="auto"/>
        <w:right w:val="none" w:sz="0" w:space="0" w:color="auto"/>
      </w:divBdr>
      <w:divsChild>
        <w:div w:id="2132622978">
          <w:marLeft w:val="0"/>
          <w:marRight w:val="0"/>
          <w:marTop w:val="0"/>
          <w:marBottom w:val="0"/>
          <w:divBdr>
            <w:top w:val="none" w:sz="0" w:space="0" w:color="auto"/>
            <w:left w:val="none" w:sz="0" w:space="0" w:color="auto"/>
            <w:bottom w:val="none" w:sz="0" w:space="0" w:color="auto"/>
            <w:right w:val="none" w:sz="0" w:space="0" w:color="auto"/>
          </w:divBdr>
        </w:div>
      </w:divsChild>
    </w:div>
    <w:div w:id="744566598">
      <w:bodyDiv w:val="1"/>
      <w:marLeft w:val="0"/>
      <w:marRight w:val="0"/>
      <w:marTop w:val="0"/>
      <w:marBottom w:val="0"/>
      <w:divBdr>
        <w:top w:val="none" w:sz="0" w:space="0" w:color="auto"/>
        <w:left w:val="none" w:sz="0" w:space="0" w:color="auto"/>
        <w:bottom w:val="none" w:sz="0" w:space="0" w:color="auto"/>
        <w:right w:val="none" w:sz="0" w:space="0" w:color="auto"/>
      </w:divBdr>
      <w:divsChild>
        <w:div w:id="890656688">
          <w:marLeft w:val="0"/>
          <w:marRight w:val="0"/>
          <w:marTop w:val="0"/>
          <w:marBottom w:val="0"/>
          <w:divBdr>
            <w:top w:val="none" w:sz="0" w:space="0" w:color="auto"/>
            <w:left w:val="none" w:sz="0" w:space="0" w:color="auto"/>
            <w:bottom w:val="none" w:sz="0" w:space="0" w:color="auto"/>
            <w:right w:val="none" w:sz="0" w:space="0" w:color="auto"/>
          </w:divBdr>
        </w:div>
      </w:divsChild>
    </w:div>
    <w:div w:id="748818512">
      <w:bodyDiv w:val="1"/>
      <w:marLeft w:val="0"/>
      <w:marRight w:val="0"/>
      <w:marTop w:val="0"/>
      <w:marBottom w:val="0"/>
      <w:divBdr>
        <w:top w:val="none" w:sz="0" w:space="0" w:color="auto"/>
        <w:left w:val="none" w:sz="0" w:space="0" w:color="auto"/>
        <w:bottom w:val="none" w:sz="0" w:space="0" w:color="auto"/>
        <w:right w:val="none" w:sz="0" w:space="0" w:color="auto"/>
      </w:divBdr>
      <w:divsChild>
        <w:div w:id="1531455969">
          <w:marLeft w:val="0"/>
          <w:marRight w:val="0"/>
          <w:marTop w:val="0"/>
          <w:marBottom w:val="0"/>
          <w:divBdr>
            <w:top w:val="none" w:sz="0" w:space="0" w:color="auto"/>
            <w:left w:val="none" w:sz="0" w:space="0" w:color="auto"/>
            <w:bottom w:val="none" w:sz="0" w:space="0" w:color="auto"/>
            <w:right w:val="none" w:sz="0" w:space="0" w:color="auto"/>
          </w:divBdr>
        </w:div>
      </w:divsChild>
    </w:div>
    <w:div w:id="756248578">
      <w:bodyDiv w:val="1"/>
      <w:marLeft w:val="0"/>
      <w:marRight w:val="0"/>
      <w:marTop w:val="0"/>
      <w:marBottom w:val="0"/>
      <w:divBdr>
        <w:top w:val="none" w:sz="0" w:space="0" w:color="auto"/>
        <w:left w:val="none" w:sz="0" w:space="0" w:color="auto"/>
        <w:bottom w:val="none" w:sz="0" w:space="0" w:color="auto"/>
        <w:right w:val="none" w:sz="0" w:space="0" w:color="auto"/>
      </w:divBdr>
      <w:divsChild>
        <w:div w:id="1059672197">
          <w:marLeft w:val="0"/>
          <w:marRight w:val="0"/>
          <w:marTop w:val="0"/>
          <w:marBottom w:val="0"/>
          <w:divBdr>
            <w:top w:val="none" w:sz="0" w:space="0" w:color="auto"/>
            <w:left w:val="none" w:sz="0" w:space="0" w:color="auto"/>
            <w:bottom w:val="none" w:sz="0" w:space="0" w:color="auto"/>
            <w:right w:val="none" w:sz="0" w:space="0" w:color="auto"/>
          </w:divBdr>
        </w:div>
      </w:divsChild>
    </w:div>
    <w:div w:id="764036363">
      <w:bodyDiv w:val="1"/>
      <w:marLeft w:val="0"/>
      <w:marRight w:val="0"/>
      <w:marTop w:val="0"/>
      <w:marBottom w:val="0"/>
      <w:divBdr>
        <w:top w:val="none" w:sz="0" w:space="0" w:color="auto"/>
        <w:left w:val="none" w:sz="0" w:space="0" w:color="auto"/>
        <w:bottom w:val="none" w:sz="0" w:space="0" w:color="auto"/>
        <w:right w:val="none" w:sz="0" w:space="0" w:color="auto"/>
      </w:divBdr>
      <w:divsChild>
        <w:div w:id="766391217">
          <w:marLeft w:val="0"/>
          <w:marRight w:val="0"/>
          <w:marTop w:val="0"/>
          <w:marBottom w:val="0"/>
          <w:divBdr>
            <w:top w:val="none" w:sz="0" w:space="0" w:color="auto"/>
            <w:left w:val="none" w:sz="0" w:space="0" w:color="auto"/>
            <w:bottom w:val="none" w:sz="0" w:space="0" w:color="auto"/>
            <w:right w:val="none" w:sz="0" w:space="0" w:color="auto"/>
          </w:divBdr>
        </w:div>
      </w:divsChild>
    </w:div>
    <w:div w:id="861209084">
      <w:bodyDiv w:val="1"/>
      <w:marLeft w:val="0"/>
      <w:marRight w:val="0"/>
      <w:marTop w:val="0"/>
      <w:marBottom w:val="0"/>
      <w:divBdr>
        <w:top w:val="none" w:sz="0" w:space="0" w:color="auto"/>
        <w:left w:val="none" w:sz="0" w:space="0" w:color="auto"/>
        <w:bottom w:val="none" w:sz="0" w:space="0" w:color="auto"/>
        <w:right w:val="none" w:sz="0" w:space="0" w:color="auto"/>
      </w:divBdr>
      <w:divsChild>
        <w:div w:id="109597253">
          <w:marLeft w:val="0"/>
          <w:marRight w:val="0"/>
          <w:marTop w:val="0"/>
          <w:marBottom w:val="0"/>
          <w:divBdr>
            <w:top w:val="none" w:sz="0" w:space="0" w:color="auto"/>
            <w:left w:val="none" w:sz="0" w:space="0" w:color="auto"/>
            <w:bottom w:val="none" w:sz="0" w:space="0" w:color="auto"/>
            <w:right w:val="none" w:sz="0" w:space="0" w:color="auto"/>
          </w:divBdr>
        </w:div>
      </w:divsChild>
    </w:div>
    <w:div w:id="893202941">
      <w:bodyDiv w:val="1"/>
      <w:marLeft w:val="0"/>
      <w:marRight w:val="0"/>
      <w:marTop w:val="0"/>
      <w:marBottom w:val="0"/>
      <w:divBdr>
        <w:top w:val="none" w:sz="0" w:space="0" w:color="auto"/>
        <w:left w:val="none" w:sz="0" w:space="0" w:color="auto"/>
        <w:bottom w:val="none" w:sz="0" w:space="0" w:color="auto"/>
        <w:right w:val="none" w:sz="0" w:space="0" w:color="auto"/>
      </w:divBdr>
      <w:divsChild>
        <w:div w:id="285158147">
          <w:marLeft w:val="0"/>
          <w:marRight w:val="0"/>
          <w:marTop w:val="0"/>
          <w:marBottom w:val="0"/>
          <w:divBdr>
            <w:top w:val="none" w:sz="0" w:space="0" w:color="auto"/>
            <w:left w:val="none" w:sz="0" w:space="0" w:color="auto"/>
            <w:bottom w:val="none" w:sz="0" w:space="0" w:color="auto"/>
            <w:right w:val="none" w:sz="0" w:space="0" w:color="auto"/>
          </w:divBdr>
        </w:div>
      </w:divsChild>
    </w:div>
    <w:div w:id="895819681">
      <w:bodyDiv w:val="1"/>
      <w:marLeft w:val="0"/>
      <w:marRight w:val="0"/>
      <w:marTop w:val="0"/>
      <w:marBottom w:val="0"/>
      <w:divBdr>
        <w:top w:val="none" w:sz="0" w:space="0" w:color="auto"/>
        <w:left w:val="none" w:sz="0" w:space="0" w:color="auto"/>
        <w:bottom w:val="none" w:sz="0" w:space="0" w:color="auto"/>
        <w:right w:val="none" w:sz="0" w:space="0" w:color="auto"/>
      </w:divBdr>
      <w:divsChild>
        <w:div w:id="209584389">
          <w:marLeft w:val="0"/>
          <w:marRight w:val="0"/>
          <w:marTop w:val="0"/>
          <w:marBottom w:val="0"/>
          <w:divBdr>
            <w:top w:val="none" w:sz="0" w:space="0" w:color="auto"/>
            <w:left w:val="none" w:sz="0" w:space="0" w:color="auto"/>
            <w:bottom w:val="none" w:sz="0" w:space="0" w:color="auto"/>
            <w:right w:val="none" w:sz="0" w:space="0" w:color="auto"/>
          </w:divBdr>
        </w:div>
      </w:divsChild>
    </w:div>
    <w:div w:id="909539098">
      <w:bodyDiv w:val="1"/>
      <w:marLeft w:val="0"/>
      <w:marRight w:val="0"/>
      <w:marTop w:val="0"/>
      <w:marBottom w:val="0"/>
      <w:divBdr>
        <w:top w:val="none" w:sz="0" w:space="0" w:color="auto"/>
        <w:left w:val="none" w:sz="0" w:space="0" w:color="auto"/>
        <w:bottom w:val="none" w:sz="0" w:space="0" w:color="auto"/>
        <w:right w:val="none" w:sz="0" w:space="0" w:color="auto"/>
      </w:divBdr>
      <w:divsChild>
        <w:div w:id="1497182753">
          <w:marLeft w:val="0"/>
          <w:marRight w:val="0"/>
          <w:marTop w:val="0"/>
          <w:marBottom w:val="0"/>
          <w:divBdr>
            <w:top w:val="none" w:sz="0" w:space="0" w:color="auto"/>
            <w:left w:val="none" w:sz="0" w:space="0" w:color="auto"/>
            <w:bottom w:val="none" w:sz="0" w:space="0" w:color="auto"/>
            <w:right w:val="none" w:sz="0" w:space="0" w:color="auto"/>
          </w:divBdr>
        </w:div>
      </w:divsChild>
    </w:div>
    <w:div w:id="933123180">
      <w:bodyDiv w:val="1"/>
      <w:marLeft w:val="0"/>
      <w:marRight w:val="0"/>
      <w:marTop w:val="0"/>
      <w:marBottom w:val="0"/>
      <w:divBdr>
        <w:top w:val="none" w:sz="0" w:space="0" w:color="auto"/>
        <w:left w:val="none" w:sz="0" w:space="0" w:color="auto"/>
        <w:bottom w:val="none" w:sz="0" w:space="0" w:color="auto"/>
        <w:right w:val="none" w:sz="0" w:space="0" w:color="auto"/>
      </w:divBdr>
      <w:divsChild>
        <w:div w:id="1648784624">
          <w:marLeft w:val="0"/>
          <w:marRight w:val="0"/>
          <w:marTop w:val="0"/>
          <w:marBottom w:val="0"/>
          <w:divBdr>
            <w:top w:val="none" w:sz="0" w:space="0" w:color="auto"/>
            <w:left w:val="none" w:sz="0" w:space="0" w:color="auto"/>
            <w:bottom w:val="none" w:sz="0" w:space="0" w:color="auto"/>
            <w:right w:val="none" w:sz="0" w:space="0" w:color="auto"/>
          </w:divBdr>
        </w:div>
      </w:divsChild>
    </w:div>
    <w:div w:id="943339991">
      <w:bodyDiv w:val="1"/>
      <w:marLeft w:val="0"/>
      <w:marRight w:val="0"/>
      <w:marTop w:val="0"/>
      <w:marBottom w:val="0"/>
      <w:divBdr>
        <w:top w:val="none" w:sz="0" w:space="0" w:color="auto"/>
        <w:left w:val="none" w:sz="0" w:space="0" w:color="auto"/>
        <w:bottom w:val="none" w:sz="0" w:space="0" w:color="auto"/>
        <w:right w:val="none" w:sz="0" w:space="0" w:color="auto"/>
      </w:divBdr>
      <w:divsChild>
        <w:div w:id="47072999">
          <w:marLeft w:val="0"/>
          <w:marRight w:val="0"/>
          <w:marTop w:val="0"/>
          <w:marBottom w:val="0"/>
          <w:divBdr>
            <w:top w:val="none" w:sz="0" w:space="0" w:color="auto"/>
            <w:left w:val="none" w:sz="0" w:space="0" w:color="auto"/>
            <w:bottom w:val="none" w:sz="0" w:space="0" w:color="auto"/>
            <w:right w:val="none" w:sz="0" w:space="0" w:color="auto"/>
          </w:divBdr>
        </w:div>
      </w:divsChild>
    </w:div>
    <w:div w:id="960183044">
      <w:bodyDiv w:val="1"/>
      <w:marLeft w:val="0"/>
      <w:marRight w:val="0"/>
      <w:marTop w:val="0"/>
      <w:marBottom w:val="0"/>
      <w:divBdr>
        <w:top w:val="none" w:sz="0" w:space="0" w:color="auto"/>
        <w:left w:val="none" w:sz="0" w:space="0" w:color="auto"/>
        <w:bottom w:val="none" w:sz="0" w:space="0" w:color="auto"/>
        <w:right w:val="none" w:sz="0" w:space="0" w:color="auto"/>
      </w:divBdr>
    </w:div>
    <w:div w:id="983773603">
      <w:bodyDiv w:val="1"/>
      <w:marLeft w:val="0"/>
      <w:marRight w:val="0"/>
      <w:marTop w:val="0"/>
      <w:marBottom w:val="0"/>
      <w:divBdr>
        <w:top w:val="none" w:sz="0" w:space="0" w:color="auto"/>
        <w:left w:val="none" w:sz="0" w:space="0" w:color="auto"/>
        <w:bottom w:val="none" w:sz="0" w:space="0" w:color="auto"/>
        <w:right w:val="none" w:sz="0" w:space="0" w:color="auto"/>
      </w:divBdr>
      <w:divsChild>
        <w:div w:id="669528619">
          <w:marLeft w:val="0"/>
          <w:marRight w:val="0"/>
          <w:marTop w:val="0"/>
          <w:marBottom w:val="0"/>
          <w:divBdr>
            <w:top w:val="none" w:sz="0" w:space="0" w:color="auto"/>
            <w:left w:val="none" w:sz="0" w:space="0" w:color="auto"/>
            <w:bottom w:val="none" w:sz="0" w:space="0" w:color="auto"/>
            <w:right w:val="none" w:sz="0" w:space="0" w:color="auto"/>
          </w:divBdr>
        </w:div>
      </w:divsChild>
    </w:div>
    <w:div w:id="994800503">
      <w:bodyDiv w:val="1"/>
      <w:marLeft w:val="0"/>
      <w:marRight w:val="0"/>
      <w:marTop w:val="0"/>
      <w:marBottom w:val="0"/>
      <w:divBdr>
        <w:top w:val="none" w:sz="0" w:space="0" w:color="auto"/>
        <w:left w:val="none" w:sz="0" w:space="0" w:color="auto"/>
        <w:bottom w:val="none" w:sz="0" w:space="0" w:color="auto"/>
        <w:right w:val="none" w:sz="0" w:space="0" w:color="auto"/>
      </w:divBdr>
      <w:divsChild>
        <w:div w:id="448554133">
          <w:marLeft w:val="0"/>
          <w:marRight w:val="0"/>
          <w:marTop w:val="0"/>
          <w:marBottom w:val="0"/>
          <w:divBdr>
            <w:top w:val="none" w:sz="0" w:space="0" w:color="auto"/>
            <w:left w:val="none" w:sz="0" w:space="0" w:color="auto"/>
            <w:bottom w:val="none" w:sz="0" w:space="0" w:color="auto"/>
            <w:right w:val="none" w:sz="0" w:space="0" w:color="auto"/>
          </w:divBdr>
        </w:div>
      </w:divsChild>
    </w:div>
    <w:div w:id="1061947257">
      <w:bodyDiv w:val="1"/>
      <w:marLeft w:val="0"/>
      <w:marRight w:val="0"/>
      <w:marTop w:val="0"/>
      <w:marBottom w:val="0"/>
      <w:divBdr>
        <w:top w:val="none" w:sz="0" w:space="0" w:color="auto"/>
        <w:left w:val="none" w:sz="0" w:space="0" w:color="auto"/>
        <w:bottom w:val="none" w:sz="0" w:space="0" w:color="auto"/>
        <w:right w:val="none" w:sz="0" w:space="0" w:color="auto"/>
      </w:divBdr>
      <w:divsChild>
        <w:div w:id="182983420">
          <w:marLeft w:val="0"/>
          <w:marRight w:val="0"/>
          <w:marTop w:val="0"/>
          <w:marBottom w:val="0"/>
          <w:divBdr>
            <w:top w:val="none" w:sz="0" w:space="0" w:color="auto"/>
            <w:left w:val="none" w:sz="0" w:space="0" w:color="auto"/>
            <w:bottom w:val="none" w:sz="0" w:space="0" w:color="auto"/>
            <w:right w:val="none" w:sz="0" w:space="0" w:color="auto"/>
          </w:divBdr>
        </w:div>
        <w:div w:id="1344471705">
          <w:marLeft w:val="0"/>
          <w:marRight w:val="0"/>
          <w:marTop w:val="0"/>
          <w:marBottom w:val="0"/>
          <w:divBdr>
            <w:top w:val="none" w:sz="0" w:space="0" w:color="auto"/>
            <w:left w:val="none" w:sz="0" w:space="0" w:color="auto"/>
            <w:bottom w:val="none" w:sz="0" w:space="0" w:color="auto"/>
            <w:right w:val="none" w:sz="0" w:space="0" w:color="auto"/>
          </w:divBdr>
        </w:div>
      </w:divsChild>
    </w:div>
    <w:div w:id="1067801242">
      <w:bodyDiv w:val="1"/>
      <w:marLeft w:val="0"/>
      <w:marRight w:val="0"/>
      <w:marTop w:val="0"/>
      <w:marBottom w:val="0"/>
      <w:divBdr>
        <w:top w:val="none" w:sz="0" w:space="0" w:color="auto"/>
        <w:left w:val="none" w:sz="0" w:space="0" w:color="auto"/>
        <w:bottom w:val="none" w:sz="0" w:space="0" w:color="auto"/>
        <w:right w:val="none" w:sz="0" w:space="0" w:color="auto"/>
      </w:divBdr>
      <w:divsChild>
        <w:div w:id="925844089">
          <w:marLeft w:val="0"/>
          <w:marRight w:val="0"/>
          <w:marTop w:val="0"/>
          <w:marBottom w:val="0"/>
          <w:divBdr>
            <w:top w:val="none" w:sz="0" w:space="0" w:color="auto"/>
            <w:left w:val="none" w:sz="0" w:space="0" w:color="auto"/>
            <w:bottom w:val="none" w:sz="0" w:space="0" w:color="auto"/>
            <w:right w:val="none" w:sz="0" w:space="0" w:color="auto"/>
          </w:divBdr>
        </w:div>
      </w:divsChild>
    </w:div>
    <w:div w:id="1078752269">
      <w:bodyDiv w:val="1"/>
      <w:marLeft w:val="0"/>
      <w:marRight w:val="0"/>
      <w:marTop w:val="0"/>
      <w:marBottom w:val="0"/>
      <w:divBdr>
        <w:top w:val="none" w:sz="0" w:space="0" w:color="auto"/>
        <w:left w:val="none" w:sz="0" w:space="0" w:color="auto"/>
        <w:bottom w:val="none" w:sz="0" w:space="0" w:color="auto"/>
        <w:right w:val="none" w:sz="0" w:space="0" w:color="auto"/>
      </w:divBdr>
      <w:divsChild>
        <w:div w:id="2025326007">
          <w:marLeft w:val="0"/>
          <w:marRight w:val="0"/>
          <w:marTop w:val="0"/>
          <w:marBottom w:val="0"/>
          <w:divBdr>
            <w:top w:val="none" w:sz="0" w:space="0" w:color="auto"/>
            <w:left w:val="none" w:sz="0" w:space="0" w:color="auto"/>
            <w:bottom w:val="none" w:sz="0" w:space="0" w:color="auto"/>
            <w:right w:val="none" w:sz="0" w:space="0" w:color="auto"/>
          </w:divBdr>
        </w:div>
      </w:divsChild>
    </w:div>
    <w:div w:id="1102797295">
      <w:bodyDiv w:val="1"/>
      <w:marLeft w:val="0"/>
      <w:marRight w:val="0"/>
      <w:marTop w:val="0"/>
      <w:marBottom w:val="0"/>
      <w:divBdr>
        <w:top w:val="none" w:sz="0" w:space="0" w:color="auto"/>
        <w:left w:val="none" w:sz="0" w:space="0" w:color="auto"/>
        <w:bottom w:val="none" w:sz="0" w:space="0" w:color="auto"/>
        <w:right w:val="none" w:sz="0" w:space="0" w:color="auto"/>
      </w:divBdr>
      <w:divsChild>
        <w:div w:id="1104306588">
          <w:marLeft w:val="0"/>
          <w:marRight w:val="0"/>
          <w:marTop w:val="0"/>
          <w:marBottom w:val="0"/>
          <w:divBdr>
            <w:top w:val="none" w:sz="0" w:space="0" w:color="auto"/>
            <w:left w:val="none" w:sz="0" w:space="0" w:color="auto"/>
            <w:bottom w:val="none" w:sz="0" w:space="0" w:color="auto"/>
            <w:right w:val="none" w:sz="0" w:space="0" w:color="auto"/>
          </w:divBdr>
        </w:div>
      </w:divsChild>
    </w:div>
    <w:div w:id="1123497426">
      <w:bodyDiv w:val="1"/>
      <w:marLeft w:val="0"/>
      <w:marRight w:val="0"/>
      <w:marTop w:val="0"/>
      <w:marBottom w:val="0"/>
      <w:divBdr>
        <w:top w:val="none" w:sz="0" w:space="0" w:color="auto"/>
        <w:left w:val="none" w:sz="0" w:space="0" w:color="auto"/>
        <w:bottom w:val="none" w:sz="0" w:space="0" w:color="auto"/>
        <w:right w:val="none" w:sz="0" w:space="0" w:color="auto"/>
      </w:divBdr>
    </w:div>
    <w:div w:id="1136918821">
      <w:bodyDiv w:val="1"/>
      <w:marLeft w:val="0"/>
      <w:marRight w:val="0"/>
      <w:marTop w:val="0"/>
      <w:marBottom w:val="0"/>
      <w:divBdr>
        <w:top w:val="none" w:sz="0" w:space="0" w:color="auto"/>
        <w:left w:val="none" w:sz="0" w:space="0" w:color="auto"/>
        <w:bottom w:val="none" w:sz="0" w:space="0" w:color="auto"/>
        <w:right w:val="none" w:sz="0" w:space="0" w:color="auto"/>
      </w:divBdr>
      <w:divsChild>
        <w:div w:id="1591238407">
          <w:marLeft w:val="0"/>
          <w:marRight w:val="0"/>
          <w:marTop w:val="0"/>
          <w:marBottom w:val="0"/>
          <w:divBdr>
            <w:top w:val="none" w:sz="0" w:space="0" w:color="auto"/>
            <w:left w:val="none" w:sz="0" w:space="0" w:color="auto"/>
            <w:bottom w:val="none" w:sz="0" w:space="0" w:color="auto"/>
            <w:right w:val="none" w:sz="0" w:space="0" w:color="auto"/>
          </w:divBdr>
        </w:div>
      </w:divsChild>
    </w:div>
    <w:div w:id="1150097131">
      <w:bodyDiv w:val="1"/>
      <w:marLeft w:val="0"/>
      <w:marRight w:val="0"/>
      <w:marTop w:val="0"/>
      <w:marBottom w:val="0"/>
      <w:divBdr>
        <w:top w:val="none" w:sz="0" w:space="0" w:color="auto"/>
        <w:left w:val="none" w:sz="0" w:space="0" w:color="auto"/>
        <w:bottom w:val="none" w:sz="0" w:space="0" w:color="auto"/>
        <w:right w:val="none" w:sz="0" w:space="0" w:color="auto"/>
      </w:divBdr>
      <w:divsChild>
        <w:div w:id="361787415">
          <w:marLeft w:val="0"/>
          <w:marRight w:val="0"/>
          <w:marTop w:val="0"/>
          <w:marBottom w:val="0"/>
          <w:divBdr>
            <w:top w:val="none" w:sz="0" w:space="0" w:color="auto"/>
            <w:left w:val="none" w:sz="0" w:space="0" w:color="auto"/>
            <w:bottom w:val="none" w:sz="0" w:space="0" w:color="auto"/>
            <w:right w:val="none" w:sz="0" w:space="0" w:color="auto"/>
          </w:divBdr>
        </w:div>
      </w:divsChild>
    </w:div>
    <w:div w:id="1152406730">
      <w:bodyDiv w:val="1"/>
      <w:marLeft w:val="0"/>
      <w:marRight w:val="0"/>
      <w:marTop w:val="0"/>
      <w:marBottom w:val="0"/>
      <w:divBdr>
        <w:top w:val="none" w:sz="0" w:space="0" w:color="auto"/>
        <w:left w:val="none" w:sz="0" w:space="0" w:color="auto"/>
        <w:bottom w:val="none" w:sz="0" w:space="0" w:color="auto"/>
        <w:right w:val="none" w:sz="0" w:space="0" w:color="auto"/>
      </w:divBdr>
      <w:divsChild>
        <w:div w:id="73280794">
          <w:marLeft w:val="0"/>
          <w:marRight w:val="0"/>
          <w:marTop w:val="0"/>
          <w:marBottom w:val="0"/>
          <w:divBdr>
            <w:top w:val="none" w:sz="0" w:space="0" w:color="auto"/>
            <w:left w:val="none" w:sz="0" w:space="0" w:color="auto"/>
            <w:bottom w:val="none" w:sz="0" w:space="0" w:color="auto"/>
            <w:right w:val="none" w:sz="0" w:space="0" w:color="auto"/>
          </w:divBdr>
        </w:div>
      </w:divsChild>
    </w:div>
    <w:div w:id="1183516385">
      <w:bodyDiv w:val="1"/>
      <w:marLeft w:val="0"/>
      <w:marRight w:val="0"/>
      <w:marTop w:val="0"/>
      <w:marBottom w:val="0"/>
      <w:divBdr>
        <w:top w:val="none" w:sz="0" w:space="0" w:color="auto"/>
        <w:left w:val="none" w:sz="0" w:space="0" w:color="auto"/>
        <w:bottom w:val="none" w:sz="0" w:space="0" w:color="auto"/>
        <w:right w:val="none" w:sz="0" w:space="0" w:color="auto"/>
      </w:divBdr>
      <w:divsChild>
        <w:div w:id="1693334597">
          <w:marLeft w:val="0"/>
          <w:marRight w:val="0"/>
          <w:marTop w:val="0"/>
          <w:marBottom w:val="0"/>
          <w:divBdr>
            <w:top w:val="none" w:sz="0" w:space="0" w:color="auto"/>
            <w:left w:val="none" w:sz="0" w:space="0" w:color="auto"/>
            <w:bottom w:val="none" w:sz="0" w:space="0" w:color="auto"/>
            <w:right w:val="none" w:sz="0" w:space="0" w:color="auto"/>
          </w:divBdr>
        </w:div>
      </w:divsChild>
    </w:div>
    <w:div w:id="1212957793">
      <w:bodyDiv w:val="1"/>
      <w:marLeft w:val="0"/>
      <w:marRight w:val="0"/>
      <w:marTop w:val="0"/>
      <w:marBottom w:val="0"/>
      <w:divBdr>
        <w:top w:val="none" w:sz="0" w:space="0" w:color="auto"/>
        <w:left w:val="none" w:sz="0" w:space="0" w:color="auto"/>
        <w:bottom w:val="none" w:sz="0" w:space="0" w:color="auto"/>
        <w:right w:val="none" w:sz="0" w:space="0" w:color="auto"/>
      </w:divBdr>
      <w:divsChild>
        <w:div w:id="418209844">
          <w:marLeft w:val="0"/>
          <w:marRight w:val="0"/>
          <w:marTop w:val="0"/>
          <w:marBottom w:val="0"/>
          <w:divBdr>
            <w:top w:val="none" w:sz="0" w:space="0" w:color="auto"/>
            <w:left w:val="none" w:sz="0" w:space="0" w:color="auto"/>
            <w:bottom w:val="none" w:sz="0" w:space="0" w:color="auto"/>
            <w:right w:val="none" w:sz="0" w:space="0" w:color="auto"/>
          </w:divBdr>
        </w:div>
        <w:div w:id="2105222898">
          <w:marLeft w:val="0"/>
          <w:marRight w:val="0"/>
          <w:marTop w:val="0"/>
          <w:marBottom w:val="0"/>
          <w:divBdr>
            <w:top w:val="none" w:sz="0" w:space="0" w:color="auto"/>
            <w:left w:val="none" w:sz="0" w:space="0" w:color="auto"/>
            <w:bottom w:val="none" w:sz="0" w:space="0" w:color="auto"/>
            <w:right w:val="none" w:sz="0" w:space="0" w:color="auto"/>
          </w:divBdr>
        </w:div>
      </w:divsChild>
    </w:div>
    <w:div w:id="1335524807">
      <w:bodyDiv w:val="1"/>
      <w:marLeft w:val="0"/>
      <w:marRight w:val="0"/>
      <w:marTop w:val="0"/>
      <w:marBottom w:val="0"/>
      <w:divBdr>
        <w:top w:val="none" w:sz="0" w:space="0" w:color="auto"/>
        <w:left w:val="none" w:sz="0" w:space="0" w:color="auto"/>
        <w:bottom w:val="none" w:sz="0" w:space="0" w:color="auto"/>
        <w:right w:val="none" w:sz="0" w:space="0" w:color="auto"/>
      </w:divBdr>
      <w:divsChild>
        <w:div w:id="1270312683">
          <w:marLeft w:val="0"/>
          <w:marRight w:val="0"/>
          <w:marTop w:val="0"/>
          <w:marBottom w:val="0"/>
          <w:divBdr>
            <w:top w:val="none" w:sz="0" w:space="0" w:color="auto"/>
            <w:left w:val="none" w:sz="0" w:space="0" w:color="auto"/>
            <w:bottom w:val="none" w:sz="0" w:space="0" w:color="auto"/>
            <w:right w:val="none" w:sz="0" w:space="0" w:color="auto"/>
          </w:divBdr>
        </w:div>
      </w:divsChild>
    </w:div>
    <w:div w:id="1362778172">
      <w:bodyDiv w:val="1"/>
      <w:marLeft w:val="0"/>
      <w:marRight w:val="0"/>
      <w:marTop w:val="0"/>
      <w:marBottom w:val="0"/>
      <w:divBdr>
        <w:top w:val="none" w:sz="0" w:space="0" w:color="auto"/>
        <w:left w:val="none" w:sz="0" w:space="0" w:color="auto"/>
        <w:bottom w:val="none" w:sz="0" w:space="0" w:color="auto"/>
        <w:right w:val="none" w:sz="0" w:space="0" w:color="auto"/>
      </w:divBdr>
      <w:divsChild>
        <w:div w:id="1002468706">
          <w:marLeft w:val="0"/>
          <w:marRight w:val="0"/>
          <w:marTop w:val="0"/>
          <w:marBottom w:val="0"/>
          <w:divBdr>
            <w:top w:val="none" w:sz="0" w:space="0" w:color="auto"/>
            <w:left w:val="none" w:sz="0" w:space="0" w:color="auto"/>
            <w:bottom w:val="none" w:sz="0" w:space="0" w:color="auto"/>
            <w:right w:val="none" w:sz="0" w:space="0" w:color="auto"/>
          </w:divBdr>
        </w:div>
      </w:divsChild>
    </w:div>
    <w:div w:id="1363246520">
      <w:bodyDiv w:val="1"/>
      <w:marLeft w:val="0"/>
      <w:marRight w:val="0"/>
      <w:marTop w:val="0"/>
      <w:marBottom w:val="0"/>
      <w:divBdr>
        <w:top w:val="none" w:sz="0" w:space="0" w:color="auto"/>
        <w:left w:val="none" w:sz="0" w:space="0" w:color="auto"/>
        <w:bottom w:val="none" w:sz="0" w:space="0" w:color="auto"/>
        <w:right w:val="none" w:sz="0" w:space="0" w:color="auto"/>
      </w:divBdr>
      <w:divsChild>
        <w:div w:id="1788549200">
          <w:marLeft w:val="0"/>
          <w:marRight w:val="0"/>
          <w:marTop w:val="0"/>
          <w:marBottom w:val="0"/>
          <w:divBdr>
            <w:top w:val="none" w:sz="0" w:space="0" w:color="auto"/>
            <w:left w:val="none" w:sz="0" w:space="0" w:color="auto"/>
            <w:bottom w:val="none" w:sz="0" w:space="0" w:color="auto"/>
            <w:right w:val="none" w:sz="0" w:space="0" w:color="auto"/>
          </w:divBdr>
        </w:div>
      </w:divsChild>
    </w:div>
    <w:div w:id="1372926429">
      <w:bodyDiv w:val="1"/>
      <w:marLeft w:val="0"/>
      <w:marRight w:val="0"/>
      <w:marTop w:val="0"/>
      <w:marBottom w:val="0"/>
      <w:divBdr>
        <w:top w:val="none" w:sz="0" w:space="0" w:color="auto"/>
        <w:left w:val="none" w:sz="0" w:space="0" w:color="auto"/>
        <w:bottom w:val="none" w:sz="0" w:space="0" w:color="auto"/>
        <w:right w:val="none" w:sz="0" w:space="0" w:color="auto"/>
      </w:divBdr>
      <w:divsChild>
        <w:div w:id="14309855">
          <w:marLeft w:val="0"/>
          <w:marRight w:val="0"/>
          <w:marTop w:val="0"/>
          <w:marBottom w:val="0"/>
          <w:divBdr>
            <w:top w:val="none" w:sz="0" w:space="0" w:color="auto"/>
            <w:left w:val="none" w:sz="0" w:space="0" w:color="auto"/>
            <w:bottom w:val="none" w:sz="0" w:space="0" w:color="auto"/>
            <w:right w:val="none" w:sz="0" w:space="0" w:color="auto"/>
          </w:divBdr>
        </w:div>
      </w:divsChild>
    </w:div>
    <w:div w:id="1391537319">
      <w:bodyDiv w:val="1"/>
      <w:marLeft w:val="0"/>
      <w:marRight w:val="0"/>
      <w:marTop w:val="0"/>
      <w:marBottom w:val="0"/>
      <w:divBdr>
        <w:top w:val="none" w:sz="0" w:space="0" w:color="auto"/>
        <w:left w:val="none" w:sz="0" w:space="0" w:color="auto"/>
        <w:bottom w:val="none" w:sz="0" w:space="0" w:color="auto"/>
        <w:right w:val="none" w:sz="0" w:space="0" w:color="auto"/>
      </w:divBdr>
      <w:divsChild>
        <w:div w:id="966937764">
          <w:marLeft w:val="0"/>
          <w:marRight w:val="0"/>
          <w:marTop w:val="0"/>
          <w:marBottom w:val="0"/>
          <w:divBdr>
            <w:top w:val="none" w:sz="0" w:space="0" w:color="auto"/>
            <w:left w:val="none" w:sz="0" w:space="0" w:color="auto"/>
            <w:bottom w:val="none" w:sz="0" w:space="0" w:color="auto"/>
            <w:right w:val="none" w:sz="0" w:space="0" w:color="auto"/>
          </w:divBdr>
        </w:div>
      </w:divsChild>
    </w:div>
    <w:div w:id="1478952433">
      <w:bodyDiv w:val="1"/>
      <w:marLeft w:val="0"/>
      <w:marRight w:val="0"/>
      <w:marTop w:val="0"/>
      <w:marBottom w:val="0"/>
      <w:divBdr>
        <w:top w:val="none" w:sz="0" w:space="0" w:color="auto"/>
        <w:left w:val="none" w:sz="0" w:space="0" w:color="auto"/>
        <w:bottom w:val="none" w:sz="0" w:space="0" w:color="auto"/>
        <w:right w:val="none" w:sz="0" w:space="0" w:color="auto"/>
      </w:divBdr>
      <w:divsChild>
        <w:div w:id="426537874">
          <w:marLeft w:val="0"/>
          <w:marRight w:val="0"/>
          <w:marTop w:val="0"/>
          <w:marBottom w:val="0"/>
          <w:divBdr>
            <w:top w:val="none" w:sz="0" w:space="0" w:color="auto"/>
            <w:left w:val="none" w:sz="0" w:space="0" w:color="auto"/>
            <w:bottom w:val="none" w:sz="0" w:space="0" w:color="auto"/>
            <w:right w:val="none" w:sz="0" w:space="0" w:color="auto"/>
          </w:divBdr>
        </w:div>
      </w:divsChild>
    </w:div>
    <w:div w:id="1492478254">
      <w:bodyDiv w:val="1"/>
      <w:marLeft w:val="0"/>
      <w:marRight w:val="0"/>
      <w:marTop w:val="0"/>
      <w:marBottom w:val="0"/>
      <w:divBdr>
        <w:top w:val="none" w:sz="0" w:space="0" w:color="auto"/>
        <w:left w:val="none" w:sz="0" w:space="0" w:color="auto"/>
        <w:bottom w:val="none" w:sz="0" w:space="0" w:color="auto"/>
        <w:right w:val="none" w:sz="0" w:space="0" w:color="auto"/>
      </w:divBdr>
      <w:divsChild>
        <w:div w:id="1429036971">
          <w:marLeft w:val="0"/>
          <w:marRight w:val="0"/>
          <w:marTop w:val="0"/>
          <w:marBottom w:val="0"/>
          <w:divBdr>
            <w:top w:val="none" w:sz="0" w:space="0" w:color="auto"/>
            <w:left w:val="none" w:sz="0" w:space="0" w:color="auto"/>
            <w:bottom w:val="none" w:sz="0" w:space="0" w:color="auto"/>
            <w:right w:val="none" w:sz="0" w:space="0" w:color="auto"/>
          </w:divBdr>
        </w:div>
      </w:divsChild>
    </w:div>
    <w:div w:id="1497570640">
      <w:bodyDiv w:val="1"/>
      <w:marLeft w:val="0"/>
      <w:marRight w:val="0"/>
      <w:marTop w:val="0"/>
      <w:marBottom w:val="0"/>
      <w:divBdr>
        <w:top w:val="none" w:sz="0" w:space="0" w:color="auto"/>
        <w:left w:val="none" w:sz="0" w:space="0" w:color="auto"/>
        <w:bottom w:val="none" w:sz="0" w:space="0" w:color="auto"/>
        <w:right w:val="none" w:sz="0" w:space="0" w:color="auto"/>
      </w:divBdr>
      <w:divsChild>
        <w:div w:id="1232542274">
          <w:marLeft w:val="0"/>
          <w:marRight w:val="0"/>
          <w:marTop w:val="0"/>
          <w:marBottom w:val="0"/>
          <w:divBdr>
            <w:top w:val="none" w:sz="0" w:space="0" w:color="auto"/>
            <w:left w:val="none" w:sz="0" w:space="0" w:color="auto"/>
            <w:bottom w:val="none" w:sz="0" w:space="0" w:color="auto"/>
            <w:right w:val="none" w:sz="0" w:space="0" w:color="auto"/>
          </w:divBdr>
        </w:div>
      </w:divsChild>
    </w:div>
    <w:div w:id="1504009200">
      <w:bodyDiv w:val="1"/>
      <w:marLeft w:val="0"/>
      <w:marRight w:val="0"/>
      <w:marTop w:val="0"/>
      <w:marBottom w:val="0"/>
      <w:divBdr>
        <w:top w:val="none" w:sz="0" w:space="0" w:color="auto"/>
        <w:left w:val="none" w:sz="0" w:space="0" w:color="auto"/>
        <w:bottom w:val="none" w:sz="0" w:space="0" w:color="auto"/>
        <w:right w:val="none" w:sz="0" w:space="0" w:color="auto"/>
      </w:divBdr>
      <w:divsChild>
        <w:div w:id="1704860926">
          <w:marLeft w:val="0"/>
          <w:marRight w:val="0"/>
          <w:marTop w:val="0"/>
          <w:marBottom w:val="0"/>
          <w:divBdr>
            <w:top w:val="none" w:sz="0" w:space="0" w:color="auto"/>
            <w:left w:val="none" w:sz="0" w:space="0" w:color="auto"/>
            <w:bottom w:val="none" w:sz="0" w:space="0" w:color="auto"/>
            <w:right w:val="none" w:sz="0" w:space="0" w:color="auto"/>
          </w:divBdr>
        </w:div>
      </w:divsChild>
    </w:div>
    <w:div w:id="1523712510">
      <w:bodyDiv w:val="1"/>
      <w:marLeft w:val="0"/>
      <w:marRight w:val="0"/>
      <w:marTop w:val="0"/>
      <w:marBottom w:val="0"/>
      <w:divBdr>
        <w:top w:val="none" w:sz="0" w:space="0" w:color="auto"/>
        <w:left w:val="none" w:sz="0" w:space="0" w:color="auto"/>
        <w:bottom w:val="none" w:sz="0" w:space="0" w:color="auto"/>
        <w:right w:val="none" w:sz="0" w:space="0" w:color="auto"/>
      </w:divBdr>
      <w:divsChild>
        <w:div w:id="55666114">
          <w:marLeft w:val="0"/>
          <w:marRight w:val="0"/>
          <w:marTop w:val="0"/>
          <w:marBottom w:val="0"/>
          <w:divBdr>
            <w:top w:val="none" w:sz="0" w:space="0" w:color="auto"/>
            <w:left w:val="none" w:sz="0" w:space="0" w:color="auto"/>
            <w:bottom w:val="none" w:sz="0" w:space="0" w:color="auto"/>
            <w:right w:val="none" w:sz="0" w:space="0" w:color="auto"/>
          </w:divBdr>
        </w:div>
      </w:divsChild>
    </w:div>
    <w:div w:id="1548031447">
      <w:bodyDiv w:val="1"/>
      <w:marLeft w:val="0"/>
      <w:marRight w:val="0"/>
      <w:marTop w:val="0"/>
      <w:marBottom w:val="0"/>
      <w:divBdr>
        <w:top w:val="none" w:sz="0" w:space="0" w:color="auto"/>
        <w:left w:val="none" w:sz="0" w:space="0" w:color="auto"/>
        <w:bottom w:val="none" w:sz="0" w:space="0" w:color="auto"/>
        <w:right w:val="none" w:sz="0" w:space="0" w:color="auto"/>
      </w:divBdr>
      <w:divsChild>
        <w:div w:id="609241592">
          <w:marLeft w:val="0"/>
          <w:marRight w:val="0"/>
          <w:marTop w:val="0"/>
          <w:marBottom w:val="0"/>
          <w:divBdr>
            <w:top w:val="none" w:sz="0" w:space="0" w:color="auto"/>
            <w:left w:val="none" w:sz="0" w:space="0" w:color="auto"/>
            <w:bottom w:val="none" w:sz="0" w:space="0" w:color="auto"/>
            <w:right w:val="none" w:sz="0" w:space="0" w:color="auto"/>
          </w:divBdr>
        </w:div>
      </w:divsChild>
    </w:div>
    <w:div w:id="1569145739">
      <w:bodyDiv w:val="1"/>
      <w:marLeft w:val="0"/>
      <w:marRight w:val="0"/>
      <w:marTop w:val="0"/>
      <w:marBottom w:val="0"/>
      <w:divBdr>
        <w:top w:val="none" w:sz="0" w:space="0" w:color="auto"/>
        <w:left w:val="none" w:sz="0" w:space="0" w:color="auto"/>
        <w:bottom w:val="none" w:sz="0" w:space="0" w:color="auto"/>
        <w:right w:val="none" w:sz="0" w:space="0" w:color="auto"/>
      </w:divBdr>
      <w:divsChild>
        <w:div w:id="300310550">
          <w:marLeft w:val="0"/>
          <w:marRight w:val="0"/>
          <w:marTop w:val="0"/>
          <w:marBottom w:val="0"/>
          <w:divBdr>
            <w:top w:val="none" w:sz="0" w:space="0" w:color="auto"/>
            <w:left w:val="none" w:sz="0" w:space="0" w:color="auto"/>
            <w:bottom w:val="none" w:sz="0" w:space="0" w:color="auto"/>
            <w:right w:val="none" w:sz="0" w:space="0" w:color="auto"/>
          </w:divBdr>
        </w:div>
        <w:div w:id="738941665">
          <w:marLeft w:val="0"/>
          <w:marRight w:val="0"/>
          <w:marTop w:val="0"/>
          <w:marBottom w:val="0"/>
          <w:divBdr>
            <w:top w:val="none" w:sz="0" w:space="0" w:color="auto"/>
            <w:left w:val="none" w:sz="0" w:space="0" w:color="auto"/>
            <w:bottom w:val="none" w:sz="0" w:space="0" w:color="auto"/>
            <w:right w:val="none" w:sz="0" w:space="0" w:color="auto"/>
          </w:divBdr>
        </w:div>
      </w:divsChild>
    </w:div>
    <w:div w:id="1572812260">
      <w:bodyDiv w:val="1"/>
      <w:marLeft w:val="0"/>
      <w:marRight w:val="0"/>
      <w:marTop w:val="0"/>
      <w:marBottom w:val="0"/>
      <w:divBdr>
        <w:top w:val="none" w:sz="0" w:space="0" w:color="auto"/>
        <w:left w:val="none" w:sz="0" w:space="0" w:color="auto"/>
        <w:bottom w:val="none" w:sz="0" w:space="0" w:color="auto"/>
        <w:right w:val="none" w:sz="0" w:space="0" w:color="auto"/>
      </w:divBdr>
      <w:divsChild>
        <w:div w:id="993878896">
          <w:marLeft w:val="0"/>
          <w:marRight w:val="0"/>
          <w:marTop w:val="0"/>
          <w:marBottom w:val="0"/>
          <w:divBdr>
            <w:top w:val="none" w:sz="0" w:space="0" w:color="auto"/>
            <w:left w:val="none" w:sz="0" w:space="0" w:color="auto"/>
            <w:bottom w:val="none" w:sz="0" w:space="0" w:color="auto"/>
            <w:right w:val="none" w:sz="0" w:space="0" w:color="auto"/>
          </w:divBdr>
        </w:div>
      </w:divsChild>
    </w:div>
    <w:div w:id="1613047853">
      <w:bodyDiv w:val="1"/>
      <w:marLeft w:val="0"/>
      <w:marRight w:val="0"/>
      <w:marTop w:val="0"/>
      <w:marBottom w:val="0"/>
      <w:divBdr>
        <w:top w:val="none" w:sz="0" w:space="0" w:color="auto"/>
        <w:left w:val="none" w:sz="0" w:space="0" w:color="auto"/>
        <w:bottom w:val="none" w:sz="0" w:space="0" w:color="auto"/>
        <w:right w:val="none" w:sz="0" w:space="0" w:color="auto"/>
      </w:divBdr>
      <w:divsChild>
        <w:div w:id="248657749">
          <w:marLeft w:val="0"/>
          <w:marRight w:val="0"/>
          <w:marTop w:val="0"/>
          <w:marBottom w:val="0"/>
          <w:divBdr>
            <w:top w:val="none" w:sz="0" w:space="0" w:color="auto"/>
            <w:left w:val="none" w:sz="0" w:space="0" w:color="auto"/>
            <w:bottom w:val="none" w:sz="0" w:space="0" w:color="auto"/>
            <w:right w:val="none" w:sz="0" w:space="0" w:color="auto"/>
          </w:divBdr>
        </w:div>
      </w:divsChild>
    </w:div>
    <w:div w:id="1661930727">
      <w:bodyDiv w:val="1"/>
      <w:marLeft w:val="0"/>
      <w:marRight w:val="0"/>
      <w:marTop w:val="0"/>
      <w:marBottom w:val="0"/>
      <w:divBdr>
        <w:top w:val="none" w:sz="0" w:space="0" w:color="auto"/>
        <w:left w:val="none" w:sz="0" w:space="0" w:color="auto"/>
        <w:bottom w:val="none" w:sz="0" w:space="0" w:color="auto"/>
        <w:right w:val="none" w:sz="0" w:space="0" w:color="auto"/>
      </w:divBdr>
      <w:divsChild>
        <w:div w:id="102306319">
          <w:marLeft w:val="0"/>
          <w:marRight w:val="0"/>
          <w:marTop w:val="0"/>
          <w:marBottom w:val="0"/>
          <w:divBdr>
            <w:top w:val="none" w:sz="0" w:space="0" w:color="auto"/>
            <w:left w:val="none" w:sz="0" w:space="0" w:color="auto"/>
            <w:bottom w:val="none" w:sz="0" w:space="0" w:color="auto"/>
            <w:right w:val="none" w:sz="0" w:space="0" w:color="auto"/>
          </w:divBdr>
        </w:div>
      </w:divsChild>
    </w:div>
    <w:div w:id="1662654961">
      <w:bodyDiv w:val="1"/>
      <w:marLeft w:val="0"/>
      <w:marRight w:val="0"/>
      <w:marTop w:val="0"/>
      <w:marBottom w:val="0"/>
      <w:divBdr>
        <w:top w:val="none" w:sz="0" w:space="0" w:color="auto"/>
        <w:left w:val="none" w:sz="0" w:space="0" w:color="auto"/>
        <w:bottom w:val="none" w:sz="0" w:space="0" w:color="auto"/>
        <w:right w:val="none" w:sz="0" w:space="0" w:color="auto"/>
      </w:divBdr>
      <w:divsChild>
        <w:div w:id="221604330">
          <w:marLeft w:val="0"/>
          <w:marRight w:val="0"/>
          <w:marTop w:val="0"/>
          <w:marBottom w:val="0"/>
          <w:divBdr>
            <w:top w:val="none" w:sz="0" w:space="0" w:color="auto"/>
            <w:left w:val="none" w:sz="0" w:space="0" w:color="auto"/>
            <w:bottom w:val="none" w:sz="0" w:space="0" w:color="auto"/>
            <w:right w:val="none" w:sz="0" w:space="0" w:color="auto"/>
          </w:divBdr>
        </w:div>
      </w:divsChild>
    </w:div>
    <w:div w:id="1666661783">
      <w:bodyDiv w:val="1"/>
      <w:marLeft w:val="0"/>
      <w:marRight w:val="0"/>
      <w:marTop w:val="0"/>
      <w:marBottom w:val="0"/>
      <w:divBdr>
        <w:top w:val="none" w:sz="0" w:space="0" w:color="auto"/>
        <w:left w:val="none" w:sz="0" w:space="0" w:color="auto"/>
        <w:bottom w:val="none" w:sz="0" w:space="0" w:color="auto"/>
        <w:right w:val="none" w:sz="0" w:space="0" w:color="auto"/>
      </w:divBdr>
    </w:div>
    <w:div w:id="1674726566">
      <w:bodyDiv w:val="1"/>
      <w:marLeft w:val="0"/>
      <w:marRight w:val="0"/>
      <w:marTop w:val="0"/>
      <w:marBottom w:val="0"/>
      <w:divBdr>
        <w:top w:val="none" w:sz="0" w:space="0" w:color="auto"/>
        <w:left w:val="none" w:sz="0" w:space="0" w:color="auto"/>
        <w:bottom w:val="none" w:sz="0" w:space="0" w:color="auto"/>
        <w:right w:val="none" w:sz="0" w:space="0" w:color="auto"/>
      </w:divBdr>
      <w:divsChild>
        <w:div w:id="1396975638">
          <w:marLeft w:val="0"/>
          <w:marRight w:val="0"/>
          <w:marTop w:val="0"/>
          <w:marBottom w:val="0"/>
          <w:divBdr>
            <w:top w:val="none" w:sz="0" w:space="0" w:color="auto"/>
            <w:left w:val="none" w:sz="0" w:space="0" w:color="auto"/>
            <w:bottom w:val="none" w:sz="0" w:space="0" w:color="auto"/>
            <w:right w:val="none" w:sz="0" w:space="0" w:color="auto"/>
          </w:divBdr>
        </w:div>
      </w:divsChild>
    </w:div>
    <w:div w:id="1678533910">
      <w:bodyDiv w:val="1"/>
      <w:marLeft w:val="0"/>
      <w:marRight w:val="0"/>
      <w:marTop w:val="0"/>
      <w:marBottom w:val="0"/>
      <w:divBdr>
        <w:top w:val="none" w:sz="0" w:space="0" w:color="auto"/>
        <w:left w:val="none" w:sz="0" w:space="0" w:color="auto"/>
        <w:bottom w:val="none" w:sz="0" w:space="0" w:color="auto"/>
        <w:right w:val="none" w:sz="0" w:space="0" w:color="auto"/>
      </w:divBdr>
      <w:divsChild>
        <w:div w:id="818807971">
          <w:marLeft w:val="0"/>
          <w:marRight w:val="0"/>
          <w:marTop w:val="0"/>
          <w:marBottom w:val="0"/>
          <w:divBdr>
            <w:top w:val="none" w:sz="0" w:space="0" w:color="auto"/>
            <w:left w:val="none" w:sz="0" w:space="0" w:color="auto"/>
            <w:bottom w:val="none" w:sz="0" w:space="0" w:color="auto"/>
            <w:right w:val="none" w:sz="0" w:space="0" w:color="auto"/>
          </w:divBdr>
        </w:div>
      </w:divsChild>
    </w:div>
    <w:div w:id="1718968229">
      <w:bodyDiv w:val="1"/>
      <w:marLeft w:val="0"/>
      <w:marRight w:val="0"/>
      <w:marTop w:val="0"/>
      <w:marBottom w:val="0"/>
      <w:divBdr>
        <w:top w:val="none" w:sz="0" w:space="0" w:color="auto"/>
        <w:left w:val="none" w:sz="0" w:space="0" w:color="auto"/>
        <w:bottom w:val="none" w:sz="0" w:space="0" w:color="auto"/>
        <w:right w:val="none" w:sz="0" w:space="0" w:color="auto"/>
      </w:divBdr>
    </w:div>
    <w:div w:id="1725714244">
      <w:bodyDiv w:val="1"/>
      <w:marLeft w:val="0"/>
      <w:marRight w:val="0"/>
      <w:marTop w:val="0"/>
      <w:marBottom w:val="0"/>
      <w:divBdr>
        <w:top w:val="none" w:sz="0" w:space="0" w:color="auto"/>
        <w:left w:val="none" w:sz="0" w:space="0" w:color="auto"/>
        <w:bottom w:val="none" w:sz="0" w:space="0" w:color="auto"/>
        <w:right w:val="none" w:sz="0" w:space="0" w:color="auto"/>
      </w:divBdr>
      <w:divsChild>
        <w:div w:id="214246415">
          <w:marLeft w:val="0"/>
          <w:marRight w:val="0"/>
          <w:marTop w:val="0"/>
          <w:marBottom w:val="0"/>
          <w:divBdr>
            <w:top w:val="none" w:sz="0" w:space="0" w:color="auto"/>
            <w:left w:val="none" w:sz="0" w:space="0" w:color="auto"/>
            <w:bottom w:val="none" w:sz="0" w:space="0" w:color="auto"/>
            <w:right w:val="none" w:sz="0" w:space="0" w:color="auto"/>
          </w:divBdr>
        </w:div>
      </w:divsChild>
    </w:div>
    <w:div w:id="1738820757">
      <w:bodyDiv w:val="1"/>
      <w:marLeft w:val="0"/>
      <w:marRight w:val="0"/>
      <w:marTop w:val="0"/>
      <w:marBottom w:val="0"/>
      <w:divBdr>
        <w:top w:val="none" w:sz="0" w:space="0" w:color="auto"/>
        <w:left w:val="none" w:sz="0" w:space="0" w:color="auto"/>
        <w:bottom w:val="none" w:sz="0" w:space="0" w:color="auto"/>
        <w:right w:val="none" w:sz="0" w:space="0" w:color="auto"/>
      </w:divBdr>
      <w:divsChild>
        <w:div w:id="1214073143">
          <w:marLeft w:val="0"/>
          <w:marRight w:val="0"/>
          <w:marTop w:val="0"/>
          <w:marBottom w:val="0"/>
          <w:divBdr>
            <w:top w:val="none" w:sz="0" w:space="0" w:color="auto"/>
            <w:left w:val="none" w:sz="0" w:space="0" w:color="auto"/>
            <w:bottom w:val="none" w:sz="0" w:space="0" w:color="auto"/>
            <w:right w:val="none" w:sz="0" w:space="0" w:color="auto"/>
          </w:divBdr>
        </w:div>
      </w:divsChild>
    </w:div>
    <w:div w:id="1827241837">
      <w:bodyDiv w:val="1"/>
      <w:marLeft w:val="0"/>
      <w:marRight w:val="0"/>
      <w:marTop w:val="0"/>
      <w:marBottom w:val="0"/>
      <w:divBdr>
        <w:top w:val="none" w:sz="0" w:space="0" w:color="auto"/>
        <w:left w:val="none" w:sz="0" w:space="0" w:color="auto"/>
        <w:bottom w:val="none" w:sz="0" w:space="0" w:color="auto"/>
        <w:right w:val="none" w:sz="0" w:space="0" w:color="auto"/>
      </w:divBdr>
      <w:divsChild>
        <w:div w:id="583995186">
          <w:marLeft w:val="0"/>
          <w:marRight w:val="0"/>
          <w:marTop w:val="0"/>
          <w:marBottom w:val="0"/>
          <w:divBdr>
            <w:top w:val="none" w:sz="0" w:space="0" w:color="auto"/>
            <w:left w:val="none" w:sz="0" w:space="0" w:color="auto"/>
            <w:bottom w:val="none" w:sz="0" w:space="0" w:color="auto"/>
            <w:right w:val="none" w:sz="0" w:space="0" w:color="auto"/>
          </w:divBdr>
        </w:div>
      </w:divsChild>
    </w:div>
    <w:div w:id="1844318962">
      <w:bodyDiv w:val="1"/>
      <w:marLeft w:val="0"/>
      <w:marRight w:val="0"/>
      <w:marTop w:val="0"/>
      <w:marBottom w:val="0"/>
      <w:divBdr>
        <w:top w:val="none" w:sz="0" w:space="0" w:color="auto"/>
        <w:left w:val="none" w:sz="0" w:space="0" w:color="auto"/>
        <w:bottom w:val="none" w:sz="0" w:space="0" w:color="auto"/>
        <w:right w:val="none" w:sz="0" w:space="0" w:color="auto"/>
      </w:divBdr>
      <w:divsChild>
        <w:div w:id="726953027">
          <w:marLeft w:val="0"/>
          <w:marRight w:val="0"/>
          <w:marTop w:val="0"/>
          <w:marBottom w:val="0"/>
          <w:divBdr>
            <w:top w:val="none" w:sz="0" w:space="0" w:color="auto"/>
            <w:left w:val="none" w:sz="0" w:space="0" w:color="auto"/>
            <w:bottom w:val="none" w:sz="0" w:space="0" w:color="auto"/>
            <w:right w:val="none" w:sz="0" w:space="0" w:color="auto"/>
          </w:divBdr>
        </w:div>
      </w:divsChild>
    </w:div>
    <w:div w:id="1901820415">
      <w:bodyDiv w:val="1"/>
      <w:marLeft w:val="0"/>
      <w:marRight w:val="0"/>
      <w:marTop w:val="0"/>
      <w:marBottom w:val="0"/>
      <w:divBdr>
        <w:top w:val="none" w:sz="0" w:space="0" w:color="auto"/>
        <w:left w:val="none" w:sz="0" w:space="0" w:color="auto"/>
        <w:bottom w:val="none" w:sz="0" w:space="0" w:color="auto"/>
        <w:right w:val="none" w:sz="0" w:space="0" w:color="auto"/>
      </w:divBdr>
      <w:divsChild>
        <w:div w:id="1317689883">
          <w:marLeft w:val="0"/>
          <w:marRight w:val="0"/>
          <w:marTop w:val="0"/>
          <w:marBottom w:val="0"/>
          <w:divBdr>
            <w:top w:val="none" w:sz="0" w:space="0" w:color="auto"/>
            <w:left w:val="none" w:sz="0" w:space="0" w:color="auto"/>
            <w:bottom w:val="none" w:sz="0" w:space="0" w:color="auto"/>
            <w:right w:val="none" w:sz="0" w:space="0" w:color="auto"/>
          </w:divBdr>
        </w:div>
      </w:divsChild>
    </w:div>
    <w:div w:id="1905682264">
      <w:bodyDiv w:val="1"/>
      <w:marLeft w:val="0"/>
      <w:marRight w:val="0"/>
      <w:marTop w:val="0"/>
      <w:marBottom w:val="0"/>
      <w:divBdr>
        <w:top w:val="none" w:sz="0" w:space="0" w:color="auto"/>
        <w:left w:val="none" w:sz="0" w:space="0" w:color="auto"/>
        <w:bottom w:val="none" w:sz="0" w:space="0" w:color="auto"/>
        <w:right w:val="none" w:sz="0" w:space="0" w:color="auto"/>
      </w:divBdr>
      <w:divsChild>
        <w:div w:id="2032952727">
          <w:marLeft w:val="0"/>
          <w:marRight w:val="0"/>
          <w:marTop w:val="0"/>
          <w:marBottom w:val="0"/>
          <w:divBdr>
            <w:top w:val="none" w:sz="0" w:space="0" w:color="auto"/>
            <w:left w:val="none" w:sz="0" w:space="0" w:color="auto"/>
            <w:bottom w:val="none" w:sz="0" w:space="0" w:color="auto"/>
            <w:right w:val="none" w:sz="0" w:space="0" w:color="auto"/>
          </w:divBdr>
        </w:div>
        <w:div w:id="2079402837">
          <w:marLeft w:val="0"/>
          <w:marRight w:val="0"/>
          <w:marTop w:val="0"/>
          <w:marBottom w:val="0"/>
          <w:divBdr>
            <w:top w:val="none" w:sz="0" w:space="0" w:color="auto"/>
            <w:left w:val="none" w:sz="0" w:space="0" w:color="auto"/>
            <w:bottom w:val="none" w:sz="0" w:space="0" w:color="auto"/>
            <w:right w:val="none" w:sz="0" w:space="0" w:color="auto"/>
          </w:divBdr>
        </w:div>
      </w:divsChild>
    </w:div>
    <w:div w:id="1938053546">
      <w:bodyDiv w:val="1"/>
      <w:marLeft w:val="0"/>
      <w:marRight w:val="0"/>
      <w:marTop w:val="0"/>
      <w:marBottom w:val="0"/>
      <w:divBdr>
        <w:top w:val="none" w:sz="0" w:space="0" w:color="auto"/>
        <w:left w:val="none" w:sz="0" w:space="0" w:color="auto"/>
        <w:bottom w:val="none" w:sz="0" w:space="0" w:color="auto"/>
        <w:right w:val="none" w:sz="0" w:space="0" w:color="auto"/>
      </w:divBdr>
      <w:divsChild>
        <w:div w:id="64770303">
          <w:marLeft w:val="0"/>
          <w:marRight w:val="0"/>
          <w:marTop w:val="0"/>
          <w:marBottom w:val="0"/>
          <w:divBdr>
            <w:top w:val="none" w:sz="0" w:space="0" w:color="auto"/>
            <w:left w:val="none" w:sz="0" w:space="0" w:color="auto"/>
            <w:bottom w:val="none" w:sz="0" w:space="0" w:color="auto"/>
            <w:right w:val="none" w:sz="0" w:space="0" w:color="auto"/>
          </w:divBdr>
        </w:div>
        <w:div w:id="355735687">
          <w:marLeft w:val="0"/>
          <w:marRight w:val="0"/>
          <w:marTop w:val="0"/>
          <w:marBottom w:val="0"/>
          <w:divBdr>
            <w:top w:val="none" w:sz="0" w:space="0" w:color="auto"/>
            <w:left w:val="none" w:sz="0" w:space="0" w:color="auto"/>
            <w:bottom w:val="none" w:sz="0" w:space="0" w:color="auto"/>
            <w:right w:val="none" w:sz="0" w:space="0" w:color="auto"/>
          </w:divBdr>
        </w:div>
      </w:divsChild>
    </w:div>
    <w:div w:id="1938902753">
      <w:bodyDiv w:val="1"/>
      <w:marLeft w:val="0"/>
      <w:marRight w:val="0"/>
      <w:marTop w:val="0"/>
      <w:marBottom w:val="0"/>
      <w:divBdr>
        <w:top w:val="none" w:sz="0" w:space="0" w:color="auto"/>
        <w:left w:val="none" w:sz="0" w:space="0" w:color="auto"/>
        <w:bottom w:val="none" w:sz="0" w:space="0" w:color="auto"/>
        <w:right w:val="none" w:sz="0" w:space="0" w:color="auto"/>
      </w:divBdr>
      <w:divsChild>
        <w:div w:id="835922933">
          <w:marLeft w:val="0"/>
          <w:marRight w:val="0"/>
          <w:marTop w:val="0"/>
          <w:marBottom w:val="0"/>
          <w:divBdr>
            <w:top w:val="none" w:sz="0" w:space="0" w:color="auto"/>
            <w:left w:val="none" w:sz="0" w:space="0" w:color="auto"/>
            <w:bottom w:val="none" w:sz="0" w:space="0" w:color="auto"/>
            <w:right w:val="none" w:sz="0" w:space="0" w:color="auto"/>
          </w:divBdr>
        </w:div>
      </w:divsChild>
    </w:div>
    <w:div w:id="1953173465">
      <w:bodyDiv w:val="1"/>
      <w:marLeft w:val="0"/>
      <w:marRight w:val="0"/>
      <w:marTop w:val="0"/>
      <w:marBottom w:val="0"/>
      <w:divBdr>
        <w:top w:val="none" w:sz="0" w:space="0" w:color="auto"/>
        <w:left w:val="none" w:sz="0" w:space="0" w:color="auto"/>
        <w:bottom w:val="none" w:sz="0" w:space="0" w:color="auto"/>
        <w:right w:val="none" w:sz="0" w:space="0" w:color="auto"/>
      </w:divBdr>
      <w:divsChild>
        <w:div w:id="955017213">
          <w:marLeft w:val="0"/>
          <w:marRight w:val="0"/>
          <w:marTop w:val="0"/>
          <w:marBottom w:val="0"/>
          <w:divBdr>
            <w:top w:val="none" w:sz="0" w:space="0" w:color="auto"/>
            <w:left w:val="none" w:sz="0" w:space="0" w:color="auto"/>
            <w:bottom w:val="none" w:sz="0" w:space="0" w:color="auto"/>
            <w:right w:val="none" w:sz="0" w:space="0" w:color="auto"/>
          </w:divBdr>
        </w:div>
      </w:divsChild>
    </w:div>
    <w:div w:id="1993294552">
      <w:bodyDiv w:val="1"/>
      <w:marLeft w:val="0"/>
      <w:marRight w:val="0"/>
      <w:marTop w:val="0"/>
      <w:marBottom w:val="0"/>
      <w:divBdr>
        <w:top w:val="none" w:sz="0" w:space="0" w:color="auto"/>
        <w:left w:val="none" w:sz="0" w:space="0" w:color="auto"/>
        <w:bottom w:val="none" w:sz="0" w:space="0" w:color="auto"/>
        <w:right w:val="none" w:sz="0" w:space="0" w:color="auto"/>
      </w:divBdr>
      <w:divsChild>
        <w:div w:id="694162556">
          <w:marLeft w:val="0"/>
          <w:marRight w:val="0"/>
          <w:marTop w:val="0"/>
          <w:marBottom w:val="0"/>
          <w:divBdr>
            <w:top w:val="none" w:sz="0" w:space="0" w:color="auto"/>
            <w:left w:val="none" w:sz="0" w:space="0" w:color="auto"/>
            <w:bottom w:val="none" w:sz="0" w:space="0" w:color="auto"/>
            <w:right w:val="none" w:sz="0" w:space="0" w:color="auto"/>
          </w:divBdr>
        </w:div>
      </w:divsChild>
    </w:div>
    <w:div w:id="2018262363">
      <w:bodyDiv w:val="1"/>
      <w:marLeft w:val="0"/>
      <w:marRight w:val="0"/>
      <w:marTop w:val="0"/>
      <w:marBottom w:val="0"/>
      <w:divBdr>
        <w:top w:val="none" w:sz="0" w:space="0" w:color="auto"/>
        <w:left w:val="none" w:sz="0" w:space="0" w:color="auto"/>
        <w:bottom w:val="none" w:sz="0" w:space="0" w:color="auto"/>
        <w:right w:val="none" w:sz="0" w:space="0" w:color="auto"/>
      </w:divBdr>
    </w:div>
    <w:div w:id="2028628753">
      <w:bodyDiv w:val="1"/>
      <w:marLeft w:val="0"/>
      <w:marRight w:val="0"/>
      <w:marTop w:val="0"/>
      <w:marBottom w:val="0"/>
      <w:divBdr>
        <w:top w:val="none" w:sz="0" w:space="0" w:color="auto"/>
        <w:left w:val="none" w:sz="0" w:space="0" w:color="auto"/>
        <w:bottom w:val="none" w:sz="0" w:space="0" w:color="auto"/>
        <w:right w:val="none" w:sz="0" w:space="0" w:color="auto"/>
      </w:divBdr>
      <w:divsChild>
        <w:div w:id="2104304379">
          <w:marLeft w:val="0"/>
          <w:marRight w:val="0"/>
          <w:marTop w:val="0"/>
          <w:marBottom w:val="0"/>
          <w:divBdr>
            <w:top w:val="none" w:sz="0" w:space="0" w:color="auto"/>
            <w:left w:val="none" w:sz="0" w:space="0" w:color="auto"/>
            <w:bottom w:val="none" w:sz="0" w:space="0" w:color="auto"/>
            <w:right w:val="none" w:sz="0" w:space="0" w:color="auto"/>
          </w:divBdr>
        </w:div>
      </w:divsChild>
    </w:div>
    <w:div w:id="2051412195">
      <w:bodyDiv w:val="1"/>
      <w:marLeft w:val="0"/>
      <w:marRight w:val="0"/>
      <w:marTop w:val="0"/>
      <w:marBottom w:val="0"/>
      <w:divBdr>
        <w:top w:val="none" w:sz="0" w:space="0" w:color="auto"/>
        <w:left w:val="none" w:sz="0" w:space="0" w:color="auto"/>
        <w:bottom w:val="none" w:sz="0" w:space="0" w:color="auto"/>
        <w:right w:val="none" w:sz="0" w:space="0" w:color="auto"/>
      </w:divBdr>
      <w:divsChild>
        <w:div w:id="670178216">
          <w:marLeft w:val="0"/>
          <w:marRight w:val="0"/>
          <w:marTop w:val="0"/>
          <w:marBottom w:val="0"/>
          <w:divBdr>
            <w:top w:val="none" w:sz="0" w:space="0" w:color="auto"/>
            <w:left w:val="none" w:sz="0" w:space="0" w:color="auto"/>
            <w:bottom w:val="none" w:sz="0" w:space="0" w:color="auto"/>
            <w:right w:val="none" w:sz="0" w:space="0" w:color="auto"/>
          </w:divBdr>
        </w:div>
      </w:divsChild>
    </w:div>
    <w:div w:id="2057000677">
      <w:bodyDiv w:val="1"/>
      <w:marLeft w:val="0"/>
      <w:marRight w:val="0"/>
      <w:marTop w:val="0"/>
      <w:marBottom w:val="0"/>
      <w:divBdr>
        <w:top w:val="none" w:sz="0" w:space="0" w:color="auto"/>
        <w:left w:val="none" w:sz="0" w:space="0" w:color="auto"/>
        <w:bottom w:val="none" w:sz="0" w:space="0" w:color="auto"/>
        <w:right w:val="none" w:sz="0" w:space="0" w:color="auto"/>
      </w:divBdr>
      <w:divsChild>
        <w:div w:id="838810341">
          <w:marLeft w:val="0"/>
          <w:marRight w:val="0"/>
          <w:marTop w:val="0"/>
          <w:marBottom w:val="0"/>
          <w:divBdr>
            <w:top w:val="none" w:sz="0" w:space="0" w:color="auto"/>
            <w:left w:val="none" w:sz="0" w:space="0" w:color="auto"/>
            <w:bottom w:val="none" w:sz="0" w:space="0" w:color="auto"/>
            <w:right w:val="none" w:sz="0" w:space="0" w:color="auto"/>
          </w:divBdr>
        </w:div>
      </w:divsChild>
    </w:div>
    <w:div w:id="2066369368">
      <w:bodyDiv w:val="1"/>
      <w:marLeft w:val="0"/>
      <w:marRight w:val="0"/>
      <w:marTop w:val="0"/>
      <w:marBottom w:val="0"/>
      <w:divBdr>
        <w:top w:val="none" w:sz="0" w:space="0" w:color="auto"/>
        <w:left w:val="none" w:sz="0" w:space="0" w:color="auto"/>
        <w:bottom w:val="none" w:sz="0" w:space="0" w:color="auto"/>
        <w:right w:val="none" w:sz="0" w:space="0" w:color="auto"/>
      </w:divBdr>
      <w:divsChild>
        <w:div w:id="1898859475">
          <w:marLeft w:val="0"/>
          <w:marRight w:val="0"/>
          <w:marTop w:val="0"/>
          <w:marBottom w:val="0"/>
          <w:divBdr>
            <w:top w:val="none" w:sz="0" w:space="0" w:color="auto"/>
            <w:left w:val="none" w:sz="0" w:space="0" w:color="auto"/>
            <w:bottom w:val="none" w:sz="0" w:space="0" w:color="auto"/>
            <w:right w:val="none" w:sz="0" w:space="0" w:color="auto"/>
          </w:divBdr>
        </w:div>
      </w:divsChild>
    </w:div>
    <w:div w:id="2103985917">
      <w:bodyDiv w:val="1"/>
      <w:marLeft w:val="0"/>
      <w:marRight w:val="0"/>
      <w:marTop w:val="0"/>
      <w:marBottom w:val="0"/>
      <w:divBdr>
        <w:top w:val="none" w:sz="0" w:space="0" w:color="auto"/>
        <w:left w:val="none" w:sz="0" w:space="0" w:color="auto"/>
        <w:bottom w:val="none" w:sz="0" w:space="0" w:color="auto"/>
        <w:right w:val="none" w:sz="0" w:space="0" w:color="auto"/>
      </w:divBdr>
      <w:divsChild>
        <w:div w:id="454524927">
          <w:marLeft w:val="0"/>
          <w:marRight w:val="0"/>
          <w:marTop w:val="0"/>
          <w:marBottom w:val="0"/>
          <w:divBdr>
            <w:top w:val="none" w:sz="0" w:space="0" w:color="auto"/>
            <w:left w:val="none" w:sz="0" w:space="0" w:color="auto"/>
            <w:bottom w:val="none" w:sz="0" w:space="0" w:color="auto"/>
            <w:right w:val="none" w:sz="0" w:space="0" w:color="auto"/>
          </w:divBdr>
        </w:div>
      </w:divsChild>
    </w:div>
    <w:div w:id="2107921380">
      <w:bodyDiv w:val="1"/>
      <w:marLeft w:val="0"/>
      <w:marRight w:val="0"/>
      <w:marTop w:val="0"/>
      <w:marBottom w:val="0"/>
      <w:divBdr>
        <w:top w:val="none" w:sz="0" w:space="0" w:color="auto"/>
        <w:left w:val="none" w:sz="0" w:space="0" w:color="auto"/>
        <w:bottom w:val="none" w:sz="0" w:space="0" w:color="auto"/>
        <w:right w:val="none" w:sz="0" w:space="0" w:color="auto"/>
      </w:divBdr>
      <w:divsChild>
        <w:div w:id="220680368">
          <w:marLeft w:val="0"/>
          <w:marRight w:val="0"/>
          <w:marTop w:val="0"/>
          <w:marBottom w:val="0"/>
          <w:divBdr>
            <w:top w:val="none" w:sz="0" w:space="0" w:color="auto"/>
            <w:left w:val="none" w:sz="0" w:space="0" w:color="auto"/>
            <w:bottom w:val="none" w:sz="0" w:space="0" w:color="auto"/>
            <w:right w:val="none" w:sz="0" w:space="0" w:color="auto"/>
          </w:divBdr>
        </w:div>
      </w:divsChild>
    </w:div>
    <w:div w:id="2109815254">
      <w:bodyDiv w:val="1"/>
      <w:marLeft w:val="0"/>
      <w:marRight w:val="0"/>
      <w:marTop w:val="0"/>
      <w:marBottom w:val="0"/>
      <w:divBdr>
        <w:top w:val="none" w:sz="0" w:space="0" w:color="auto"/>
        <w:left w:val="none" w:sz="0" w:space="0" w:color="auto"/>
        <w:bottom w:val="none" w:sz="0" w:space="0" w:color="auto"/>
        <w:right w:val="none" w:sz="0" w:space="0" w:color="auto"/>
      </w:divBdr>
      <w:divsChild>
        <w:div w:id="17244506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yperlink" TargetMode="External" Target="http://www3.lrs.lt/cgi-bin/preps2?Condition1=5818&amp;Condition2="/>
  <Relationship Id="rId11" Type="http://schemas.openxmlformats.org/officeDocument/2006/relationships/hyperlink" TargetMode="External" Target="http://www3.lrs.lt/cgi-bin/preps2?a=221245&amp;b="/>
  <Relationship Id="rId12" Type="http://schemas.openxmlformats.org/officeDocument/2006/relationships/hyperlink" TargetMode="External" Target="http://www3.lrs.lt/cgi-bin/preps2?a=451387&amp;b="/>
  <Relationship Id="rId13" Type="http://schemas.openxmlformats.org/officeDocument/2006/relationships/hyperlink" TargetMode="External" Target="http://www3.lrs.lt/cgi-bin/preps2?a=451387&amp;b="/>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4e125960e46411eb9f09e7df20500045"/>
  <Relationship Id="rId7" Type="http://schemas.openxmlformats.org/officeDocument/2006/relationships/hyperlink" TargetMode="External" Target="http://www3.lrs.lt/cgi-bin/preps2?a=401063&amp;b="/>
  <Relationship Id="rId8" Type="http://schemas.openxmlformats.org/officeDocument/2006/relationships/hyperlink" TargetMode="External" Target="https://www.e-tar.lt/portal/legalAct.html?documentId=4e125960e46411eb9f09e7df20500045"/>
  <Relationship Id="rId9" Type="http://schemas.openxmlformats.org/officeDocument/2006/relationships/hyperlink" TargetMode="External" Target="http://www3.lrs.lt/cgi-bin/preps2?a=40106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7788eeee7bf844d8bd9138dfcdacd985" PartId="58e56ce90a8043a49c93b4abb2d136ea"/>
  <Part Type="pastraipa" DocPartId="3778520b8e184bb2af8aa8311769c2f8" PartId="2fc0c6c9c81846e0904a0b35abfb04bd"/>
</Parts>
</file>

<file path=customXml/itemProps1.xml><?xml version="1.0" encoding="utf-8"?>
<ds:datastoreItem xmlns:ds="http://schemas.openxmlformats.org/officeDocument/2006/customXml" ds:itemID="{D1E5AA2E-3D3F-49B5-AE68-BC49368F15B7}">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2728</Words>
  <Characters>19044</Characters>
  <Application>Microsoft Office Word</Application>
  <DocSecurity>4</DocSecurity>
  <Lines>544</Lines>
  <Paragraphs>205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Europos Sąjungos reikalų</vt:lpstr>
      <vt:lpstr>Europos Sąjungos reikalų</vt:lpstr>
    </vt:vector>
  </TitlesOfParts>
  <Company>Soc. apsaugos ir darbo min.</Company>
  <LinksUpToDate>false</LinksUpToDate>
  <CharactersWithSpaces>21567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install</dc:creator>
  <lastModifiedBy>adlibuser</lastModifiedBy>
  <lastPrinted>2008-07-21T07:19:00Z</lastPrinted>
  <dcterms:modified xsi:type="dcterms:W3CDTF">2026-03-05T11:33:00Z</dcterms:modified>
  <revision>2</revision>
  <dc:title>Europos Sąjungos reikalų</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66397b15,5cbd6ca2,46dbf2f6</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