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4dd0e21a0724944afb603311c4f73cb"/>
        <w:lock w:val="sdtLocked"/>
        <w:richText/>
      </w:sdtPr>
      <w:sdtContent>
        <w:p w14:paraId="2CCD4409" w14:textId="77777777">
          <w:pPr>
            <w:tabs>
              <w:tab w:val="center" w:pos="4986"/>
              <w:tab w:val="right" w:pos="9972"/>
            </w:tabs>
          </w:pPr>
        </w:p>
        <w:p w14:paraId="3AE7C813" w14:textId="77777777">
          <w:pPr>
            <w:suppressAutoHyphens/>
            <w:jc w:val="center"/>
            <w:textAlignment w:val="baseline"/>
            <w:rPr>
              <w:b/>
              <w:szCs w:val="24"/>
              <w:lang w:eastAsia="lt-LT"/>
            </w:rPr>
          </w:pPr>
        </w:p>
        <w:p w14:paraId="68F36441" w14:textId="0229D8A3">
          <w:pPr>
            <w:suppressAutoHyphens/>
            <w:jc w:val="center"/>
            <w:textAlignment w:val="baseline"/>
            <w:rPr>
              <w:b/>
              <w:szCs w:val="24"/>
              <w:lang w:eastAsia="lt-LT"/>
            </w:rPr>
          </w:pPr>
          <w:r>
            <w:rPr>
              <w:b/>
              <w:szCs w:val="24"/>
              <w:lang w:eastAsia="lt-LT"/>
            </w:rPr>
            <w:t>TEISĖS AKTO PROJEKTO ANTIKORUPCINIO VERTINIMO PAŽYMA</w:t>
          </w:r>
        </w:p>
        <w:p w14:paraId="5C5A0C45" w14:textId="77777777">
          <w:pPr>
            <w:suppressAutoHyphens/>
            <w:textAlignment w:val="baseline"/>
            <w:rPr>
              <w:szCs w:val="24"/>
              <w:lang w:eastAsia="lt-LT"/>
            </w:rPr>
          </w:pPr>
        </w:p>
        <w:sdt>
          <w:sdtPr>
            <w:alias w:val="preambule"/>
            <w:tag w:val="part_62ae3ada6bc34199b2c1c41d4a273332"/>
            <w:lock w:val="sdtLocked"/>
            <w:richText/>
          </w:sdtPr>
          <w:sdtContent>
            <w:p w14:paraId="05959A2C" w14:textId="2C78027D">
              <w:pPr>
                <w:rPr>
                  <w:szCs w:val="24"/>
                  <w:lang w:eastAsia="lt-LT"/>
                </w:rPr>
              </w:pPr>
              <w:r>
                <w:rPr>
                  <w:szCs w:val="24"/>
                  <w:lang w:eastAsia="lt-LT"/>
                </w:rPr>
                <w:t xml:space="preserve">Teisės akto projekto pavadinimas </w:t>
              </w:r>
              <w:r>
                <w:rPr>
                  <w:b/>
                  <w:bCs/>
                  <w:i/>
                  <w:iCs/>
                  <w:szCs w:val="24"/>
                  <w:lang w:eastAsia="lt-LT"/>
                </w:rPr>
                <w:t xml:space="preserve">- </w:t>
              </w:r>
              <w:r>
                <w:rPr>
                  <w:b/>
                </w:rPr>
                <w:t xml:space="preserve">LIETUVOS RESPUBLIKOS LYGIŲ GALIMYBIŲ ĮSTATYMO NR. IX-1826 PAKEITIMO ĮSTATYMO PROJEKTAS </w:t>
              </w:r>
              <w:r>
                <w:rPr>
                  <w:szCs w:val="24"/>
                  <w:lang w:eastAsia="lt-LT"/>
                </w:rPr>
                <w:t>(toliau – Projektas).</w:t>
              </w:r>
            </w:p>
          </w:sdtContent>
        </w:sdt>
        <w:sdt>
          <w:sdtPr>
            <w:alias w:val="pastraipa"/>
            <w:tag w:val="part_b1656dbb4a554088852e27fa20ca3548"/>
            <w:lock w:val="sdtLocked"/>
            <w:richText/>
          </w:sdtPr>
          <w:sdtContent>
            <w:p w14:paraId="5170A3BF" w14:textId="24E3B4AF">
              <w:pPr>
                <w:suppressAutoHyphens/>
                <w:jc w:val="both"/>
                <w:textAlignment w:val="baseline"/>
              </w:pPr>
              <w:r>
                <w:rPr>
                  <w:szCs w:val="24"/>
                  <w:lang w:eastAsia="lt-LT"/>
                </w:rPr>
                <w:t xml:space="preserve">Teisės akto projekto tiesioginis rengėjas – </w:t>
              </w:r>
              <w:r>
                <w:t>Įstatymo projektą parengė d</w:t>
              </w:r>
              <w:r>
                <w:rPr>
                  <w:rFonts w:eastAsia="Calibri"/>
                  <w:szCs w:val="24"/>
                </w:rPr>
                <w:t xml:space="preserve">arbo grupė sudaryta Socialinės apsaugos ir darbo ministro 2025 m. sausio 13 d. įsakymu Nr. A1-17 „Dėl darbo grupės 2024 m. gegužės 7 d. Tarybos direktyvai </w:t>
              </w:r>
              <w:fldSimple w:instr="HYPERLINK http://eur-lex.europa.eu/legal-content/LIT/TXT/?uri=CELEX:32024L1499&amp;locale=lt \t _blank">
                <w:r>
                  <w:rPr>
                    <w:rFonts w:eastAsia="Calibri"/>
                    <w:szCs w:val="24"/>
                    <w:u w:val="single"/>
                    <w:color w:val="0000FF" w:themeColor="hyperlink"/>
                  </w:rPr>
                  <w:t>(ES) 2024/1499</w:t>
                </w:r>
              </w:fldSimple>
              <w:r>
                <w:rPr>
                  <w:rFonts w:eastAsia="Calibri"/>
                  <w:szCs w:val="24"/>
                </w:rPr>
                <w:t xml:space="preserve"> dėl lygybės įstaigoms taikomų standartų vienodo požiūrio į asmenis, nepriklausomai nuo jų rasinės ar etninės kilmės, srityje, vienodo požiūrio į asmenis, nepriklausomai nuo jų religijos ar tikėjimo, negalios, amžiaus ar seksualinės orientacijos, užimtumo ir profesinėje srityje, vienodo požiūrio į moteris ir vyrus socialinės apsaugos srityje ir dėl galimybės naudotis prekėmis bei paslaugomis ir prekių tiekimo bei paslaugų teikimo, kuria iš dalies keičiamos direktyvos </w:t>
              </w:r>
              <w:fldSimple w:instr="HYPERLINK http://eur-lex.europa.eu/legal-content/LIT/TXT/?uri=CELEX:32000L0043&amp;locale=lt \t _blank">
                <w:r>
                  <w:rPr>
                    <w:rFonts w:eastAsia="Calibri"/>
                    <w:szCs w:val="24"/>
                    <w:u w:val="single"/>
                    <w:color w:val="0000FF" w:themeColor="hyperlink"/>
                  </w:rPr>
                  <w:t>2000/43/EB</w:t>
                </w:r>
              </w:fldSimple>
              <w:r>
                <w:rPr>
                  <w:rFonts w:eastAsia="Calibri"/>
                  <w:szCs w:val="24"/>
                </w:rPr>
                <w:t xml:space="preserve"> ir </w:t>
              </w:r>
              <w:fldSimple w:instr="HYPERLINK http://eur-lex.europa.eu/legal-content/LIT/TXT/?uri=CELEX:32004L0113&amp;locale=lt \t _blank">
                <w:r>
                  <w:rPr>
                    <w:rFonts w:eastAsia="Calibri"/>
                    <w:szCs w:val="24"/>
                    <w:u w:val="single"/>
                    <w:color w:val="0000FF" w:themeColor="hyperlink"/>
                  </w:rPr>
                  <w:t>2004/113/EB</w:t>
                </w:r>
              </w:fldSimple>
              <w:r>
                <w:rPr>
                  <w:rFonts w:eastAsia="Calibri"/>
                  <w:szCs w:val="24"/>
                </w:rPr>
                <w:t xml:space="preserve">, ir 2024 m. gegužės 14 d. Europos Parlamento ir Tarybos direktyvai </w:t>
              </w:r>
              <w:fldSimple w:instr="HYPERLINK http://eur-lex.europa.eu/legal-content/LIT/TXT/?uri=CELEX:32024L1500&amp;locale=lt \t _blank">
                <w:r>
                  <w:rPr>
                    <w:rFonts w:eastAsia="Calibri"/>
                    <w:szCs w:val="24"/>
                    <w:u w:val="single"/>
                    <w:color w:val="0000FF" w:themeColor="hyperlink"/>
                  </w:rPr>
                  <w:t>(ES) 2024/1500</w:t>
                </w:r>
              </w:fldSimple>
              <w:r>
                <w:rPr>
                  <w:rFonts w:eastAsia="Calibri"/>
                  <w:szCs w:val="24"/>
                </w:rPr>
                <w:t xml:space="preserve"> dėl lygybės įstaigoms taikomų standartų dėl vienodo požiūrio į moteris ir vyrus ir vienodų jų galimybių užimtumo ir profesinės veiklos srityje, kuria iš dalies keičiamos direktyvos </w:t>
              </w:r>
              <w:fldSimple w:instr="HYPERLINK http://eur-lex.europa.eu/legal-content/LIT/TXT/?uri=CELEX:32006L0054&amp;locale=lt \t _blank">
                <w:r>
                  <w:rPr>
                    <w:rFonts w:eastAsia="Calibri"/>
                    <w:szCs w:val="24"/>
                    <w:u w:val="single"/>
                    <w:color w:val="0000FF" w:themeColor="hyperlink"/>
                  </w:rPr>
                  <w:t>2006/54/EB</w:t>
                </w:r>
              </w:fldSimple>
              <w:r>
                <w:rPr>
                  <w:rFonts w:eastAsia="Calibri"/>
                  <w:szCs w:val="24"/>
                </w:rPr>
                <w:t xml:space="preserve"> ir </w:t>
              </w:r>
              <w:fldSimple w:instr="HYPERLINK http://eur-lex.europa.eu/legal-content/LIT/TXT/?uri=CELEX:32010L0041&amp;locale=lt \t _blank">
                <w:r>
                  <w:rPr>
                    <w:rFonts w:eastAsia="Calibri"/>
                    <w:szCs w:val="24"/>
                    <w:u w:val="single"/>
                    <w:color w:val="0000FF" w:themeColor="hyperlink"/>
                  </w:rPr>
                  <w:t>2010/41/ES</w:t>
                </w:r>
              </w:fldSimple>
              <w:r>
                <w:rPr>
                  <w:rFonts w:eastAsia="Calibri"/>
                  <w:szCs w:val="24"/>
                </w:rPr>
                <w:t>, perkelti į nacionalinę teisę, sudarymo“.</w:t>
              </w:r>
              <w:r>
                <w:t xml:space="preserve"> </w:t>
              </w:r>
            </w:p>
          </w:sdtContent>
        </w:sdt>
        <w:sdt>
          <w:sdtPr>
            <w:alias w:val="skirsnis"/>
            <w:tag w:val="part_29046a6ae1c445748abc8cdeca443ade"/>
            <w:lock w:val="sdtLocked"/>
            <w:richText/>
          </w:sdtPr>
          <w:sdtContent>
            <w:p w14:paraId="1A52A7E5" w14:textId="1E28B466">
              <w:pPr>
                <w:suppressAutoHyphens/>
                <w:jc w:val="both"/>
                <w:textAlignment w:val="baseline"/>
                <w:rPr>
                  <w:b/>
                  <w:bCs/>
                </w:rPr>
              </w:pPr>
              <w:sdt>
                <w:sdtPr>
                  <w:alias w:val="Pavadinimas"/>
                  <w:tag w:val="title_29046a6ae1c445748abc8cdeca443ade"/>
                  <w:lock w:val="sdtLocked"/>
                  <w:richText/>
                </w:sdtPr>
                <w:sdtContent>
                  <w:r>
                    <w:rPr>
                      <w:b/>
                      <w:bCs/>
                    </w:rPr>
                    <w:t>Lietuvos Respublikos socialinės apsaugos ir darbo miniosterijos Lygių galimybių, moterų ir vyrų lygybės grupė, vadovė Jolanta Sakalauskienė.</w:t>
                  </w:r>
                </w:sdtContent>
              </w:sdt>
            </w:p>
            <w:p w14:paraId="453BEB68" w14:textId="77777777">
              <w:pPr>
                <w:suppressAutoHyphens/>
                <w:jc w:val="both"/>
                <w:textAlignment w:val="baseline"/>
                <w:rPr>
                  <w:b/>
                  <w:bCs/>
                  <w:i/>
                  <w:iCs/>
                  <w:szCs w:val="24"/>
                  <w:lang w:eastAsia="lt-LT"/>
                </w:rPr>
              </w:pPr>
            </w:p>
            <w:p w14:paraId="090EADAE" w14:textId="26C2C60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1329B006" w14:textId="078CBBE5">
              <w:pPr>
                <w:tabs>
                  <w:tab w:val="left" w:pos="1560"/>
                </w:tabs>
                <w:suppressAutoHyphens/>
                <w:ind w:left="1276"/>
                <w:jc w:val="both"/>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152986B" w14:textId="64A34081">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18AE0A3B" w14:textId="77777777">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7786E3D3" w14:textId="079F7658">
              <w:pPr>
                <w:suppressAutoHyphens/>
                <w:jc w:val="both"/>
                <w:textAlignment w:val="baseline"/>
              </w:pPr>
              <w:r>
                <w:rPr>
                  <w:szCs w:val="24"/>
                  <w:lang w:eastAsia="lt-LT"/>
                </w:rPr>
                <w:t>_________________________________________________________________________________________________________________________</w:t>
              </w:r>
            </w:p>
            <w:p w14:paraId="0CDF048D" w14:textId="77777777">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750"/>
                <w:gridCol w:w="3597"/>
                <w:gridCol w:w="4195"/>
                <w:gridCol w:w="4046"/>
                <w:gridCol w:w="2858"/>
              </w:tblGrid>
              <w:tr w14:paraId="7BDB3C21"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2BE421A" w14:textId="77777777">
                    <w:pPr>
                      <w:suppressAutoHyphens/>
                      <w:jc w:val="center"/>
                      <w:textAlignment w:val="baseline"/>
                      <w:rPr>
                        <w:szCs w:val="24"/>
                        <w:lang w:eastAsia="lt-LT"/>
                      </w:rPr>
                    </w:pPr>
                    <w:r>
                      <w:rPr>
                        <w:szCs w:val="24"/>
                        <w:lang w:eastAsia="lt-LT"/>
                      </w:rPr>
                      <w:t>Eil. Nr.</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7FAD815" w14:textId="77777777">
                    <w:pPr>
                      <w:suppressAutoHyphens/>
                      <w:jc w:val="center"/>
                      <w:textAlignment w:val="baseline"/>
                      <w:rPr>
                        <w:szCs w:val="24"/>
                        <w:lang w:eastAsia="lt-LT"/>
                      </w:rPr>
                    </w:pPr>
                    <w:r>
                      <w:rPr>
                        <w:szCs w:val="24"/>
                        <w:lang w:eastAsia="lt-LT"/>
                      </w:rPr>
                      <w:t>Kriterijus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D40620A"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19FDED41"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83A55D" w14:textId="77777777">
                    <w:pPr>
                      <w:suppressAutoHyphens/>
                      <w:jc w:val="center"/>
                      <w:textAlignment w:val="baseline"/>
                      <w:rPr>
                        <w:szCs w:val="24"/>
                        <w:lang w:eastAsia="lt-LT"/>
                      </w:rPr>
                    </w:pPr>
                  </w:p>
                  <w:p w14:paraId="7E6BB6F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05568423"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317EFEE"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285C66A9"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0054CEB4"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9EBCEB" w14:textId="77777777">
                    <w:pPr>
                      <w:suppressAutoHyphens/>
                      <w:jc w:val="center"/>
                      <w:textAlignment w:val="baseline"/>
                      <w:rPr>
                        <w:szCs w:val="24"/>
                        <w:lang w:eastAsia="lt-LT"/>
                      </w:rPr>
                    </w:pPr>
                    <w:r>
                      <w:rPr>
                        <w:szCs w:val="24"/>
                        <w:lang w:eastAsia="lt-LT"/>
                      </w:rPr>
                      <w:t>1.</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C251D1"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91E98D" w14:textId="303F84D9">
                    <w:pPr>
                      <w:jc w:val="both"/>
                      <w:rPr>
                        <w:szCs w:val="24"/>
                      </w:rPr>
                    </w:pPr>
                    <w:r>
                      <w:rPr>
                        <w:szCs w:val="24"/>
                      </w:rPr>
                      <w:t xml:space="preserve">Projektu perkeliamos Direktyvų </w:t>
                    </w:r>
                    <w:fldSimple w:instr="HYPERLINK http://eur-lex.europa.eu/legal-content/LIT/TXT/?uri=CELEX:32000L0043&amp;locale=lt \t _blank">
                      <w:r>
                        <w:rPr>
                          <w:color w:val="0000FF" w:themeColor="hyperlink"/>
                          <w:shd w:val="clear" w:color="auto" w:fill="FFFFFF"/>
                          <w:u w:val="single"/>
                        </w:rPr>
                        <w:t>2000/43/EB</w:t>
                      </w:r>
                    </w:fldSimple>
                    <w:r>
                      <w:rPr>
                        <w:color w:val="000000"/>
                        <w:shd w:val="clear" w:color="auto" w:fill="FFFFFF"/>
                      </w:rPr>
                      <w:t xml:space="preserve"> ir </w:t>
                    </w:r>
                    <w:fldSimple w:instr="HYPERLINK http://eur-lex.europa.eu/legal-content/LIT/TXT/?uri=CELEX:32004L0113&amp;locale=lt \t _blank">
                      <w:r>
                        <w:rPr>
                          <w:color w:val="0000FF" w:themeColor="hyperlink"/>
                          <w:shd w:val="clear" w:color="auto" w:fill="FFFFFF"/>
                          <w:u w:val="single"/>
                        </w:rPr>
                        <w:t>2004/113/EB</w:t>
                      </w:r>
                    </w:fldSimple>
                    <w:r>
                      <w:rPr>
                        <w:color w:val="000000"/>
                        <w:shd w:val="clear" w:color="auto" w:fill="FFFFFF"/>
                      </w:rPr>
                      <w:t xml:space="preserve">, </w:t>
                    </w:r>
                    <w:fldSimple w:instr="HYPERLINK http://eur-lex.europa.eu/legal-content/LIT/TXT/?uri=CELEX:32024L1500&amp;locale=lt \t _blank">
                      <w:r>
                        <w:rPr>
                          <w:color w:val="0000FF" w:themeColor="hyperlink"/>
                          <w:shd w:val="clear" w:color="auto" w:fill="FFFFFF"/>
                          <w:u w:val="single"/>
                        </w:rPr>
                        <w:t>2024/1500</w:t>
                      </w:r>
                    </w:fldSimple>
                    <w:r>
                      <w:rPr>
                        <w:color w:val="000000"/>
                        <w:shd w:val="clear" w:color="auto" w:fill="FFFFFF"/>
                      </w:rPr>
                      <w:t xml:space="preserve"> </w:t>
                    </w:r>
                    <w:r>
                      <w:rPr>
                        <w:szCs w:val="24"/>
                      </w:rPr>
                      <w:t xml:space="preserve"> dėl lygių galimybių, su nacionaline teise suderinamos, nuostatos. </w:t>
                    </w:r>
                  </w:p>
                  <w:p w14:paraId="3C50E1FB" w14:textId="79DA7BF7">
                    <w:pPr>
                      <w:jc w:val="both"/>
                      <w:rPr>
                        <w:szCs w:val="24"/>
                      </w:rPr>
                    </w:pPr>
                    <w:r>
                      <w:rPr>
                        <w:szCs w:val="24"/>
                      </w:rPr>
                      <w:t xml:space="preserve">Projekto 3 str. nustatyta prezumpcija teismui ar kitoms kompetentingoms institucijoms, nagrinėjančioms skundus dėl diskriminacijos,  neatitinka Direktyvos įrodinėjimo pareigos nuostatų (žemiau) ir nesuderinamas su kitų projekto straipsnių nuostatomis (26 sr. 7p.,</w:t>
                    </w:r>
                    <w:r>
                      <w:t xml:space="preserve"> </w:t>
                    </w:r>
                    <w:r>
                      <w:rPr>
                        <w:szCs w:val="24"/>
                      </w:rPr>
                      <w:t xml:space="preserve">28 str. 1d.  4,5,6 punktai - pareiškėjas turi pateikti aplinkybes pagrindžiančius įrodymus), kuo sudaromos ne vienodos sąlygos subjektams, su kuriais susijęs teisės akto įgyvendinimas.</w:t>
                    </w:r>
                  </w:p>
                  <w:p w14:paraId="3A5D5134" w14:textId="0038796A">
                    <w:pPr>
                      <w:jc w:val="both"/>
                      <w:rPr>
                        <w:szCs w:val="24"/>
                      </w:rPr>
                    </w:pPr>
                    <w:r>
                      <w:rPr>
                        <w:szCs w:val="24"/>
                      </w:rPr>
                      <w:t xml:space="preserve">Lietuvos Respublikos Konsittucnio Teismo  2001 m. liepos 12 d. nutarimas -“vienas iš esminių Konstitucijoje įtvirtinto teisinės valstybės principo elementų yra teisinio saugumo principas. (...) Analizuojant šį principą  pažymėtini du aspektai. Pirma teisinio saugumo imperatyvas suponuoja tam tikrus privalomus reikalavimus pačiam teisiniam reguliavimui. Jis privalo būti aiškus ir darnus, teisės normos turi būti formuluojamos tiksliai. (...). Teisinio saugumo principo turi laikytis visos valstybės valdžios institucijos (...).“ </w:t>
                    </w:r>
                  </w:p>
                  <w:p w14:paraId="6F6CC20D" w14:textId="2C3FA0BD">
                    <w:pPr>
                      <w:jc w:val="both"/>
                      <w:rPr>
                        <w:szCs w:val="24"/>
                      </w:rPr>
                    </w:pPr>
                    <w:r>
                      <w:rPr>
                        <w:szCs w:val="24"/>
                      </w:rPr>
                      <w:t xml:space="preserve">Direktyvos </w:t>
                    </w:r>
                    <w:fldSimple w:instr="HYPERLINK http://eur-lex.europa.eu/legal-content/LIT/TXT/?uri=CELEX:32043L2000&amp;locale=lt \t _blank">
                      <w:r>
                        <w:rPr>
                          <w:szCs w:val="24"/>
                          <w:u w:val="single"/>
                          <w:color w:val="0000FF" w:themeColor="hyperlink"/>
                        </w:rPr>
                        <w:t>Nr. 2000/43/EB</w:t>
                      </w:r>
                    </w:fldSimple>
                    <w:r>
                      <w:rPr>
                        <w:szCs w:val="24"/>
                      </w:rPr>
                      <w:t xml:space="preserve"> 8 str. 1d. , Direktyvos </w:t>
                    </w:r>
                    <w:fldSimple w:instr="HYPERLINK http://eur-lex.europa.eu/legal-content/LIT/TXT/?uri=CELEX:31978L2000&amp;locale=lt \t _blank">
                      <w:r>
                        <w:rPr>
                          <w:szCs w:val="24"/>
                          <w:u w:val="single"/>
                          <w:color w:val="0000FF" w:themeColor="hyperlink"/>
                        </w:rPr>
                        <w:t>Nr. 2000/78/EB</w:t>
                      </w:r>
                    </w:fldSimple>
                    <w:r>
                      <w:rPr>
                        <w:szCs w:val="24"/>
                      </w:rPr>
                      <w:t xml:space="preserve"> 10 str. 1d. , Direktyvos </w:t>
                    </w:r>
                    <w:fldSimple w:instr="HYPERLINK http://eur-lex.europa.eu/legal-content/LIT/TXT/?uri=CELEX:32004L0113&amp;locale=lt \t _blank">
                      <w:r>
                        <w:rPr>
                          <w:szCs w:val="24"/>
                          <w:u w:val="single"/>
                          <w:color w:val="0000FF" w:themeColor="hyperlink"/>
                        </w:rPr>
                        <w:t>2004/113/EB</w:t>
                      </w:r>
                    </w:fldSimple>
                    <w:r>
                      <w:rPr>
                        <w:szCs w:val="24"/>
                      </w:rPr>
                      <w:t xml:space="preserve"> 9 str. 1d. nustato, kad „ Valstybės narės taiko tokias pagal jų nacionalines teismų sistemas būtinas priemones, kurios užtikrintų, jog tais atvejais, kai asmenys, manantys, kad jie nukentėjo, kadangi jiems nebuvo taikomas vienodo požiūrio principas, teismui ar kitai kompetentingai institucijai nurodo aplinkybes, leidžiančias daryti prielaidą dėl tiesioginės ar netiesioginės diskriminacijos, pats atsakovas turi įrodyti, kad vienodo požiūrio principas nebuvo pažeistas.“ </w:t>
                    </w:r>
                  </w:p>
                  <w:p w14:paraId="10117A10" w14:textId="78D332FB">
                    <w:pPr>
                      <w:jc w:val="both"/>
                      <w:rPr>
                        <w:szCs w:val="24"/>
                      </w:rPr>
                    </w:pPr>
                    <w:r>
                      <w:rPr>
                        <w:szCs w:val="24"/>
                      </w:rPr>
                      <w:t xml:space="preserve">Analogiška nuostata jau yra perkelta į  Darbo kodekso 26 str. 5d. :„Teismuose ar kitose kompetentingose institucijose nagrinėjant fizinių, juridinių asmenų, kitų organizacijų ir jų padalinių skundus, pareiškimus, prašymus, pranešimus ar ieškinius dėl diskriminacijos, pareiškėjui nurodžius aplinkybes, leidžiančias daryti prielaidą dėl diskriminacijos, persekiojimo, priešiško elgesio ar neigiamų padarinių dėl skundo dėl diskriminacijos pateikimo, dalyvavimo byloje dėl diskriminacijos ar pranešimo apie diskriminaciją buvimo, skundžiamas asmuo turi įrodyti, kad lygios galimybės nebuvo pažeistos.“</w:t>
                    </w:r>
                  </w:p>
                  <w:p w14:paraId="51C9C5F2" w14:textId="571B5B75">
                    <w:pPr>
                      <w:jc w:val="both"/>
                      <w:rPr>
                        <w:szCs w:val="24"/>
                      </w:rPr>
                    </w:pPr>
                    <w:r>
                      <w:rPr>
                        <w:szCs w:val="24"/>
                      </w:rPr>
                      <w:t xml:space="preserve">Siekiant užtikrinti, kad direktyvos nuostatos dėl įrodinėjimo pareigos dėl lygių galimybių užtikrinimo ngrnėjant skundus valstybės institucijose būtų įgyvendinamos vienodai, siūloma suvienodinti Direktyvose nustatytas bei į Darbo kodekso 26 str. 5d. perkeltas nuostatas  ir Projekto 3 straipsnį.</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FD607C" w14:textId="77777777">
                    <w:pPr>
                      <w:suppressAutoHyphens/>
                      <w:textAlignment w:val="baseline"/>
                      <w:rPr>
                        <w:szCs w:val="24"/>
                        <w:lang w:eastAsia="lt-LT"/>
                      </w:rPr>
                    </w:pPr>
                    <w:r>
                      <w:rPr>
                        <w:szCs w:val="24"/>
                        <w:lang w:eastAsia="lt-LT"/>
                      </w:rPr>
                      <w:t>Projekto 3 str. įtvirtinama nuostata: „teismuose ar kitose kompetentingose institucijose nagrinėjant fizinių, juridinių asmenų, kitų organizacijų ir jų padalinių skundus, pareiškimus, prašymus, pranešimus ar ieškinius dėl diskriminacijos, pareiškėjui nurodžius aplinkybes, leidžiančias daryti prielaidą dėl diskriminacijos, persekiojimo, priešiško elgesio ar neigiamų padarinių dėl skundo dėl diskriminacijos pateikimo, dalyvavimo byloje dėl diskriminacijos ar pranešimo apie diskriminaciją buvimo, preziumuojama, kad diskriminacijos, persekiojimo, priešiško elgesio ar neigiamų padarinių dėl skundo dėl diskriminacijos pateikimo, dalyvavimo byloje dėl diskriminacijos ar pranešimo apie diskriminaciją faktas buvo. Skundžiamas asmuo turi įrodyti, kad lygios galimybės nebuvo pažeistos“.</w:t>
                    </w:r>
                  </w:p>
                  <w:p w14:paraId="4F6B739A" w14:textId="77777777">
                    <w:pPr>
                      <w:suppressAutoHyphens/>
                      <w:textAlignment w:val="baseline"/>
                      <w:rPr>
                        <w:szCs w:val="24"/>
                        <w:lang w:eastAsia="lt-LT"/>
                      </w:rPr>
                    </w:pPr>
                    <w:r>
                      <w:rPr>
                        <w:szCs w:val="24"/>
                        <w:lang w:eastAsia="lt-LT"/>
                      </w:rPr>
                      <w:t xml:space="preserve">Ši nuostata, įtvirtinanti diskriminacijos fakto prezumpciją, Lygių galimybių įstatyme galioja nuo 2008 m., iki tol galiojo Moterų ir vyrų lygių galimybių įstatyme, ir taikoma  Lygių galimybių kontrolieriaus praktikoje, tiriant asmenų skundus bei teismų praktikoje, nagrinėjant bylas dėl diskriminacijos.  Pažymėtina, kad diskriminacijos fakto prezumpcija ir įrodinėjimo pareigos perkėlimas pažeidėjui kyla iš ES lygybės direktyvų, kurios perkeltos į Lygių galimybių įstatymą: 2000 m. birželio 29 d. Tarybos direktyva </w:t>
                    </w:r>
                    <w:fldSimple w:instr="HYPERLINK http://eur-lex.europa.eu/legal-content/LIT/TXT/?uri=CELEX:32000L0043&amp;locale=lt \t _blank">
                      <w:r>
                        <w:rPr>
                          <w:szCs w:val="24"/>
                          <w:lang w:eastAsia="lt-LT"/>
                          <w:u w:val="single"/>
                          <w:color w:val="0000FF" w:themeColor="hyperlink"/>
                        </w:rPr>
                        <w:t>2000/43/EB</w:t>
                      </w:r>
                    </w:fldSimple>
                    <w:r>
                      <w:rPr>
                        <w:szCs w:val="24"/>
                        <w:lang w:eastAsia="lt-LT"/>
                      </w:rPr>
                      <w:t xml:space="preserve">, įgyvendinanti vienodo požiūrio principą asmenims nepriklausomai nuo jų rasės arba etninės priklausomybės;  2000 m. lapkričio 27 d. Tarybos direktyva </w:t>
                    </w:r>
                    <w:fldSimple w:instr="HYPERLINK http://eur-lex.europa.eu/legal-content/LIT/TXT/?uri=CELEX:32000L0078&amp;locale=lt \t _blank">
                      <w:r>
                        <w:rPr>
                          <w:szCs w:val="24"/>
                          <w:lang w:eastAsia="lt-LT"/>
                          <w:u w:val="single"/>
                          <w:color w:val="0000FF" w:themeColor="hyperlink"/>
                        </w:rPr>
                        <w:t>2000/78/EB</w:t>
                      </w:r>
                    </w:fldSimple>
                    <w:r>
                      <w:rPr>
                        <w:szCs w:val="24"/>
                        <w:lang w:eastAsia="lt-LT"/>
                      </w:rPr>
                      <w:t xml:space="preserve">, nustatanti vienodo požiūrio užimtumo ir profesinėje srityje bendruosius pagrindus; 2006 m. liepos 5 d. Europos Parlamento ir Tarybos direktyva </w:t>
                    </w:r>
                    <w:fldSimple w:instr="HYPERLINK http://eur-lex.europa.eu/legal-content/LIT/TXT/?uri=CELEX:32006L0054&amp;locale=lt \t _blank">
                      <w:r>
                        <w:rPr>
                          <w:szCs w:val="24"/>
                          <w:lang w:eastAsia="lt-LT"/>
                          <w:u w:val="single"/>
                          <w:color w:val="0000FF" w:themeColor="hyperlink"/>
                        </w:rPr>
                        <w:t>2006/54/EB</w:t>
                      </w:r>
                    </w:fldSimple>
                    <w:r>
                      <w:rPr>
                        <w:szCs w:val="24"/>
                        <w:lang w:eastAsia="lt-LT"/>
                      </w:rPr>
                      <w:t xml:space="preserve"> dėl moterų ir vyrų lygių galimybių ir vienodo požiūrio į moteris ir vyrus užimtumo bei profesinės veiklos srityje principo įgyvendinimo (nauja redakcija); 2019 m. birželio 20 d. Europos Parlamento ir Tarybos direktyva </w:t>
                    </w:r>
                    <w:fldSimple w:instr="HYPERLINK http://eur-lex.europa.eu/legal-content/LIT/TXT/?uri=CELEX:32019L1158&amp;locale=lt \t _blank">
                      <w:r>
                        <w:rPr>
                          <w:szCs w:val="24"/>
                          <w:lang w:eastAsia="lt-LT"/>
                          <w:u w:val="single"/>
                          <w:color w:val="0000FF" w:themeColor="hyperlink"/>
                        </w:rPr>
                        <w:t>(ES) 2019/1158</w:t>
                      </w:r>
                    </w:fldSimple>
                    <w:r>
                      <w:rPr>
                        <w:szCs w:val="24"/>
                        <w:lang w:eastAsia="lt-LT"/>
                      </w:rPr>
                      <w:t xml:space="preserve"> dėl tėvų ir prižiūrinčiųjų asmenų profesinio ir asmeninio gyvenimo pusiausvyros, kuria panaikinama Tarybos direktyva </w:t>
                    </w:r>
                    <w:fldSimple w:instr="HYPERLINK http://eur-lex.europa.eu/legal-content/LIT/TXT/?uri=CELEX:32010L0018&amp;locale=lt \t _blank">
                      <w:r>
                        <w:rPr>
                          <w:szCs w:val="24"/>
                          <w:lang w:eastAsia="lt-LT"/>
                          <w:u w:val="single"/>
                          <w:color w:val="0000FF" w:themeColor="hyperlink"/>
                        </w:rPr>
                        <w:t>2010/18/ES</w:t>
                      </w:r>
                    </w:fldSimple>
                    <w:r>
                      <w:rPr>
                        <w:szCs w:val="24"/>
                        <w:lang w:eastAsia="lt-LT"/>
                      </w:rPr>
                      <w:t>.</w:t>
                    </w:r>
                  </w:p>
                  <w:p w14:paraId="683EACD7" w14:textId="77777777">
                    <w:pPr>
                      <w:suppressAutoHyphens/>
                      <w:textAlignment w:val="baseline"/>
                      <w:rPr>
                        <w:szCs w:val="24"/>
                        <w:lang w:eastAsia="lt-LT"/>
                      </w:rPr>
                    </w:pPr>
                    <w:r>
                      <w:rPr>
                        <w:szCs w:val="24"/>
                        <w:lang w:eastAsia="lt-LT"/>
                      </w:rPr>
                      <w:t>Diskriminacijos fakto prezumpcija ir įrodinėjimo naštos perkėlimas galimam pažeidėjui ES ir nacionalinėje teisėje buvo įtvirtinta, siekiant apsaugoti silpnesniąją santykio šalį, t. y. asmenį, patyrusį diskriminaciją, atsižvelgiant į įrodinėjimo proceso diskriminacijos bylose sudėtingumą bei šio reiškinio latentiškumą. Pažymėtina, kad Lietuvos teisėje įrodinėjimo naštos perkėlimas stipresniajai santykio šaliai galioja ne tik diskriminacijos bylose, bet ir kitose bylose, kurios, kuriose yra akivaizdus galios disbalansas, pvz., bylose, kylančiose iš darbo santykių, vartojimo santykių ir kt. Taip pat pažymėtina, kad Lietuvos teismai, nagrinėdami diskriminacijos atvejus, taip pat ne kartą rėmėsi šia nuostata ir šiuo klausimu yra suformuota teismų praktika, pvz., Regionų administracinio teismo 2018 m. liepos 19 d. sprendimas byloje Nr. I-2531-643/2018; Lietuvos Vyriausiojo administracinio teismo 2021 m. gruodžio 15 d. sprendimas byloje Nr. eA-2796-492/2021; Regionų administracinio teismo 2024 m. gegužės 27 d. sprendimas byloje Nr. eI2-655-426/2024.</w:t>
                    </w:r>
                  </w:p>
                  <w:p w14:paraId="44BBBB0B" w14:textId="6FCB3A8A">
                    <w:pPr>
                      <w:suppressAutoHyphens/>
                      <w:textAlignment w:val="baseline"/>
                      <w:rPr>
                        <w:b/>
                        <w:szCs w:val="24"/>
                        <w:lang w:eastAsia="lt-LT"/>
                      </w:rPr>
                    </w:pPr>
                    <w:r>
                      <w:rPr>
                        <w:szCs w:val="24"/>
                        <w:lang w:eastAsia="lt-LT"/>
                      </w:rPr>
                      <w:t xml:space="preserve">Atkreiptinas dėmesys, jog įrodinėjimo naštos perkėlimo galimam pažeidėjui praktikos ir toliau nuosekliai laikomasi naujai priimamamose ES direktyvose. Pvz., šiuo metu į Lietuvos teisę perkeliama Europos Parlamento ir Tarybos direktyva </w:t>
                    </w:r>
                    <w:fldSimple w:instr="HYPERLINK http://eur-lex.europa.eu/legal-content/LIT/TXT/?uri=CELEX:32023L0970&amp;locale=lt \t _blank">
                      <w:r>
                        <w:rPr>
                          <w:szCs w:val="24"/>
                          <w:lang w:eastAsia="lt-LT"/>
                          <w:u w:val="single"/>
                          <w:color w:val="0000FF" w:themeColor="hyperlink"/>
                        </w:rPr>
                        <w:t>(ES) 2023/970</w:t>
                      </w:r>
                    </w:fldSimple>
                    <w:r>
                      <w:rPr>
                        <w:szCs w:val="24"/>
                        <w:lang w:eastAsia="lt-LT"/>
                      </w:rPr>
                      <w:t xml:space="preserve"> 2023 m. gegužės 10 d. kuria, nustatant darbo užmokesčio skaidrumo ir vykdymo užtikrinimo mechanizmus, griežčiau taikomas vienodo vyrų ir moterų darbo užmokesčio už vienodą arba vienodos vertės darbą principas, kurioje be kita ko pažymima, jog: “įrodinėjimo pareiga būtų perkelta atsakovui. Vis dėlto, nukentėjusiesiems ir teismams ne visada lengva žinoti, kaip tą prezumpciją nustatyti. Teisingumo Teismas byloje C-109/88 nusprendė, kad tuo atveju, kai darbo užmokesčio sistema yra visiškai neskaidri, įrodinėjimo pareiga turėtų būti perkelta atsakovui, nepriklausomai nuo to, ar darbuotojas prima facie yra diskriminuojamas darbo užmokesčio srityje. Atitinkamai įrodinėjimo pareiga turėtų būti perkelta atsakovui, kai darbdavys nesilaiko šioje direktyvoje nustatytų darbo užmokesčio skaidrumo pareigų, pavyzdžiui, atsisako pateikti darbuotojų prašomą informaciją arba, kai aktualu, nepraneša apie vyrų ir moterų darbo užmokesčio atotrūkį, išskyrus atvejus, kai darbdavys įrodo, kad toks pažeidimas buvo akivaizdžiai netyčinis ir nereikšmingas;".</w:t>
                    </w: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64665B" w14:textId="77777777">
                    <w:pPr>
                      <w:suppressAutoHyphens/>
                      <w:textAlignment w:val="baseline"/>
                      <w:rPr>
                        <w:szCs w:val="24"/>
                        <w:lang w:eastAsia="lt-LT"/>
                      </w:rPr>
                    </w:pPr>
                    <w:r>
                      <w:rPr>
                        <w:szCs w:val="24"/>
                        <w:lang w:eastAsia="lt-LT"/>
                      </w:rPr>
                      <w:t>□ tenkina</w:t>
                    </w:r>
                  </w:p>
                  <w:p w14:paraId="7AB7948F" w14:textId="77777777">
                    <w:pPr>
                      <w:suppressAutoHyphens/>
                      <w:textAlignment w:val="baseline"/>
                      <w:rPr>
                        <w:szCs w:val="24"/>
                        <w:lang w:eastAsia="lt-LT"/>
                      </w:rPr>
                    </w:pPr>
                    <w:r>
                      <w:rPr>
                        <w:szCs w:val="24"/>
                        <w:lang w:eastAsia="lt-LT"/>
                      </w:rPr>
                      <w:t>x netenkina</w:t>
                    </w:r>
                  </w:p>
                  <w:p w14:paraId="2950157B" w14:textId="46DB7C29">
                    <w:pPr>
                      <w:suppressAutoHyphens/>
                      <w:textAlignment w:val="baseline"/>
                      <w:rPr>
                        <w:szCs w:val="24"/>
                        <w:lang w:eastAsia="lt-LT"/>
                      </w:rPr>
                    </w:pPr>
                  </w:p>
                </w:tc>
              </w:tr>
              <w:tr w14:paraId="5546042E"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8A79A6" w14:textId="77777777">
                    <w:pPr>
                      <w:keepNext/>
                      <w:suppressAutoHyphens/>
                      <w:jc w:val="center"/>
                      <w:textAlignment w:val="baseline"/>
                      <w:rPr>
                        <w:szCs w:val="24"/>
                        <w:lang w:eastAsia="lt-LT"/>
                      </w:rPr>
                    </w:pPr>
                    <w:r>
                      <w:rPr>
                        <w:szCs w:val="24"/>
                        <w:lang w:eastAsia="lt-LT"/>
                      </w:rPr>
                      <w:t>2.</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69C03A"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006103" w14:textId="1C4C5AA3">
                    <w:pPr>
                      <w:keepNext/>
                      <w:suppressAutoHyphens/>
                      <w:jc w:val="both"/>
                      <w:textAlignment w:val="baseline"/>
                      <w:rPr>
                        <w:szCs w:val="24"/>
                        <w:lang w:eastAsia="lt-LT"/>
                      </w:rPr>
                    </w:pPr>
                    <w:r>
                      <w:rPr>
                        <w:szCs w:val="24"/>
                        <w:lang w:eastAsia="lt-LT"/>
                      </w:rPr>
                      <w:t xml:space="preserve">Projekte nenustatyta spragų ar dviprasmiškų nuostatų išskyrus pažymos 1 p. </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969850" w14:textId="77777777">
                    <w:pPr>
                      <w:keepNext/>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5E284E" w14:textId="0E2E9E6D">
                    <w:pPr>
                      <w:keepNext/>
                      <w:suppressAutoHyphens/>
                      <w:textAlignment w:val="baseline"/>
                      <w:rPr>
                        <w:szCs w:val="24"/>
                        <w:lang w:eastAsia="lt-LT"/>
                      </w:rPr>
                    </w:pPr>
                    <w:r>
                      <w:rPr>
                        <w:szCs w:val="24"/>
                        <w:lang w:eastAsia="lt-LT"/>
                      </w:rPr>
                      <w:t>x tenkina</w:t>
                    </w:r>
                  </w:p>
                  <w:p w14:paraId="033CF9C1" w14:textId="77777777">
                    <w:pPr>
                      <w:keepNext/>
                      <w:suppressAutoHyphens/>
                      <w:textAlignment w:val="baseline"/>
                      <w:rPr>
                        <w:szCs w:val="24"/>
                        <w:lang w:eastAsia="lt-LT"/>
                      </w:rPr>
                    </w:pPr>
                    <w:r>
                      <w:rPr>
                        <w:szCs w:val="24"/>
                        <w:lang w:eastAsia="lt-LT"/>
                      </w:rPr>
                      <w:t>□ netenkina</w:t>
                    </w:r>
                  </w:p>
                </w:tc>
              </w:tr>
              <w:tr w14:paraId="0DA92D9E"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1B32D9" w14:textId="77777777">
                    <w:pPr>
                      <w:suppressAutoHyphens/>
                      <w:jc w:val="center"/>
                      <w:textAlignment w:val="baseline"/>
                      <w:rPr>
                        <w:szCs w:val="24"/>
                        <w:lang w:eastAsia="lt-LT"/>
                      </w:rPr>
                    </w:pPr>
                    <w:r>
                      <w:rPr>
                        <w:szCs w:val="24"/>
                        <w:lang w:eastAsia="lt-LT"/>
                      </w:rPr>
                      <w:t>3.</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7AB362"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407683" w14:textId="46D5AD7E">
                    <w:pPr>
                      <w:suppressAutoHyphens/>
                      <w:jc w:val="both"/>
                      <w:textAlignment w:val="baseline"/>
                      <w:rPr>
                        <w:szCs w:val="24"/>
                        <w:lang w:eastAsia="lt-LT"/>
                      </w:rPr>
                    </w:pPr>
                    <w:r>
                      <w:rPr>
                        <w:szCs w:val="24"/>
                        <w:lang w:eastAsia="lt-LT"/>
                      </w:rPr>
                      <w:t>Šis kriterijus Projektui nėra tiesiogiai aktualus.</w:t>
                    </w:r>
                  </w:p>
                  <w:p w14:paraId="0A0F7D79" w14:textId="77777777">
                    <w:pPr>
                      <w:suppressAutoHyphens/>
                      <w:textAlignment w:val="baseline"/>
                      <w:rPr>
                        <w:szCs w:val="24"/>
                        <w:lang w:eastAsia="lt-LT"/>
                      </w:rPr>
                    </w:pPr>
                  </w:p>
                  <w:p w14:paraId="0F4D4FF8" w14:textId="77777777">
                    <w:pPr>
                      <w:suppressAutoHyphens/>
                      <w:textAlignment w:val="baseline"/>
                      <w:rPr>
                        <w:szCs w:val="24"/>
                        <w:lang w:eastAsia="lt-LT"/>
                      </w:rPr>
                    </w:pPr>
                  </w:p>
                  <w:p w14:paraId="00E81A7B" w14:textId="77777777">
                    <w:pPr>
                      <w:suppressAutoHyphens/>
                      <w:ind w:firstLine="1296"/>
                      <w:textAlignment w:val="baseline"/>
                      <w:rPr>
                        <w:szCs w:val="24"/>
                        <w:lang w:eastAsia="lt-LT"/>
                      </w:rPr>
                    </w:pPr>
                  </w:p>
                  <w:p w14:paraId="24019BBC" w14:textId="3716CDF6">
                    <w:pPr>
                      <w:suppressAutoHyphens/>
                      <w:ind w:firstLine="1296"/>
                      <w:textAlignment w:val="baseline"/>
                      <w:rPr>
                        <w:szCs w:val="24"/>
                        <w:lang w:eastAsia="lt-LT"/>
                      </w:rPr>
                    </w:pP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C04F70"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B47B38" w14:textId="77777777">
                    <w:pPr>
                      <w:suppressAutoHyphens/>
                      <w:textAlignment w:val="baseline"/>
                      <w:rPr>
                        <w:szCs w:val="24"/>
                        <w:lang w:eastAsia="lt-LT"/>
                      </w:rPr>
                    </w:pPr>
                    <w:r>
                      <w:rPr>
                        <w:szCs w:val="24"/>
                        <w:lang w:eastAsia="lt-LT"/>
                      </w:rPr>
                      <w:t>□ tenkina</w:t>
                    </w:r>
                  </w:p>
                  <w:p w14:paraId="2EE7CCD1" w14:textId="77777777">
                    <w:pPr>
                      <w:suppressAutoHyphens/>
                      <w:textAlignment w:val="baseline"/>
                      <w:rPr>
                        <w:szCs w:val="24"/>
                        <w:lang w:eastAsia="lt-LT"/>
                      </w:rPr>
                    </w:pPr>
                    <w:r>
                      <w:rPr>
                        <w:szCs w:val="24"/>
                        <w:lang w:eastAsia="lt-LT"/>
                      </w:rPr>
                      <w:t>□ netenkina</w:t>
                    </w:r>
                  </w:p>
                </w:tc>
              </w:tr>
              <w:tr w14:paraId="2799CE53"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47C903" w14:textId="77777777">
                    <w:pPr>
                      <w:suppressAutoHyphens/>
                      <w:jc w:val="center"/>
                      <w:textAlignment w:val="baseline"/>
                      <w:rPr>
                        <w:szCs w:val="24"/>
                        <w:lang w:eastAsia="lt-LT"/>
                      </w:rPr>
                    </w:pPr>
                    <w:r>
                      <w:rPr>
                        <w:szCs w:val="24"/>
                        <w:lang w:eastAsia="lt-LT"/>
                      </w:rPr>
                      <w:t>4.</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73DED"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0F6BAA" w14:textId="08442579">
                    <w:pPr>
                      <w:suppressAutoHyphens/>
                      <w:jc w:val="both"/>
                      <w:textAlignment w:val="baseline"/>
                      <w:rPr>
                        <w:szCs w:val="24"/>
                        <w:lang w:eastAsia="lt-LT"/>
                      </w:rPr>
                    </w:pPr>
                    <w:r>
                      <w:rPr>
                        <w:szCs w:val="24"/>
                        <w:lang w:eastAsia="lt-LT"/>
                      </w:rPr>
                      <w:t>Taip. Projekte nurodomo subjekto Lygių galimybių kontrolieriaus taarnybos (toliau - LGKT) įgaliojimai, Projekte siūlomų nuostatų kontekste, atitinka šiam subjektui priskiriamas funkcijas (pareigas).</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4A225F0"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961F1D" w14:textId="32E740F0">
                    <w:pPr>
                      <w:suppressAutoHyphens/>
                      <w:textAlignment w:val="baseline"/>
                      <w:rPr>
                        <w:szCs w:val="24"/>
                        <w:lang w:eastAsia="lt-LT"/>
                      </w:rPr>
                    </w:pPr>
                    <w:r>
                      <w:rPr>
                        <w:szCs w:val="24"/>
                        <w:lang w:eastAsia="lt-LT"/>
                      </w:rPr>
                      <w:t>x tenkina</w:t>
                    </w:r>
                  </w:p>
                  <w:p w14:paraId="3934547B" w14:textId="77777777">
                    <w:pPr>
                      <w:suppressAutoHyphens/>
                      <w:textAlignment w:val="baseline"/>
                      <w:rPr>
                        <w:szCs w:val="24"/>
                        <w:lang w:eastAsia="lt-LT"/>
                      </w:rPr>
                    </w:pPr>
                    <w:r>
                      <w:rPr>
                        <w:szCs w:val="24"/>
                        <w:lang w:eastAsia="lt-LT"/>
                      </w:rPr>
                      <w:t>□ netenkina</w:t>
                    </w:r>
                  </w:p>
                </w:tc>
              </w:tr>
              <w:tr w14:paraId="4069EE72"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8CFF3F" w14:textId="77777777">
                    <w:pPr>
                      <w:suppressAutoHyphens/>
                      <w:jc w:val="center"/>
                      <w:textAlignment w:val="baseline"/>
                      <w:rPr>
                        <w:szCs w:val="24"/>
                        <w:lang w:eastAsia="lt-LT"/>
                      </w:rPr>
                    </w:pPr>
                    <w:r>
                      <w:rPr>
                        <w:szCs w:val="24"/>
                        <w:lang w:eastAsia="lt-LT"/>
                      </w:rPr>
                      <w:t>5.</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28FD77"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19C6EE" w14:textId="77777777">
                    <w:pPr>
                      <w:suppressAutoHyphens/>
                      <w:jc w:val="both"/>
                      <w:textAlignment w:val="baseline"/>
                      <w:rPr>
                        <w:szCs w:val="24"/>
                        <w:lang w:eastAsia="lt-LT"/>
                      </w:rPr>
                    </w:pPr>
                    <w:r>
                      <w:rPr>
                        <w:szCs w:val="24"/>
                        <w:lang w:eastAsia="lt-LT"/>
                      </w:rPr>
                      <w:t>Taip. Projekto 30 str. nustatytas baigtinis sprendimų (klriterijų) priėmimo sąrašas.</w:t>
                    </w:r>
                  </w:p>
                  <w:p w14:paraId="6D906F15" w14:textId="137E41EF">
                    <w:pPr>
                      <w:suppressAutoHyphens/>
                      <w:jc w:val="both"/>
                      <w:textAlignment w:val="baseline"/>
                      <w:rPr>
                        <w:szCs w:val="24"/>
                        <w:lang w:eastAsia="lt-LT"/>
                      </w:rPr>
                    </w:pPr>
                    <w:r>
                      <w:rPr>
                        <w:szCs w:val="24"/>
                        <w:lang w:eastAsia="lt-LT"/>
                      </w:rPr>
                      <w:t>Pastabų nėra.</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0262F3"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B9AFAE3" w14:textId="2B5F19B3">
                    <w:pPr>
                      <w:suppressAutoHyphens/>
                      <w:textAlignment w:val="baseline"/>
                      <w:rPr>
                        <w:szCs w:val="24"/>
                        <w:lang w:eastAsia="lt-LT"/>
                      </w:rPr>
                    </w:pPr>
                    <w:r>
                      <w:rPr>
                        <w:szCs w:val="24"/>
                        <w:lang w:eastAsia="lt-LT"/>
                      </w:rPr>
                      <w:t>x tenkina</w:t>
                    </w:r>
                  </w:p>
                  <w:p w14:paraId="1397C4EA" w14:textId="77777777">
                    <w:pPr>
                      <w:suppressAutoHyphens/>
                      <w:textAlignment w:val="baseline"/>
                      <w:rPr>
                        <w:szCs w:val="24"/>
                        <w:lang w:eastAsia="lt-LT"/>
                      </w:rPr>
                    </w:pPr>
                    <w:r>
                      <w:rPr>
                        <w:szCs w:val="24"/>
                        <w:lang w:eastAsia="lt-LT"/>
                      </w:rPr>
                      <w:t>□ netenkina</w:t>
                    </w:r>
                  </w:p>
                </w:tc>
              </w:tr>
              <w:tr w14:paraId="261B4FE2"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ED500D" w14:textId="77777777">
                    <w:pPr>
                      <w:suppressAutoHyphens/>
                      <w:jc w:val="center"/>
                      <w:textAlignment w:val="baseline"/>
                      <w:rPr>
                        <w:szCs w:val="24"/>
                        <w:lang w:eastAsia="lt-LT"/>
                      </w:rPr>
                    </w:pPr>
                    <w:r>
                      <w:rPr>
                        <w:szCs w:val="24"/>
                        <w:lang w:eastAsia="lt-LT"/>
                      </w:rPr>
                      <w:t>6.</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4C4E3"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A1FADA" w14:textId="59984BCA">
                    <w:pPr>
                      <w:suppressAutoHyphens/>
                      <w:jc w:val="both"/>
                      <w:textAlignment w:val="baseline"/>
                      <w:rPr>
                        <w:szCs w:val="24"/>
                        <w:lang w:eastAsia="lt-LT"/>
                      </w:rPr>
                    </w:pPr>
                    <w:r>
                      <w:rPr>
                        <w:szCs w:val="24"/>
                        <w:lang w:eastAsia="lt-LT"/>
                      </w:rPr>
                      <w:t xml:space="preserve">Nenustatyta. Šis kriterijus Projektui tiesiogiai nėra aktualus, kadangi juo nėra siūloma nustatyti baigtinį atvejų, kai priimant sprendimus taikomos išimtys, sąrašą. </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21547C"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CB30A57" w14:textId="77777777">
                    <w:pPr>
                      <w:suppressAutoHyphens/>
                      <w:textAlignment w:val="baseline"/>
                      <w:rPr>
                        <w:szCs w:val="24"/>
                        <w:lang w:eastAsia="lt-LT"/>
                      </w:rPr>
                    </w:pPr>
                    <w:r>
                      <w:rPr>
                        <w:szCs w:val="24"/>
                        <w:lang w:eastAsia="lt-LT"/>
                      </w:rPr>
                      <w:t>□ tenkina</w:t>
                    </w:r>
                  </w:p>
                  <w:p w14:paraId="0BA077A9" w14:textId="77777777">
                    <w:pPr>
                      <w:suppressAutoHyphens/>
                      <w:textAlignment w:val="baseline"/>
                      <w:rPr>
                        <w:szCs w:val="24"/>
                        <w:lang w:eastAsia="lt-LT"/>
                      </w:rPr>
                    </w:pPr>
                    <w:r>
                      <w:rPr>
                        <w:szCs w:val="24"/>
                        <w:lang w:eastAsia="lt-LT"/>
                      </w:rPr>
                      <w:t>□ netenkina</w:t>
                    </w:r>
                  </w:p>
                </w:tc>
              </w:tr>
              <w:tr w14:paraId="5DA845D2"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D46181" w14:textId="77777777">
                    <w:pPr>
                      <w:suppressAutoHyphens/>
                      <w:jc w:val="center"/>
                      <w:textAlignment w:val="baseline"/>
                      <w:rPr>
                        <w:szCs w:val="24"/>
                        <w:lang w:eastAsia="lt-LT"/>
                      </w:rPr>
                    </w:pPr>
                    <w:r>
                      <w:rPr>
                        <w:szCs w:val="24"/>
                        <w:lang w:eastAsia="lt-LT"/>
                      </w:rPr>
                      <w:t>7.</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AD4184"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752E1" w14:textId="48422E5C">
                    <w:pPr>
                      <w:suppressAutoHyphens/>
                      <w:textAlignment w:val="baseline"/>
                      <w:rPr>
                        <w:szCs w:val="24"/>
                        <w:lang w:eastAsia="lt-LT"/>
                      </w:rPr>
                    </w:pPr>
                    <w:r>
                      <w:rPr>
                        <w:szCs w:val="24"/>
                        <w:lang w:eastAsia="lt-LT"/>
                      </w:rPr>
                      <w:t xml:space="preserve">Sprendimų priėmimo ir įforminimo tvarka ne detalizuota, o Projekto 19 str.  2d. Lygių galimybių kontrolierius  (toliau - LGK) skelbia </w:t>
                    </w:r>
                    <w:r>
                      <w:t>priimtus nuasmenintus sprendimus (jų santraukas) (pašalinus fizinio asmens vardą, pavardę bei kitus duomenis, pagal kuriuos būtų galima tiesiogiai ar netiesiogiai nustatyti asmens tapatybę), išskyrus atvejus, kai net ir nuasmeninus sprendimą (jo santrauką) nebūtų tinkamai užtikrinta asmens duomenų apsauga.</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F32C60"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FA1FE9" w14:textId="3346F71D">
                    <w:pPr>
                      <w:suppressAutoHyphens/>
                      <w:textAlignment w:val="baseline"/>
                      <w:rPr>
                        <w:szCs w:val="24"/>
                        <w:lang w:eastAsia="lt-LT"/>
                      </w:rPr>
                    </w:pPr>
                    <w:r>
                      <w:rPr>
                        <w:szCs w:val="24"/>
                        <w:lang w:eastAsia="lt-LT"/>
                      </w:rPr>
                      <w:t>x tenkina</w:t>
                    </w:r>
                  </w:p>
                  <w:p w14:paraId="23A720F6" w14:textId="77777777">
                    <w:pPr>
                      <w:suppressAutoHyphens/>
                      <w:textAlignment w:val="baseline"/>
                      <w:rPr>
                        <w:szCs w:val="24"/>
                        <w:lang w:eastAsia="lt-LT"/>
                      </w:rPr>
                    </w:pPr>
                    <w:r>
                      <w:rPr>
                        <w:szCs w:val="24"/>
                        <w:lang w:eastAsia="lt-LT"/>
                      </w:rPr>
                      <w:t>□ netenkina</w:t>
                    </w:r>
                  </w:p>
                </w:tc>
              </w:tr>
              <w:tr w14:paraId="0CF3F999"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8B7BEF" w14:textId="77777777">
                    <w:pPr>
                      <w:suppressAutoHyphens/>
                      <w:jc w:val="center"/>
                      <w:textAlignment w:val="baseline"/>
                    </w:pPr>
                    <w:r>
                      <w:t>8.</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1E2FDA" w14:textId="77777777">
                    <w:pPr>
                      <w:suppressAutoHyphens/>
                      <w:textAlignment w:val="baseline"/>
                    </w:pPr>
                    <w:r>
                      <w:t xml:space="preserve">Teisės akto projekte nustatyti sprendimų dėl mažareikšmiškumo kriterijai ir priėmimo tvarka </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95A08D" w14:textId="77777777">
                    <w:pPr>
                      <w:jc w:val="both"/>
                      <w:rPr>
                        <w:bCs/>
                        <w:szCs w:val="22"/>
                      </w:rPr>
                    </w:pPr>
                    <w:r>
                      <w:rPr>
                        <w:szCs w:val="22"/>
                      </w:rPr>
                      <w:t xml:space="preserve">Ne. Šis kriterijus Projektui nėra aktualus.  </w:t>
                    </w:r>
                  </w:p>
                  <w:p w14:paraId="0E1EA899" w14:textId="77777777">
                    <w:pPr>
                      <w:suppressAutoHyphens/>
                      <w:textAlignment w:val="baseline"/>
                      <w:rPr>
                        <w:b/>
                        <w:szCs w:val="22"/>
                        <w:lang w:eastAsia="lt-LT"/>
                      </w:rPr>
                    </w:pP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36A65C" w14:textId="77777777">
                    <w:pPr>
                      <w:suppressAutoHyphens/>
                      <w:textAlignment w:val="baseline"/>
                      <w:rPr>
                        <w:b/>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98FAC7" w14:textId="77777777">
                    <w:pPr>
                      <w:suppressAutoHyphens/>
                      <w:textAlignment w:val="baseline"/>
                      <w:rPr>
                        <w:szCs w:val="24"/>
                        <w:lang w:eastAsia="lt-LT"/>
                      </w:rPr>
                    </w:pPr>
                    <w:r>
                      <w:rPr>
                        <w:szCs w:val="24"/>
                        <w:lang w:eastAsia="lt-LT"/>
                      </w:rPr>
                      <w:t>□ tenkina</w:t>
                    </w:r>
                  </w:p>
                  <w:p w14:paraId="17D97897" w14:textId="77777777">
                    <w:pPr>
                      <w:suppressAutoHyphens/>
                      <w:textAlignment w:val="baseline"/>
                      <w:rPr>
                        <w:szCs w:val="24"/>
                        <w:lang w:eastAsia="lt-LT"/>
                      </w:rPr>
                    </w:pPr>
                    <w:r>
                      <w:rPr>
                        <w:szCs w:val="24"/>
                        <w:lang w:eastAsia="lt-LT"/>
                      </w:rPr>
                      <w:t>□ netenkina</w:t>
                    </w:r>
                  </w:p>
                </w:tc>
              </w:tr>
              <w:tr w14:paraId="4024E6AE"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BB13AA" w14:textId="77777777">
                    <w:pPr>
                      <w:suppressAutoHyphens/>
                      <w:jc w:val="center"/>
                      <w:textAlignment w:val="baseline"/>
                      <w:rPr>
                        <w:szCs w:val="24"/>
                        <w:lang w:eastAsia="lt-LT"/>
                      </w:rPr>
                    </w:pPr>
                    <w:r>
                      <w:rPr>
                        <w:szCs w:val="24"/>
                        <w:lang w:eastAsia="lt-LT"/>
                      </w:rPr>
                      <w:t>9.</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EE1342"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3565B527" w14:textId="77777777">
                    <w:pPr>
                      <w:suppressAutoHyphens/>
                      <w:ind w:left="33"/>
                      <w:textAlignment w:val="baseline"/>
                      <w:rPr>
                        <w:szCs w:val="24"/>
                      </w:rPr>
                    </w:pPr>
                    <w:r>
                      <w:rPr>
                        <w:szCs w:val="24"/>
                      </w:rPr>
                      <w:t>9.1. konkretus narių skaičius, užtikrinantis kolegialaus sprendimus priimančio subjekto veiklos objektyvumą</w:t>
                    </w:r>
                  </w:p>
                  <w:p w14:paraId="19E35B68"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42366E23" w14:textId="77777777">
                    <w:pPr>
                      <w:suppressAutoHyphens/>
                      <w:textAlignment w:val="baseline"/>
                    </w:pPr>
                    <w:r>
                      <w:rPr>
                        <w:szCs w:val="24"/>
                        <w:lang w:eastAsia="lt-LT"/>
                      </w:rPr>
                      <w:t>9.3</w:t>
                    </w:r>
                    <w:r>
                      <w:rPr>
                        <w:spacing w:val="-4"/>
                        <w:szCs w:val="24"/>
                        <w:lang w:eastAsia="lt-LT"/>
                      </w:rPr>
                      <w:t>. narių skyrimo mechanizmas</w:t>
                    </w:r>
                  </w:p>
                  <w:p w14:paraId="3D2C07E3" w14:textId="77777777">
                    <w:pPr>
                      <w:suppressAutoHyphens/>
                      <w:textAlignment w:val="baseline"/>
                      <w:rPr>
                        <w:szCs w:val="24"/>
                        <w:lang w:eastAsia="lt-LT"/>
                      </w:rPr>
                    </w:pPr>
                    <w:r>
                      <w:rPr>
                        <w:szCs w:val="24"/>
                        <w:lang w:eastAsia="lt-LT"/>
                      </w:rPr>
                      <w:t>9.4. narių rotacija ir kadencijų skaičius ir trukmė</w:t>
                    </w:r>
                  </w:p>
                  <w:p w14:paraId="5D375AC4" w14:textId="77777777">
                    <w:pPr>
                      <w:suppressAutoHyphens/>
                      <w:textAlignment w:val="baseline"/>
                      <w:rPr>
                        <w:szCs w:val="24"/>
                      </w:rPr>
                    </w:pPr>
                    <w:r>
                      <w:rPr>
                        <w:szCs w:val="24"/>
                      </w:rPr>
                      <w:t>9.5. veiklos pobūdis laiko atžvilgiu</w:t>
                    </w:r>
                  </w:p>
                  <w:p w14:paraId="2FA20019" w14:textId="77777777">
                    <w:pPr>
                      <w:suppressAutoHyphens/>
                      <w:textAlignment w:val="baseline"/>
                      <w:rPr>
                        <w:szCs w:val="24"/>
                        <w:lang w:eastAsia="lt-LT"/>
                      </w:rPr>
                    </w:pPr>
                    <w:r>
                      <w:rPr>
                        <w:szCs w:val="24"/>
                        <w:lang w:eastAsia="lt-LT"/>
                      </w:rPr>
                      <w:t>9.6. asmeninė narių atsakomybė</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051156" w14:textId="61A2F159">
                    <w:pPr>
                      <w:suppressAutoHyphens/>
                      <w:textAlignment w:val="baseline"/>
                      <w:rPr>
                        <w:iCs/>
                        <w:szCs w:val="24"/>
                        <w:lang w:eastAsia="lt-LT"/>
                      </w:rPr>
                    </w:pPr>
                    <w:r>
                      <w:rPr>
                        <w:iCs/>
                        <w:szCs w:val="24"/>
                        <w:lang w:eastAsia="lt-LT"/>
                      </w:rPr>
                      <w:t>Pačioje LGKT sprendimams priimti nėra sudaryta komisija. Kriterijus šioje dalyje Projektui nėra aktualus.</w:t>
                    </w:r>
                  </w:p>
                  <w:p w14:paraId="487CE15F" w14:textId="484861FB">
                    <w:pPr>
                      <w:suppressAutoHyphens/>
                      <w:textAlignment w:val="baseline"/>
                    </w:pPr>
                    <w:r>
                      <w:rPr>
                        <w:iCs/>
                        <w:szCs w:val="24"/>
                        <w:lang w:eastAsia="lt-LT"/>
                      </w:rPr>
                      <w:t xml:space="preserve">Komisija sudaroma prie LGKT atlikti </w:t>
                    </w:r>
                    <w:r>
                      <w:t xml:space="preserve">Jungtinių Tautų asmenų su negalia teisių konvencijos įgyvendinimo stebėseną ir kuri veikia pagal lygių galimybių kontrolieriaus patvirtintus nuostatus. </w:t>
                    </w:r>
                  </w:p>
                  <w:p w14:paraId="160F1ECA" w14:textId="23338D84">
                    <w:pPr>
                      <w:suppressAutoHyphens/>
                      <w:textAlignment w:val="baseline"/>
                      <w:rPr>
                        <w:iCs/>
                        <w:szCs w:val="24"/>
                        <w:lang w:eastAsia="lt-LT"/>
                      </w:rPr>
                    </w:pPr>
                    <w:r>
                      <w:t xml:space="preserve">9.1.-9.2. Pagal Projekto 22 str.2d.  komisiją sudaro 5 nariai, iš kurių 4 nariai skiriami asmenų su negalia asociacijos atstovų (80 proc.arba 4/5), 1 lygių galimybių kontrolieriaus tarnybos atstovas (20 proc.arba 1/5). Pagal bendrą taisyklę, kad sprendimui priimti reikia 50 proc.+1, komisijos sprendimų priėmimo objektyvumas ir skaidrumas užtikrintas;</w:t>
                    </w:r>
                    <w:r>
                      <w:rPr>
                        <w:iCs/>
                        <w:szCs w:val="24"/>
                        <w:lang w:eastAsia="lt-LT"/>
                      </w:rPr>
                      <w:t xml:space="preserve"> </w:t>
                    </w:r>
                  </w:p>
                  <w:p w14:paraId="506374A3" w14:textId="77777777">
                    <w:pPr>
                      <w:suppressAutoHyphens/>
                      <w:textAlignment w:val="baseline"/>
                      <w:rPr>
                        <w:iCs/>
                        <w:szCs w:val="24"/>
                        <w:lang w:eastAsia="lt-LT"/>
                      </w:rPr>
                    </w:pPr>
                    <w:r>
                      <w:rPr>
                        <w:iCs/>
                        <w:szCs w:val="24"/>
                        <w:lang w:eastAsia="lt-LT"/>
                      </w:rPr>
                      <w:t xml:space="preserve">9.3. numatyta, kad LGK nustato kandidatų į narius teikimo ir atrankos/tvirtinimo  tvarką;</w:t>
                    </w:r>
                  </w:p>
                  <w:p w14:paraId="21FB7734" w14:textId="0DB9D12C">
                    <w:pPr>
                      <w:suppressAutoHyphens/>
                      <w:textAlignment w:val="baseline"/>
                      <w:rPr>
                        <w:iCs/>
                        <w:szCs w:val="24"/>
                        <w:lang w:eastAsia="lt-LT"/>
                      </w:rPr>
                    </w:pPr>
                    <w:r>
                      <w:rPr>
                        <w:iCs/>
                        <w:szCs w:val="24"/>
                        <w:lang w:eastAsia="lt-LT"/>
                      </w:rPr>
                      <w:t>9.4. Narių rotacija įstatymu nenustatyta; Projekto 22 str. 3d. nustatyta, kad komisija sudaro 4 metų kadencijai, tas pats narys gali būti Komisijos nariu 2 kadencijas, išskyrus LGKT atstovą, kuriame kadencijų skaičius nenustatytas;</w:t>
                    </w:r>
                  </w:p>
                  <w:p w14:paraId="67E960C9" w14:textId="2EAF95AD">
                    <w:pPr>
                      <w:suppressAutoHyphens/>
                      <w:textAlignment w:val="baseline"/>
                      <w:rPr>
                        <w:iCs/>
                        <w:szCs w:val="24"/>
                        <w:lang w:eastAsia="lt-LT"/>
                      </w:rPr>
                    </w:pPr>
                    <w:r>
                      <w:rPr>
                        <w:iCs/>
                        <w:szCs w:val="24"/>
                        <w:lang w:eastAsia="lt-LT"/>
                      </w:rPr>
                      <w:t>9.5. Veiklos pobūdis laiko atžvilgiu Projekte nereglamentuotas;</w:t>
                    </w:r>
                  </w:p>
                  <w:p w14:paraId="74EA9253" w14:textId="09F98B4F">
                    <w:pPr>
                      <w:suppressAutoHyphens/>
                      <w:textAlignment w:val="baseline"/>
                      <w:rPr>
                        <w:iCs/>
                        <w:szCs w:val="24"/>
                        <w:lang w:eastAsia="lt-LT"/>
                      </w:rPr>
                    </w:pPr>
                    <w:r>
                      <w:rPr>
                        <w:iCs/>
                        <w:szCs w:val="24"/>
                        <w:lang w:eastAsia="lt-LT"/>
                      </w:rPr>
                      <w:t>9.6. Asmeninė narių atsakomybė nenustatyta.</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FC72C9"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CC73F2" w14:textId="4661B1C5">
                    <w:pPr>
                      <w:suppressAutoHyphens/>
                      <w:textAlignment w:val="baseline"/>
                      <w:rPr>
                        <w:szCs w:val="24"/>
                        <w:lang w:eastAsia="lt-LT"/>
                      </w:rPr>
                    </w:pPr>
                    <w:r>
                      <w:rPr>
                        <w:szCs w:val="24"/>
                        <w:lang w:eastAsia="lt-LT"/>
                      </w:rPr>
                      <w:t>x tenkina</w:t>
                    </w:r>
                  </w:p>
                  <w:p w14:paraId="5E88C61B" w14:textId="77777777">
                    <w:pPr>
                      <w:suppressAutoHyphens/>
                      <w:textAlignment w:val="baseline"/>
                      <w:rPr>
                        <w:szCs w:val="24"/>
                        <w:lang w:eastAsia="lt-LT"/>
                      </w:rPr>
                    </w:pPr>
                    <w:r>
                      <w:rPr>
                        <w:szCs w:val="24"/>
                        <w:lang w:eastAsia="lt-LT"/>
                      </w:rPr>
                      <w:t>□ netenkina</w:t>
                    </w:r>
                  </w:p>
                </w:tc>
              </w:tr>
              <w:tr w14:paraId="636BF6E5"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B27820" w14:textId="77777777">
                    <w:pPr>
                      <w:suppressAutoHyphens/>
                      <w:jc w:val="center"/>
                      <w:textAlignment w:val="baseline"/>
                      <w:rPr>
                        <w:szCs w:val="24"/>
                        <w:lang w:eastAsia="lt-LT"/>
                      </w:rPr>
                    </w:pPr>
                    <w:r>
                      <w:rPr>
                        <w:szCs w:val="24"/>
                        <w:lang w:eastAsia="lt-LT"/>
                      </w:rPr>
                      <w:t>10.</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B7586F"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C8A158" w14:textId="1C1D51EE">
                    <w:pPr>
                      <w:suppressAutoHyphens/>
                      <w:jc w:val="both"/>
                      <w:textAlignment w:val="baseline"/>
                      <w:rPr>
                        <w:szCs w:val="24"/>
                        <w:lang w:eastAsia="lt-LT"/>
                      </w:rPr>
                    </w:pPr>
                    <w:r>
                      <w:rPr>
                        <w:szCs w:val="24"/>
                        <w:lang w:eastAsia="lt-LT"/>
                      </w:rPr>
                      <w:t xml:space="preserve">Projektu nustatomos procedūros yra objektyviai pagrįstos ir būtinos. </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E29319"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1EFAA" w14:textId="1121A3C1">
                    <w:pPr>
                      <w:suppressAutoHyphens/>
                      <w:textAlignment w:val="baseline"/>
                      <w:rPr>
                        <w:szCs w:val="24"/>
                        <w:lang w:eastAsia="lt-LT"/>
                      </w:rPr>
                    </w:pPr>
                    <w:r>
                      <w:rPr>
                        <w:szCs w:val="24"/>
                        <w:lang w:eastAsia="lt-LT"/>
                      </w:rPr>
                      <w:t>x tenkina</w:t>
                    </w:r>
                  </w:p>
                  <w:p w14:paraId="13C40E79" w14:textId="77777777">
                    <w:pPr>
                      <w:suppressAutoHyphens/>
                      <w:textAlignment w:val="baseline"/>
                      <w:rPr>
                        <w:szCs w:val="24"/>
                        <w:lang w:eastAsia="lt-LT"/>
                      </w:rPr>
                    </w:pPr>
                    <w:r>
                      <w:rPr>
                        <w:szCs w:val="24"/>
                        <w:lang w:eastAsia="lt-LT"/>
                      </w:rPr>
                      <w:t>□ netenkina</w:t>
                    </w:r>
                  </w:p>
                </w:tc>
              </w:tr>
              <w:tr w14:paraId="2A5017BF"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EB9F36" w14:textId="77777777">
                    <w:pPr>
                      <w:keepNext/>
                      <w:suppressAutoHyphens/>
                      <w:jc w:val="center"/>
                      <w:textAlignment w:val="baseline"/>
                      <w:rPr>
                        <w:szCs w:val="24"/>
                        <w:lang w:eastAsia="lt-LT"/>
                      </w:rPr>
                    </w:pPr>
                    <w:r>
                      <w:rPr>
                        <w:szCs w:val="24"/>
                        <w:lang w:eastAsia="lt-LT"/>
                      </w:rPr>
                      <w:t>11.</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47A34C" w14:textId="77777777">
                    <w:pPr>
                      <w:keepNext/>
                      <w:suppressAutoHyphens/>
                      <w:textAlignment w:val="baseline"/>
                    </w:pPr>
                    <w:r>
                      <w:rPr>
                        <w:szCs w:val="24"/>
                        <w:lang w:eastAsia="lt-LT"/>
                      </w:rPr>
                      <w:t>Teisės akto projekte nustatytas baigtinis motyvuotų atvejų, kai nustatoma procedūra netaikoma, sąrašas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507BCA" w14:textId="1A1C1C6D">
                    <w:pPr>
                      <w:keepNext/>
                      <w:suppressAutoHyphens/>
                      <w:jc w:val="both"/>
                      <w:textAlignment w:val="baseline"/>
                      <w:rPr>
                        <w:szCs w:val="24"/>
                        <w:lang w:eastAsia="lt-LT"/>
                      </w:rPr>
                    </w:pPr>
                    <w:r>
                      <w:rPr>
                        <w:szCs w:val="24"/>
                        <w:lang w:eastAsia="lt-LT"/>
                      </w:rPr>
                      <w:t xml:space="preserve">Ne. </w:t>
                    </w:r>
                    <w:r>
                      <w:rPr>
                        <w:iCs/>
                        <w:szCs w:val="24"/>
                        <w:lang w:eastAsia="lt-LT"/>
                      </w:rPr>
                      <w:t xml:space="preserve">Šis kriterijus Projektui nėra aktualus.  </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E4C7" w14:textId="77777777">
                    <w:pPr>
                      <w:keepNext/>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A6B74" w14:textId="77777777">
                    <w:pPr>
                      <w:keepNext/>
                      <w:suppressAutoHyphens/>
                      <w:textAlignment w:val="baseline"/>
                      <w:rPr>
                        <w:szCs w:val="24"/>
                        <w:lang w:eastAsia="lt-LT"/>
                      </w:rPr>
                    </w:pPr>
                    <w:r>
                      <w:rPr>
                        <w:szCs w:val="24"/>
                        <w:lang w:eastAsia="lt-LT"/>
                      </w:rPr>
                      <w:t>□ tenkina</w:t>
                    </w:r>
                  </w:p>
                  <w:p w14:paraId="64B90DB7" w14:textId="77777777">
                    <w:pPr>
                      <w:keepNext/>
                      <w:suppressAutoHyphens/>
                      <w:textAlignment w:val="baseline"/>
                      <w:rPr>
                        <w:szCs w:val="24"/>
                        <w:lang w:eastAsia="lt-LT"/>
                      </w:rPr>
                    </w:pPr>
                    <w:r>
                      <w:rPr>
                        <w:szCs w:val="24"/>
                        <w:lang w:eastAsia="lt-LT"/>
                      </w:rPr>
                      <w:t>□ netenkina</w:t>
                    </w:r>
                  </w:p>
                </w:tc>
              </w:tr>
              <w:tr w14:paraId="6340A210" w14:textId="77777777">
                <w:trPr>
                  <w:trHeight w:val="23"/>
                </w:trPr>
                <w:tc>
                  <w:tcPr>
                    <w:tcW w:w="75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5DABD44D" w14:textId="77777777">
                    <w:pPr>
                      <w:suppressAutoHyphens/>
                      <w:jc w:val="center"/>
                      <w:textAlignment w:val="baseline"/>
                      <w:rPr>
                        <w:szCs w:val="24"/>
                        <w:lang w:eastAsia="lt-LT"/>
                      </w:rPr>
                    </w:pPr>
                    <w:r>
                      <w:rPr>
                        <w:szCs w:val="24"/>
                        <w:lang w:eastAsia="lt-LT"/>
                      </w:rPr>
                      <w:t>12.</w:t>
                    </w:r>
                  </w:p>
                </w:tc>
                <w:tc>
                  <w:tcPr>
                    <w:tcW w:w="359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23FC669D"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F96A4E" w14:textId="1741B0EB">
                    <w:pPr>
                      <w:suppressAutoHyphens/>
                      <w:jc w:val="both"/>
                      <w:textAlignment w:val="baseline"/>
                      <w:rPr>
                        <w:szCs w:val="24"/>
                        <w:lang w:eastAsia="lt-LT"/>
                      </w:rPr>
                    </w:pPr>
                    <w:r>
                      <w:rPr>
                        <w:szCs w:val="24"/>
                        <w:lang w:eastAsia="lt-LT"/>
                      </w:rPr>
                      <w:t>Tap. Projektu siūlomi terminai yra konkretūs, aiškiai apibrėžti. (Pvz. Projektu keičiamo teisės akto 29 str. nustatyti skundo išnagrinėjimo terminai – 3 mėnesiai nuo skundo gavimo)</w:t>
                    </w:r>
                  </w:p>
                </w:tc>
                <w:tc>
                  <w:tcPr>
                    <w:tcW w:w="404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0F7000F0"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56E0BF6B" w14:textId="25FE5320">
                    <w:pPr>
                      <w:suppressAutoHyphens/>
                      <w:textAlignment w:val="baseline"/>
                      <w:rPr>
                        <w:szCs w:val="24"/>
                        <w:lang w:eastAsia="lt-LT"/>
                      </w:rPr>
                    </w:pPr>
                    <w:r>
                      <w:rPr>
                        <w:szCs w:val="24"/>
                        <w:lang w:eastAsia="lt-LT"/>
                      </w:rPr>
                      <w:t>x tenkina</w:t>
                    </w:r>
                  </w:p>
                  <w:p w14:paraId="071C499C" w14:textId="77777777">
                    <w:pPr>
                      <w:suppressAutoHyphens/>
                      <w:textAlignment w:val="baseline"/>
                      <w:rPr>
                        <w:szCs w:val="24"/>
                        <w:lang w:eastAsia="lt-LT"/>
                      </w:rPr>
                    </w:pPr>
                    <w:r>
                      <w:rPr>
                        <w:szCs w:val="24"/>
                        <w:lang w:eastAsia="lt-LT"/>
                      </w:rPr>
                      <w:t>□ netenkina</w:t>
                    </w:r>
                  </w:p>
                </w:tc>
              </w:tr>
              <w:tr w14:paraId="7AC8F05F"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962916" w14:textId="77777777">
                    <w:pPr>
                      <w:suppressAutoHyphens/>
                      <w:jc w:val="center"/>
                      <w:textAlignment w:val="baseline"/>
                      <w:rPr>
                        <w:szCs w:val="24"/>
                        <w:lang w:eastAsia="lt-LT"/>
                      </w:rPr>
                    </w:pPr>
                    <w:r>
                      <w:rPr>
                        <w:szCs w:val="24"/>
                        <w:lang w:eastAsia="lt-LT"/>
                      </w:rPr>
                      <w:t>13.</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12B3"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E13179" w14:textId="14499598">
                    <w:pPr>
                      <w:suppressAutoHyphens/>
                      <w:textAlignment w:val="baseline"/>
                      <w:rPr>
                        <w:szCs w:val="24"/>
                        <w:lang w:eastAsia="lt-LT"/>
                      </w:rPr>
                    </w:pPr>
                    <w:r>
                      <w:rPr>
                        <w:szCs w:val="24"/>
                        <w:lang w:eastAsia="lt-LT"/>
                      </w:rPr>
                      <w:t>Taip. Projekto 29 str. nustatyta, jeigu dėl objektyvių priežasčių (didelė apimtis, sudėtinga ir pan.) skundo nagrinėjimas gali būti pratęsiamas 1 mėnesiui. Projekto 32 str. nustatyta, kad jeigu šalys pasinaudoja neteisminiu ginčo sprendimo būdu, skundo nagrinėjimas sustabdomas.</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33BDA3"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FEBF0E" w14:textId="5A81FF86">
                    <w:pPr>
                      <w:suppressAutoHyphens/>
                      <w:textAlignment w:val="baseline"/>
                      <w:rPr>
                        <w:szCs w:val="24"/>
                        <w:lang w:eastAsia="lt-LT"/>
                      </w:rPr>
                    </w:pPr>
                    <w:r>
                      <w:rPr>
                        <w:szCs w:val="24"/>
                        <w:lang w:eastAsia="lt-LT"/>
                      </w:rPr>
                      <w:t>x tenkina</w:t>
                    </w:r>
                  </w:p>
                  <w:p w14:paraId="68F42F56" w14:textId="77777777">
                    <w:pPr>
                      <w:suppressAutoHyphens/>
                      <w:textAlignment w:val="baseline"/>
                      <w:rPr>
                        <w:szCs w:val="24"/>
                        <w:lang w:eastAsia="lt-LT"/>
                      </w:rPr>
                    </w:pPr>
                    <w:r>
                      <w:rPr>
                        <w:szCs w:val="24"/>
                        <w:lang w:eastAsia="lt-LT"/>
                      </w:rPr>
                      <w:t>□ netenkina</w:t>
                    </w:r>
                  </w:p>
                </w:tc>
              </w:tr>
              <w:tr w14:paraId="73EA1EE4"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BA6F91" w14:textId="77777777">
                    <w:pPr>
                      <w:suppressAutoHyphens/>
                      <w:jc w:val="center"/>
                      <w:textAlignment w:val="baseline"/>
                      <w:rPr>
                        <w:szCs w:val="24"/>
                        <w:lang w:eastAsia="lt-LT"/>
                      </w:rPr>
                    </w:pPr>
                    <w:r>
                      <w:rPr>
                        <w:szCs w:val="24"/>
                        <w:lang w:eastAsia="lt-LT"/>
                      </w:rPr>
                      <w:t>14.</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6B550"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769B46" w14:textId="505AEDF4">
                    <w:pPr>
                      <w:suppressAutoHyphens/>
                      <w:textAlignment w:val="baseline"/>
                      <w:rPr>
                        <w:b/>
                        <w:szCs w:val="24"/>
                        <w:lang w:eastAsia="lt-LT"/>
                      </w:rPr>
                    </w:pPr>
                    <w:r>
                      <w:rPr>
                        <w:szCs w:val="24"/>
                        <w:lang w:eastAsia="lt-LT"/>
                      </w:rPr>
                      <w:t xml:space="preserve">Ne. Šis kriterijus Projektui nėra tiesiogiai  aktualus.</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62FA4C5" w14:textId="77777777">
                    <w:pPr>
                      <w:suppressAutoHyphens/>
                      <w:textAlignment w:val="baseline"/>
                      <w:rPr>
                        <w:b/>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0F954" w14:textId="77777777">
                    <w:pPr>
                      <w:suppressAutoHyphens/>
                      <w:textAlignment w:val="baseline"/>
                      <w:rPr>
                        <w:szCs w:val="24"/>
                        <w:lang w:eastAsia="lt-LT"/>
                      </w:rPr>
                    </w:pPr>
                    <w:r>
                      <w:rPr>
                        <w:szCs w:val="24"/>
                        <w:lang w:eastAsia="lt-LT"/>
                      </w:rPr>
                      <w:t>□ tenkina</w:t>
                    </w:r>
                  </w:p>
                  <w:p w14:paraId="67F9C43C" w14:textId="77777777">
                    <w:pPr>
                      <w:suppressAutoHyphens/>
                      <w:textAlignment w:val="baseline"/>
                      <w:rPr>
                        <w:szCs w:val="24"/>
                        <w:lang w:eastAsia="lt-LT"/>
                      </w:rPr>
                    </w:pPr>
                    <w:r>
                      <w:rPr>
                        <w:szCs w:val="24"/>
                        <w:lang w:eastAsia="lt-LT"/>
                      </w:rPr>
                      <w:t>□ netenkina</w:t>
                    </w:r>
                  </w:p>
                </w:tc>
              </w:tr>
              <w:tr w14:paraId="088AF63A"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AFFCA6" w14:textId="77777777">
                    <w:pPr>
                      <w:suppressAutoHyphens/>
                      <w:jc w:val="center"/>
                      <w:textAlignment w:val="baseline"/>
                      <w:rPr>
                        <w:szCs w:val="24"/>
                        <w:lang w:eastAsia="lt-LT"/>
                      </w:rPr>
                    </w:pPr>
                    <w:r>
                      <w:rPr>
                        <w:szCs w:val="24"/>
                        <w:lang w:eastAsia="lt-LT"/>
                      </w:rPr>
                      <w:t>15.</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7C54D5"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CF31D6" w14:textId="02941E3D">
                    <w:pPr>
                      <w:suppressAutoHyphens/>
                      <w:textAlignment w:val="baseline"/>
                      <w:rPr>
                        <w:szCs w:val="24"/>
                        <w:lang w:eastAsia="lt-LT"/>
                      </w:rPr>
                    </w:pPr>
                    <w:r>
                      <w:rPr>
                        <w:szCs w:val="24"/>
                        <w:lang w:eastAsia="lt-LT"/>
                      </w:rPr>
                      <w:t xml:space="preserve">Ne. Šis kriterijus Projektui nėra tiesiogiai  aktualus.</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B7E35E"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9A541A" w14:textId="77777777">
                    <w:pPr>
                      <w:suppressAutoHyphens/>
                      <w:textAlignment w:val="baseline"/>
                      <w:rPr>
                        <w:szCs w:val="24"/>
                        <w:lang w:eastAsia="lt-LT"/>
                      </w:rPr>
                    </w:pPr>
                    <w:r>
                      <w:rPr>
                        <w:szCs w:val="24"/>
                        <w:lang w:eastAsia="lt-LT"/>
                      </w:rPr>
                      <w:t>□ tenkina</w:t>
                    </w:r>
                  </w:p>
                  <w:p w14:paraId="30996A2C" w14:textId="77777777">
                    <w:pPr>
                      <w:suppressAutoHyphens/>
                      <w:textAlignment w:val="baseline"/>
                      <w:rPr>
                        <w:szCs w:val="24"/>
                        <w:lang w:eastAsia="lt-LT"/>
                      </w:rPr>
                    </w:pPr>
                    <w:r>
                      <w:rPr>
                        <w:szCs w:val="24"/>
                        <w:lang w:eastAsia="lt-LT"/>
                      </w:rPr>
                      <w:t>□ netenkina</w:t>
                    </w:r>
                  </w:p>
                </w:tc>
              </w:tr>
              <w:tr w14:paraId="0509FF43"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614B32F" w14:textId="77777777">
                    <w:pPr>
                      <w:suppressAutoHyphens/>
                      <w:jc w:val="center"/>
                      <w:textAlignment w:val="baseline"/>
                      <w:rPr>
                        <w:szCs w:val="24"/>
                        <w:lang w:eastAsia="lt-LT"/>
                      </w:rPr>
                    </w:pPr>
                    <w:r>
                      <w:rPr>
                        <w:szCs w:val="24"/>
                        <w:lang w:eastAsia="lt-LT"/>
                      </w:rPr>
                      <w:t>16.</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2B010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D3DD35" w14:textId="60132933">
                    <w:pPr>
                      <w:suppressAutoHyphens/>
                      <w:jc w:val="both"/>
                      <w:textAlignment w:val="baseline"/>
                      <w:rPr>
                        <w:szCs w:val="24"/>
                        <w:lang w:eastAsia="lt-LT"/>
                      </w:rPr>
                    </w:pPr>
                    <w:r>
                      <w:rPr>
                        <w:szCs w:val="24"/>
                        <w:lang w:eastAsia="lt-LT"/>
                      </w:rPr>
                      <w:t xml:space="preserve">Ne. Šis kriterijus Projektui nėra tiesiogiai  aktualus.</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DA2EC6"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1005A" w14:textId="77777777">
                    <w:pPr>
                      <w:suppressAutoHyphens/>
                      <w:textAlignment w:val="baseline"/>
                      <w:rPr>
                        <w:szCs w:val="24"/>
                        <w:lang w:eastAsia="lt-LT"/>
                      </w:rPr>
                    </w:pPr>
                    <w:r>
                      <w:rPr>
                        <w:szCs w:val="24"/>
                        <w:lang w:eastAsia="lt-LT"/>
                      </w:rPr>
                      <w:t>□ tenkina</w:t>
                    </w:r>
                  </w:p>
                  <w:p w14:paraId="1AB74CCC" w14:textId="77777777">
                    <w:pPr>
                      <w:suppressAutoHyphens/>
                      <w:textAlignment w:val="baseline"/>
                      <w:rPr>
                        <w:szCs w:val="24"/>
                        <w:lang w:eastAsia="lt-LT"/>
                      </w:rPr>
                    </w:pPr>
                    <w:r>
                      <w:rPr>
                        <w:szCs w:val="24"/>
                        <w:lang w:eastAsia="lt-LT"/>
                      </w:rPr>
                      <w:t>□ netenkina</w:t>
                    </w:r>
                  </w:p>
                </w:tc>
              </w:tr>
              <w:tr w14:paraId="443D4DA1"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9255F3" w14:textId="77777777">
                    <w:pPr>
                      <w:keepNext/>
                      <w:suppressAutoHyphens/>
                      <w:jc w:val="center"/>
                      <w:textAlignment w:val="baseline"/>
                      <w:rPr>
                        <w:szCs w:val="24"/>
                        <w:lang w:eastAsia="lt-LT"/>
                      </w:rPr>
                    </w:pPr>
                    <w:r>
                      <w:rPr>
                        <w:szCs w:val="24"/>
                        <w:lang w:eastAsia="lt-LT"/>
                      </w:rPr>
                      <w:t>17.</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F8365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49E3E7" w14:textId="1D873932">
                    <w:pPr>
                      <w:keepNext/>
                      <w:suppressAutoHyphens/>
                      <w:jc w:val="both"/>
                      <w:textAlignment w:val="baseline"/>
                      <w:rPr>
                        <w:b/>
                        <w:szCs w:val="24"/>
                        <w:lang w:eastAsia="lt-LT"/>
                      </w:rPr>
                    </w:pPr>
                    <w:r>
                      <w:rPr>
                        <w:szCs w:val="24"/>
                        <w:lang w:eastAsia="lt-LT"/>
                      </w:rPr>
                      <w:t xml:space="preserve">Ne. Šis kriterijus Projektui nėra tiesiogiai  aktualus.</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5B8DA28" w14:textId="77777777">
                    <w:pPr>
                      <w:keepNext/>
                      <w:suppressAutoHyphens/>
                      <w:textAlignment w:val="baseline"/>
                      <w:rPr>
                        <w:b/>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95DDB7" w14:textId="77777777">
                    <w:pPr>
                      <w:keepNext/>
                      <w:suppressAutoHyphens/>
                      <w:textAlignment w:val="baseline"/>
                      <w:rPr>
                        <w:szCs w:val="24"/>
                        <w:lang w:eastAsia="lt-LT"/>
                      </w:rPr>
                    </w:pPr>
                    <w:r>
                      <w:rPr>
                        <w:szCs w:val="24"/>
                        <w:lang w:eastAsia="lt-LT"/>
                      </w:rPr>
                      <w:t>□ tenkina</w:t>
                    </w:r>
                  </w:p>
                  <w:p w14:paraId="53677D43" w14:textId="77777777">
                    <w:pPr>
                      <w:keepNext/>
                      <w:suppressAutoHyphens/>
                      <w:textAlignment w:val="baseline"/>
                      <w:rPr>
                        <w:szCs w:val="24"/>
                        <w:lang w:eastAsia="lt-LT"/>
                      </w:rPr>
                    </w:pPr>
                    <w:r>
                      <w:rPr>
                        <w:szCs w:val="24"/>
                        <w:lang w:eastAsia="lt-LT"/>
                      </w:rPr>
                      <w:t>□ netenkina</w:t>
                    </w:r>
                  </w:p>
                </w:tc>
              </w:tr>
              <w:tr w14:paraId="1BC79917"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D7EE9A" w14:textId="77777777">
                    <w:pPr>
                      <w:suppressAutoHyphens/>
                      <w:jc w:val="center"/>
                      <w:textAlignment w:val="baseline"/>
                      <w:rPr>
                        <w:szCs w:val="24"/>
                        <w:lang w:eastAsia="lt-LT"/>
                      </w:rPr>
                    </w:pPr>
                    <w:r>
                      <w:rPr>
                        <w:szCs w:val="24"/>
                        <w:lang w:eastAsia="lt-LT"/>
                      </w:rPr>
                      <w:t>18.</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E99756"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5F8ECA" w14:textId="3864BA7F">
                    <w:pPr>
                      <w:suppressAutoHyphens/>
                      <w:textAlignment w:val="baseline"/>
                      <w:rPr>
                        <w:szCs w:val="24"/>
                        <w:lang w:eastAsia="lt-LT"/>
                      </w:rPr>
                    </w:pPr>
                    <w:r>
                      <w:rPr>
                        <w:szCs w:val="24"/>
                        <w:lang w:eastAsia="lt-LT"/>
                      </w:rPr>
                      <w:t xml:space="preserve">Taip. </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F5BF57"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BA2BEB" w14:textId="77777777">
                    <w:pPr>
                      <w:suppressAutoHyphens/>
                      <w:textAlignment w:val="baseline"/>
                      <w:rPr>
                        <w:szCs w:val="24"/>
                        <w:lang w:eastAsia="lt-LT"/>
                      </w:rPr>
                    </w:pPr>
                    <w:r>
                      <w:rPr>
                        <w:szCs w:val="24"/>
                        <w:lang w:eastAsia="lt-LT"/>
                      </w:rPr>
                      <w:t>□ tenkina</w:t>
                    </w:r>
                  </w:p>
                  <w:p w14:paraId="4B33C2DE" w14:textId="77777777">
                    <w:pPr>
                      <w:suppressAutoHyphens/>
                      <w:textAlignment w:val="baseline"/>
                      <w:rPr>
                        <w:szCs w:val="24"/>
                        <w:lang w:eastAsia="lt-LT"/>
                      </w:rPr>
                    </w:pPr>
                    <w:r>
                      <w:rPr>
                        <w:szCs w:val="24"/>
                        <w:lang w:eastAsia="lt-LT"/>
                      </w:rPr>
                      <w:t>□ netenkina</w:t>
                    </w:r>
                  </w:p>
                </w:tc>
              </w:tr>
              <w:tr w14:paraId="43A213EF" w14:textId="77777777">
                <w:trPr>
                  <w:trHeight w:val="23"/>
                </w:trPr>
                <w:tc>
                  <w:tcPr>
                    <w:tcW w:w="7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48C40C" w14:textId="77777777">
                    <w:pPr>
                      <w:suppressAutoHyphens/>
                      <w:jc w:val="center"/>
                      <w:textAlignment w:val="baseline"/>
                      <w:rPr>
                        <w:szCs w:val="24"/>
                        <w:lang w:eastAsia="lt-LT"/>
                      </w:rPr>
                    </w:pPr>
                    <w:r>
                      <w:rPr>
                        <w:szCs w:val="24"/>
                        <w:lang w:eastAsia="lt-LT"/>
                      </w:rPr>
                      <w:t>19.</w:t>
                    </w:r>
                  </w:p>
                </w:tc>
                <w:tc>
                  <w:tcPr>
                    <w:tcW w:w="35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95DF25" w14:textId="77777777">
                    <w:pPr>
                      <w:suppressAutoHyphens/>
                      <w:textAlignment w:val="baseline"/>
                    </w:pPr>
                    <w:r>
                      <w:rPr>
                        <w:szCs w:val="24"/>
                        <w:lang w:eastAsia="lt-LT"/>
                      </w:rPr>
                      <w:t>Kiti svarbūs kriterijai</w:t>
                    </w:r>
                  </w:p>
                </w:tc>
                <w:tc>
                  <w:tcPr>
                    <w:tcW w:w="41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9E5FA9" w14:textId="32D96D33">
                    <w:pPr>
                      <w:suppressAutoHyphens/>
                      <w:textAlignment w:val="baseline"/>
                      <w:rPr>
                        <w:szCs w:val="24"/>
                        <w:lang w:eastAsia="lt-LT"/>
                      </w:rPr>
                    </w:pPr>
                    <w:r>
                      <w:rPr>
                        <w:szCs w:val="24"/>
                        <w:lang w:eastAsia="lt-LT"/>
                      </w:rPr>
                      <w:t xml:space="preserve">Nėra. </w:t>
                    </w:r>
                  </w:p>
                </w:tc>
                <w:tc>
                  <w:tcPr>
                    <w:tcW w:w="40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C8D2B3" w14:textId="77777777">
                    <w:pPr>
                      <w:suppressAutoHyphens/>
                      <w:textAlignment w:val="baseline"/>
                      <w:rPr>
                        <w:szCs w:val="24"/>
                        <w:lang w:eastAsia="lt-LT"/>
                      </w:rPr>
                    </w:pPr>
                  </w:p>
                </w:tc>
                <w:tc>
                  <w:tcPr>
                    <w:tcW w:w="285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48040E" w14:textId="77777777">
                    <w:pPr>
                      <w:suppressAutoHyphens/>
                      <w:textAlignment w:val="baseline"/>
                      <w:rPr>
                        <w:szCs w:val="24"/>
                        <w:lang w:eastAsia="lt-LT"/>
                      </w:rPr>
                    </w:pPr>
                    <w:r>
                      <w:rPr>
                        <w:szCs w:val="24"/>
                        <w:lang w:eastAsia="lt-LT"/>
                      </w:rPr>
                      <w:t>□ tenkina</w:t>
                    </w:r>
                  </w:p>
                  <w:p w14:paraId="3BD05D8F" w14:textId="77777777">
                    <w:pPr>
                      <w:suppressAutoHyphens/>
                      <w:textAlignment w:val="baseline"/>
                      <w:rPr>
                        <w:szCs w:val="24"/>
                        <w:lang w:eastAsia="lt-LT"/>
                      </w:rPr>
                    </w:pPr>
                    <w:r>
                      <w:rPr>
                        <w:szCs w:val="24"/>
                        <w:lang w:eastAsia="lt-LT"/>
                      </w:rPr>
                      <w:t>□ netenkina</w:t>
                    </w:r>
                  </w:p>
                </w:tc>
              </w:tr>
            </w:tbl>
            <w:p w14:paraId="2478A7E5" w14:textId="1BA2C493">
              <w:pPr>
                <w:tabs>
                  <w:tab w:val="left" w:pos="6237"/>
                </w:tabs>
                <w:suppressAutoHyphens/>
                <w:textAlignment w:val="baseline"/>
                <w:rPr>
                  <w:color w:val="000000"/>
                  <w:szCs w:val="24"/>
                  <w:lang w:eastAsia="lt-LT"/>
                </w:rPr>
              </w:pPr>
            </w:p>
            <w:p w14:paraId="15BD15FA" w14:textId="77777777">
              <w:pPr>
                <w:tabs>
                  <w:tab w:val="left" w:pos="6237"/>
                </w:tabs>
                <w:suppressAutoHyphens/>
                <w:jc w:val="center"/>
                <w:textAlignment w:val="baseline"/>
                <w:rPr>
                  <w:color w:val="000000"/>
                  <w:szCs w:val="24"/>
                  <w:lang w:eastAsia="lt-LT"/>
                </w:rPr>
              </w:pPr>
            </w:p>
            <w:tbl>
              <w:tblPr>
                <w:tblW w:w="0" w:type="auto"/>
                <w:tblInd w:w="108" w:type="dxa"/>
                <w:tblCellMar>
                  <w:left w:w="0" w:type="dxa"/>
                  <w:right w:w="0" w:type="dxa"/>
                </w:tblCellMar>
                <w:tblLook w:val="04A0" w:firstRow="1" w:lastRow="0" w:firstColumn="1" w:lastColumn="0" w:noHBand="0" w:noVBand="1"/>
              </w:tblPr>
              <w:tblGrid>
                <w:gridCol w:w="2406"/>
                <w:gridCol w:w="4733"/>
                <w:gridCol w:w="2380"/>
                <w:gridCol w:w="4943"/>
              </w:tblGrid>
              <w:tr w14:paraId="4193828A" w14:textId="77777777">
                <w:trPr>
                  <w:trHeight w:val="517"/>
                </w:trPr>
                <w:tc>
                  <w:tcPr>
                    <w:tcW w:w="2457" w:type="dxa"/>
                    <w:tcMar>
                      <w:top w:w="0" w:type="dxa"/>
                      <w:left w:w="108" w:type="dxa"/>
                      <w:bottom w:w="0" w:type="dxa"/>
                      <w:right w:w="108" w:type="dxa"/>
                    </w:tcMar>
                    <w:hideMark/>
                  </w:tcPr>
                  <w:p w14:paraId="1200CB4D" w14:textId="77777777">
                    <w:pPr>
                      <w:tabs>
                        <w:tab w:val="left" w:pos="6237"/>
                      </w:tabs>
                      <w:suppressAutoHyphens/>
                      <w:ind w:firstLine="62"/>
                      <w:jc w:val="center"/>
                      <w:textAlignment w:val="baseline"/>
                      <w:rPr>
                        <w:color w:val="000000"/>
                        <w:szCs w:val="24"/>
                        <w:lang w:eastAsia="lt-LT"/>
                      </w:rPr>
                    </w:pPr>
                  </w:p>
                  <w:p w14:paraId="4383F448" w14:textId="77777777">
                    <w:pPr>
                      <w:tabs>
                        <w:tab w:val="left" w:pos="6237"/>
                      </w:tabs>
                      <w:suppressAutoHyphens/>
                      <w:jc w:val="center"/>
                      <w:textAlignment w:val="baseline"/>
                      <w:rPr>
                        <w:color w:val="000000"/>
                        <w:szCs w:val="24"/>
                        <w:lang w:eastAsia="lt-LT"/>
                      </w:rPr>
                    </w:pPr>
                    <w:r>
                      <w:rPr>
                        <w:color w:val="000000"/>
                        <w:szCs w:val="24"/>
                        <w:lang w:eastAsia="lt-LT"/>
                      </w:rPr>
                      <w:t>Teisės akto projekto rengimą koordinavo:</w:t>
                    </w:r>
                  </w:p>
                </w:tc>
                <w:tc>
                  <w:tcPr>
                    <w:tcW w:w="4773" w:type="dxa"/>
                    <w:tcBorders>
                      <w:top w:val="nil"/>
                      <w:left w:val="nil"/>
                      <w:bottom w:val="single" w:sz="8" w:space="0" w:color="auto"/>
                      <w:right w:val="nil"/>
                    </w:tcBorders>
                    <w:tcMar>
                      <w:top w:w="0" w:type="dxa"/>
                      <w:left w:w="108" w:type="dxa"/>
                      <w:bottom w:w="0" w:type="dxa"/>
                      <w:right w:w="108" w:type="dxa"/>
                    </w:tcMar>
                    <w:hideMark/>
                  </w:tcPr>
                  <w:p w14:paraId="383F478C" w14:textId="0442A6E6">
                    <w:pPr>
                      <w:tabs>
                        <w:tab w:val="left" w:pos="6237"/>
                      </w:tabs>
                      <w:suppressAutoHyphens/>
                      <w:textAlignment w:val="baseline"/>
                      <w:rPr>
                        <w:color w:val="000000"/>
                        <w:szCs w:val="24"/>
                        <w:lang w:eastAsia="lt-LT"/>
                      </w:rPr>
                    </w:pPr>
                    <w:r>
                      <w:rPr>
                        <w:color w:val="000000"/>
                        <w:szCs w:val="24"/>
                        <w:lang w:eastAsia="lt-LT"/>
                      </w:rPr>
                      <w:t>Lygių galimybių, moterų ir vyrų lygybės grupės vadovė Jolanta Sakalauskienė</w:t>
                    </w:r>
                  </w:p>
                </w:tc>
                <w:tc>
                  <w:tcPr>
                    <w:tcW w:w="2434" w:type="dxa"/>
                    <w:tcMar>
                      <w:top w:w="0" w:type="dxa"/>
                      <w:left w:w="108" w:type="dxa"/>
                      <w:bottom w:w="0" w:type="dxa"/>
                      <w:right w:w="108" w:type="dxa"/>
                    </w:tcMar>
                    <w:hideMark/>
                  </w:tcPr>
                  <w:p w14:paraId="6EA89415" w14:textId="77777777">
                    <w:pPr>
                      <w:tabs>
                        <w:tab w:val="left" w:pos="6237"/>
                      </w:tabs>
                      <w:suppressAutoHyphens/>
                      <w:ind w:firstLine="62"/>
                      <w:jc w:val="center"/>
                      <w:textAlignment w:val="baseline"/>
                      <w:rPr>
                        <w:color w:val="000000"/>
                        <w:szCs w:val="24"/>
                        <w:lang w:eastAsia="lt-LT"/>
                      </w:rPr>
                    </w:pPr>
                  </w:p>
                  <w:p w14:paraId="5445DBBE" w14:textId="77777777">
                    <w:pPr>
                      <w:tabs>
                        <w:tab w:val="left" w:pos="6237"/>
                      </w:tabs>
                      <w:suppressAutoHyphens/>
                      <w:jc w:val="center"/>
                      <w:textAlignment w:val="baseline"/>
                      <w:rPr>
                        <w:color w:val="000000"/>
                        <w:szCs w:val="24"/>
                        <w:lang w:eastAsia="lt-LT"/>
                      </w:rPr>
                    </w:pPr>
                    <w:r>
                      <w:rPr>
                        <w:color w:val="000000"/>
                        <w:szCs w:val="24"/>
                        <w:lang w:eastAsia="lt-LT"/>
                      </w:rPr>
                      <w:t>Teisės akto projekto vertintojas:</w:t>
                    </w:r>
                  </w:p>
                </w:tc>
                <w:tc>
                  <w:tcPr>
                    <w:tcW w:w="4946" w:type="dxa"/>
                    <w:tcBorders>
                      <w:top w:val="nil"/>
                      <w:left w:val="nil"/>
                      <w:bottom w:val="single" w:sz="8" w:space="0" w:color="auto"/>
                      <w:right w:val="nil"/>
                    </w:tcBorders>
                    <w:tcMar>
                      <w:top w:w="0" w:type="dxa"/>
                      <w:left w:w="108" w:type="dxa"/>
                      <w:bottom w:w="0" w:type="dxa"/>
                      <w:right w:w="108" w:type="dxa"/>
                    </w:tcMar>
                    <w:hideMark/>
                  </w:tcPr>
                  <w:p w14:paraId="170BFA71" w14:textId="3F77E50F">
                    <w:pPr>
                      <w:tabs>
                        <w:tab w:val="left" w:pos="6237"/>
                      </w:tabs>
                      <w:suppressAutoHyphens/>
                      <w:jc w:val="center"/>
                      <w:textAlignment w:val="baseline"/>
                      <w:rPr>
                        <w:color w:val="000000"/>
                        <w:szCs w:val="24"/>
                        <w:lang w:eastAsia="lt-LT"/>
                      </w:rPr>
                    </w:pPr>
                    <w:r>
                      <w:rPr>
                        <w:color w:val="000000"/>
                        <w:szCs w:val="24"/>
                        <w:lang w:eastAsia="lt-LT"/>
                      </w:rPr>
                      <w:t>Prevencijos skyriaus vedėja Stasė Kazlauskienė</w:t>
                    </w:r>
                  </w:p>
                </w:tc>
              </w:tr>
              <w:tr w14:paraId="39E6D97D" w14:textId="77777777">
                <w:trPr>
                  <w:trHeight w:val="23"/>
                </w:trPr>
                <w:tc>
                  <w:tcPr>
                    <w:tcW w:w="2457" w:type="dxa"/>
                    <w:tcMar>
                      <w:top w:w="0" w:type="dxa"/>
                      <w:left w:w="108" w:type="dxa"/>
                      <w:bottom w:w="0" w:type="dxa"/>
                      <w:right w:w="108" w:type="dxa"/>
                    </w:tcMar>
                    <w:hideMark/>
                  </w:tcPr>
                  <w:p w14:paraId="5303B888" w14:textId="77777777">
                    <w:pPr>
                      <w:tabs>
                        <w:tab w:val="left" w:pos="6237"/>
                      </w:tabs>
                      <w:suppressAutoHyphens/>
                      <w:ind w:firstLine="62"/>
                      <w:jc w:val="center"/>
                      <w:textAlignment w:val="baseline"/>
                      <w:rPr>
                        <w:color w:val="000000"/>
                        <w:szCs w:val="24"/>
                        <w:lang w:eastAsia="lt-LT"/>
                      </w:rPr>
                    </w:pPr>
                  </w:p>
                </w:tc>
                <w:tc>
                  <w:tcPr>
                    <w:tcW w:w="4773" w:type="dxa"/>
                    <w:tcBorders>
                      <w:top w:val="nil"/>
                      <w:left w:val="nil"/>
                      <w:bottom w:val="nil"/>
                      <w:right w:val="nil"/>
                    </w:tcBorders>
                    <w:tcMar>
                      <w:top w:w="0" w:type="dxa"/>
                      <w:left w:w="108" w:type="dxa"/>
                      <w:bottom w:w="0" w:type="dxa"/>
                      <w:right w:w="108" w:type="dxa"/>
                    </w:tcMar>
                    <w:hideMark/>
                  </w:tcPr>
                  <w:p w14:paraId="50CB0F6C" w14:textId="77777777">
                    <w:pPr>
                      <w:tabs>
                        <w:tab w:val="left" w:pos="6237"/>
                      </w:tabs>
                      <w:suppressAutoHyphens/>
                      <w:jc w:val="center"/>
                      <w:textAlignment w:val="baseline"/>
                      <w:rPr>
                        <w:color w:val="000000"/>
                        <w:szCs w:val="24"/>
                        <w:lang w:eastAsia="lt-LT"/>
                      </w:rPr>
                    </w:pPr>
                    <w:r>
                      <w:rPr>
                        <w:color w:val="000000"/>
                        <w:szCs w:val="24"/>
                        <w:lang w:eastAsia="lt-LT"/>
                      </w:rPr>
                      <w:t>(pareigos)                         (vardas ir pavardė)</w:t>
                    </w:r>
                  </w:p>
                </w:tc>
                <w:tc>
                  <w:tcPr>
                    <w:tcW w:w="2434" w:type="dxa"/>
                    <w:tcMar>
                      <w:top w:w="0" w:type="dxa"/>
                      <w:left w:w="108" w:type="dxa"/>
                      <w:bottom w:w="0" w:type="dxa"/>
                      <w:right w:w="108" w:type="dxa"/>
                    </w:tcMar>
                    <w:hideMark/>
                  </w:tcPr>
                  <w:p w14:paraId="191B9028" w14:textId="77777777">
                    <w:pPr>
                      <w:tabs>
                        <w:tab w:val="left" w:pos="6237"/>
                      </w:tabs>
                      <w:suppressAutoHyphens/>
                      <w:ind w:firstLine="62"/>
                      <w:jc w:val="center"/>
                      <w:textAlignment w:val="baseline"/>
                      <w:rPr>
                        <w:color w:val="000000"/>
                        <w:szCs w:val="24"/>
                        <w:lang w:eastAsia="lt-LT"/>
                      </w:rPr>
                    </w:pPr>
                  </w:p>
                </w:tc>
                <w:tc>
                  <w:tcPr>
                    <w:tcW w:w="4946" w:type="dxa"/>
                    <w:tcBorders>
                      <w:top w:val="nil"/>
                      <w:left w:val="nil"/>
                      <w:bottom w:val="nil"/>
                      <w:right w:val="nil"/>
                    </w:tcBorders>
                    <w:tcMar>
                      <w:top w:w="0" w:type="dxa"/>
                      <w:left w:w="108" w:type="dxa"/>
                      <w:bottom w:w="0" w:type="dxa"/>
                      <w:right w:w="108" w:type="dxa"/>
                    </w:tcMar>
                    <w:hideMark/>
                  </w:tcPr>
                  <w:p w14:paraId="517613EA" w14:textId="0D6C2799">
                    <w:pPr>
                      <w:tabs>
                        <w:tab w:val="left" w:pos="6237"/>
                      </w:tabs>
                      <w:suppressAutoHyphens/>
                      <w:jc w:val="center"/>
                      <w:textAlignment w:val="baseline"/>
                      <w:rPr>
                        <w:color w:val="000000"/>
                        <w:szCs w:val="24"/>
                        <w:lang w:eastAsia="lt-LT"/>
                      </w:rPr>
                    </w:pPr>
                    <w:r>
                      <w:rPr>
                        <w:color w:val="000000"/>
                        <w:szCs w:val="24"/>
                        <w:lang w:eastAsia="lt-LT"/>
                      </w:rPr>
                      <w:t>(pareigos)                      (vardas ir pavardė)</w:t>
                    </w:r>
                  </w:p>
                </w:tc>
              </w:tr>
              <w:tr w14:paraId="0D69FF1A" w14:textId="77777777">
                <w:trPr>
                  <w:trHeight w:val="23"/>
                </w:trPr>
                <w:tc>
                  <w:tcPr>
                    <w:tcW w:w="2457" w:type="dxa"/>
                    <w:tcMar>
                      <w:top w:w="0" w:type="dxa"/>
                      <w:left w:w="108" w:type="dxa"/>
                      <w:bottom w:w="0" w:type="dxa"/>
                      <w:right w:w="108" w:type="dxa"/>
                    </w:tcMar>
                    <w:hideMark/>
                  </w:tcPr>
                  <w:p w14:paraId="6832764F" w14:textId="77777777">
                    <w:pPr>
                      <w:tabs>
                        <w:tab w:val="left" w:pos="6237"/>
                      </w:tabs>
                      <w:suppressAutoHyphens/>
                      <w:ind w:firstLine="62"/>
                      <w:jc w:val="center"/>
                      <w:textAlignment w:val="baseline"/>
                      <w:rPr>
                        <w:color w:val="000000"/>
                        <w:szCs w:val="24"/>
                        <w:lang w:eastAsia="lt-LT"/>
                      </w:rPr>
                    </w:pPr>
                  </w:p>
                </w:tc>
                <w:tc>
                  <w:tcPr>
                    <w:tcW w:w="4773" w:type="dxa"/>
                    <w:tcBorders>
                      <w:top w:val="nil"/>
                      <w:left w:val="nil"/>
                      <w:bottom w:val="single" w:sz="8" w:space="0" w:color="auto"/>
                      <w:right w:val="nil"/>
                    </w:tcBorders>
                    <w:tcMar>
                      <w:top w:w="0" w:type="dxa"/>
                      <w:left w:w="108" w:type="dxa"/>
                      <w:bottom w:w="0" w:type="dxa"/>
                      <w:right w:w="108" w:type="dxa"/>
                    </w:tcMar>
                    <w:hideMark/>
                  </w:tcPr>
                  <w:p w14:paraId="72F1B619" w14:textId="77777777">
                    <w:pPr>
                      <w:tabs>
                        <w:tab w:val="left" w:pos="6237"/>
                      </w:tabs>
                      <w:suppressAutoHyphens/>
                      <w:ind w:firstLine="62"/>
                      <w:jc w:val="center"/>
                      <w:textAlignment w:val="baseline"/>
                      <w:rPr>
                        <w:color w:val="000000"/>
                        <w:szCs w:val="24"/>
                        <w:lang w:eastAsia="lt-LT"/>
                      </w:rPr>
                    </w:pPr>
                  </w:p>
                </w:tc>
                <w:tc>
                  <w:tcPr>
                    <w:tcW w:w="2434" w:type="dxa"/>
                    <w:tcMar>
                      <w:top w:w="0" w:type="dxa"/>
                      <w:left w:w="108" w:type="dxa"/>
                      <w:bottom w:w="0" w:type="dxa"/>
                      <w:right w:w="108" w:type="dxa"/>
                    </w:tcMar>
                    <w:hideMark/>
                  </w:tcPr>
                  <w:p w14:paraId="3DE3D185" w14:textId="77777777">
                    <w:pPr>
                      <w:tabs>
                        <w:tab w:val="left" w:pos="6237"/>
                      </w:tabs>
                      <w:suppressAutoHyphens/>
                      <w:ind w:firstLine="62"/>
                      <w:jc w:val="center"/>
                      <w:textAlignment w:val="baseline"/>
                      <w:rPr>
                        <w:color w:val="000000"/>
                        <w:szCs w:val="24"/>
                        <w:lang w:eastAsia="lt-LT"/>
                      </w:rPr>
                    </w:pPr>
                  </w:p>
                </w:tc>
                <w:tc>
                  <w:tcPr>
                    <w:tcW w:w="4946" w:type="dxa"/>
                    <w:tcBorders>
                      <w:top w:val="nil"/>
                      <w:left w:val="nil"/>
                      <w:bottom w:val="single" w:sz="8" w:space="0" w:color="auto"/>
                      <w:right w:val="nil"/>
                    </w:tcBorders>
                    <w:tcMar>
                      <w:top w:w="0" w:type="dxa"/>
                      <w:left w:w="108" w:type="dxa"/>
                      <w:bottom w:w="0" w:type="dxa"/>
                      <w:right w:w="108" w:type="dxa"/>
                    </w:tcMar>
                    <w:hideMark/>
                  </w:tcPr>
                  <w:p w14:paraId="67E9BFA5" w14:textId="77777777">
                    <w:pPr>
                      <w:tabs>
                        <w:tab w:val="left" w:pos="6237"/>
                      </w:tabs>
                      <w:suppressAutoHyphens/>
                      <w:ind w:firstLine="62"/>
                      <w:jc w:val="center"/>
                      <w:textAlignment w:val="baseline"/>
                      <w:rPr>
                        <w:color w:val="000000"/>
                        <w:szCs w:val="24"/>
                        <w:lang w:eastAsia="lt-LT"/>
                      </w:rPr>
                    </w:pPr>
                  </w:p>
                </w:tc>
              </w:tr>
              <w:tr w14:paraId="01FA2EA7" w14:textId="77777777">
                <w:trPr>
                  <w:trHeight w:val="23"/>
                </w:trPr>
                <w:tc>
                  <w:tcPr>
                    <w:tcW w:w="2457" w:type="dxa"/>
                    <w:tcMar>
                      <w:top w:w="0" w:type="dxa"/>
                      <w:left w:w="108" w:type="dxa"/>
                      <w:bottom w:w="0" w:type="dxa"/>
                      <w:right w:w="108" w:type="dxa"/>
                    </w:tcMar>
                    <w:hideMark/>
                  </w:tcPr>
                  <w:p w14:paraId="366C39F9" w14:textId="77777777">
                    <w:pPr>
                      <w:tabs>
                        <w:tab w:val="left" w:pos="6237"/>
                      </w:tabs>
                      <w:suppressAutoHyphens/>
                      <w:ind w:firstLine="62"/>
                      <w:jc w:val="center"/>
                      <w:textAlignment w:val="baseline"/>
                      <w:rPr>
                        <w:color w:val="000000"/>
                        <w:szCs w:val="24"/>
                        <w:lang w:eastAsia="lt-LT"/>
                      </w:rPr>
                    </w:pPr>
                  </w:p>
                </w:tc>
                <w:tc>
                  <w:tcPr>
                    <w:tcW w:w="4773" w:type="dxa"/>
                    <w:tcMar>
                      <w:top w:w="0" w:type="dxa"/>
                      <w:left w:w="108" w:type="dxa"/>
                      <w:bottom w:w="0" w:type="dxa"/>
                      <w:right w:w="108" w:type="dxa"/>
                    </w:tcMar>
                    <w:hideMark/>
                  </w:tcPr>
                  <w:p w14:paraId="70F8E1C4" w14:textId="77777777">
                    <w:pPr>
                      <w:tabs>
                        <w:tab w:val="left" w:pos="6237"/>
                      </w:tabs>
                      <w:suppressAutoHyphens/>
                      <w:jc w:val="center"/>
                      <w:textAlignment w:val="baseline"/>
                      <w:rPr>
                        <w:color w:val="000000"/>
                        <w:szCs w:val="24"/>
                        <w:lang w:eastAsia="lt-LT"/>
                      </w:rPr>
                    </w:pPr>
                    <w:r>
                      <w:rPr>
                        <w:color w:val="000000"/>
                        <w:szCs w:val="24"/>
                        <w:lang w:eastAsia="lt-LT"/>
                      </w:rPr>
                      <w:t>(parašas)                                      (data)</w:t>
                    </w:r>
                  </w:p>
                </w:tc>
                <w:tc>
                  <w:tcPr>
                    <w:tcW w:w="2434" w:type="dxa"/>
                    <w:tcMar>
                      <w:top w:w="0" w:type="dxa"/>
                      <w:left w:w="108" w:type="dxa"/>
                      <w:bottom w:w="0" w:type="dxa"/>
                      <w:right w:w="108" w:type="dxa"/>
                    </w:tcMar>
                    <w:hideMark/>
                  </w:tcPr>
                  <w:p w14:paraId="16FA1404" w14:textId="77777777">
                    <w:pPr>
                      <w:tabs>
                        <w:tab w:val="left" w:pos="6237"/>
                      </w:tabs>
                      <w:suppressAutoHyphens/>
                      <w:ind w:firstLine="62"/>
                      <w:jc w:val="center"/>
                      <w:textAlignment w:val="baseline"/>
                      <w:rPr>
                        <w:color w:val="000000"/>
                        <w:szCs w:val="24"/>
                        <w:lang w:eastAsia="lt-LT"/>
                      </w:rPr>
                    </w:pPr>
                  </w:p>
                </w:tc>
                <w:tc>
                  <w:tcPr>
                    <w:tcW w:w="4946" w:type="dxa"/>
                    <w:tcBorders>
                      <w:top w:val="nil"/>
                      <w:left w:val="nil"/>
                      <w:bottom w:val="nil"/>
                      <w:right w:val="nil"/>
                    </w:tcBorders>
                    <w:tcMar>
                      <w:top w:w="0" w:type="dxa"/>
                      <w:left w:w="108" w:type="dxa"/>
                      <w:bottom w:w="0" w:type="dxa"/>
                      <w:right w:w="108" w:type="dxa"/>
                    </w:tcMar>
                    <w:hideMark/>
                  </w:tcPr>
                  <w:p w14:paraId="12DEA204" w14:textId="77777777">
                    <w:pPr>
                      <w:tabs>
                        <w:tab w:val="left" w:pos="6237"/>
                      </w:tabs>
                      <w:suppressAutoHyphens/>
                      <w:ind w:firstLine="62"/>
                      <w:jc w:val="center"/>
                      <w:textAlignment w:val="baseline"/>
                      <w:rPr>
                        <w:color w:val="000000"/>
                        <w:szCs w:val="24"/>
                        <w:lang w:eastAsia="lt-LT"/>
                      </w:rPr>
                    </w:pPr>
                    <w:r>
                      <w:rPr>
                        <w:color w:val="000000"/>
                        <w:szCs w:val="24"/>
                        <w:lang w:eastAsia="lt-LT"/>
                      </w:rPr>
                      <w:t>(parašas)                                                     (data)</w:t>
                    </w:r>
                  </w:p>
                </w:tc>
              </w:tr>
            </w:tbl>
            <w:p w14:paraId="75DC5CCF" w14:textId="77777777">
              <w:pPr>
                <w:tabs>
                  <w:tab w:val="left" w:pos="6237"/>
                </w:tabs>
                <w:suppressAutoHyphens/>
                <w:ind w:firstLine="62"/>
                <w:jc w:val="center"/>
                <w:textAlignment w:val="baseline"/>
                <w:rPr>
                  <w:color w:val="000000"/>
                  <w:szCs w:val="24"/>
                  <w:lang w:eastAsia="lt-LT"/>
                </w:rPr>
              </w:pPr>
            </w:p>
            <w:p w14:paraId="21E16E7C" w14:textId="77777777">
              <w:pPr>
                <w:tabs>
                  <w:tab w:val="left" w:pos="6237"/>
                </w:tabs>
                <w:suppressAutoHyphens/>
                <w:ind w:firstLine="62"/>
                <w:jc w:val="center"/>
                <w:textAlignment w:val="baseline"/>
                <w:rPr>
                  <w:color w:val="000000"/>
                  <w:szCs w:val="24"/>
                  <w:lang w:eastAsia="lt-LT"/>
                </w:rPr>
              </w:pPr>
            </w:p>
            <w:p w14:paraId="7580936F" w14:textId="77777777">
              <w:pPr>
                <w:tabs>
                  <w:tab w:val="left" w:pos="6237"/>
                </w:tabs>
                <w:suppressAutoHyphens/>
                <w:jc w:val="center"/>
                <w:textAlignment w:val="baseline"/>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code="9"/>
      <w:pgMar w:top="1134"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7253D3" w14:textId="77777777">
      <w:pPr>
        <w:rPr>
          <w:lang w:eastAsia="lt-LT"/>
        </w:rPr>
      </w:pPr>
      <w:r>
        <w:rPr>
          <w:lang w:eastAsia="lt-LT"/>
        </w:rPr>
        <w:separator/>
      </w:r>
    </w:p>
  </w:endnote>
  <w:endnote w:type="continuationSeparator" w:id="0">
    <w:p w14:paraId="5BB40FD9"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36937"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4AF5F"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144805"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4781AB" w14:textId="77777777">
      <w:pPr>
        <w:rPr>
          <w:lang w:eastAsia="lt-LT"/>
        </w:rPr>
      </w:pPr>
      <w:r>
        <w:rPr>
          <w:lang w:eastAsia="lt-LT"/>
        </w:rPr>
        <w:separator/>
      </w:r>
    </w:p>
  </w:footnote>
  <w:footnote w:type="continuationSeparator" w:id="0">
    <w:p w14:paraId="779AF110"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3D0BB"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66B5EB1"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B82E43"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4760B"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07B38743"/>
  <w15:docId w15:val="{DBF221B3-A7E6-410D-A07D-10305C857E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651508c504241be900140fb481d1812" PartId="b4dd0e21a0724944afb603311c4f73cb">
    <Part Type="preambule" DocPartId="bf4bcac7470e4e7392e0b1ec05a7283c" PartId="62ae3ada6bc34199b2c1c41d4a273332"/>
    <Part Type="pastraipa" DocPartId="98cbbfef88dd47539973458796efed9a" PartId="b1656dbb4a554088852e27fa20ca3548"/>
    <Part Type="skirsnis" Title="Lietuvos Respublikos socialinės apsaugos ir darbo miniosterijos Lygių galimybių, moterų ir vyrų lygybės grupė, vadovė Jolanta Sakalauskienė." DocPartId="86676be25eff4dea97b207d28e779908" PartId="29046a6ae1c445748abc8cdeca443ade"/>
  </Part>
</Parts>
</file>

<file path=customXml/itemProps1.xml><?xml version="1.0" encoding="utf-8"?>
<ds:datastoreItem xmlns:ds="http://schemas.openxmlformats.org/officeDocument/2006/customXml" ds:itemID="{AA89BCEB-099E-4038-94F6-7DB1B152878F}">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2163</Words>
  <Characters>15192</Characters>
  <Application>Microsoft Office Word</Application>
  <DocSecurity>4</DocSecurity>
  <Lines>562</Lines>
  <Paragraphs>163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17192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lrvk</dc:creator>
  <lastModifiedBy>adlibuser</lastModifiedBy>
  <lastPrinted>2017-06-01T05:28:00Z</lastPrinted>
  <dcterms:modified xsi:type="dcterms:W3CDTF">2026-03-05T11:33:00Z</dcterms:modified>
  <revision>2</revision>
</coreProperties>
</file>