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6AF0D9A4" w14:textId="77777777">
      <w:pPr>
        <w:tabs>
          <w:tab w:val="center" w:pos="4819"/>
          <w:tab w:val="right" w:pos="9638"/>
        </w:tabs>
        <w:rPr>
          <w:szCs w:val="24"/>
          <w:lang w:val="en-GB"/>
        </w:rPr>
      </w:pPr>
    </w:p>
    <w:p w14:paraId="657AE6F0" w14:textId="77777777">
      <w:pPr>
        <w:jc w:val="center"/>
        <w:rPr>
          <w:b/>
          <w:szCs w:val="24"/>
        </w:rPr>
      </w:pPr>
      <w:r>
        <w:rPr>
          <w:b/>
          <w:szCs w:val="24"/>
        </w:rPr>
        <w:t>ŠIAULIŲ MIESTO SAVIVALDYBĖS ADMINISTRACIJOS</w:t>
      </w:r>
    </w:p>
    <w:p w14:paraId="657AE6F2" w14:textId="77777777">
      <w:pPr>
        <w:jc w:val="center"/>
        <w:rPr>
          <w:b/>
          <w:szCs w:val="24"/>
        </w:rPr>
      </w:pPr>
      <w:r>
        <w:rPr>
          <w:b/>
          <w:szCs w:val="24"/>
        </w:rPr>
        <w:t>EKONOMIKOS IR INVESTICIJŲ SKYRIUS</w:t>
      </w:r>
    </w:p>
    <w:p w14:paraId="657AE6F3" w14:textId="77777777">
      <w:pPr>
        <w:ind w:right="-81"/>
        <w:jc w:val="center"/>
        <w:rPr>
          <w:sz w:val="16"/>
          <w:szCs w:val="24"/>
        </w:rPr>
      </w:pPr>
    </w:p>
    <w:p w14:paraId="657AE6F4" w14:textId="77777777">
      <w:pPr>
        <w:ind w:right="-81"/>
        <w:jc w:val="center"/>
        <w:rPr>
          <w:b/>
          <w:szCs w:val="24"/>
        </w:rPr>
      </w:pPr>
      <w:r>
        <w:rPr>
          <w:b/>
          <w:szCs w:val="24"/>
        </w:rPr>
        <w:t xml:space="preserve">SPRENDIMO </w:t>
      </w:r>
    </w:p>
    <w:p w14:paraId="657AE6F5" w14:textId="77777777">
      <w:pPr>
        <w:jc w:val="center"/>
        <w:rPr>
          <w:b/>
          <w:szCs w:val="24"/>
        </w:rPr>
      </w:pPr>
      <w:r>
        <w:rPr>
          <w:b/>
          <w:szCs w:val="24"/>
        </w:rPr>
        <w:t>„DĖL PRITARIMO INVESTUOTI ŠIAULIŲ MIESTO SAVIVALDYBĖS TURTĄ IR DIDINTI NEPINIGINIU ĮNAŠU UŽDAROSIOS AKCINĖS BENDROVĖS „ŠIAULIŲ GATVIŲ APŠVIETIMAS” ĮSTATINĮ KAPITALĄ“ PROJEKTO</w:t>
      </w:r>
    </w:p>
    <w:p w14:paraId="657AE6F6" w14:textId="77777777">
      <w:pPr>
        <w:keepNext/>
        <w:widowControl w:val="0"/>
        <w:tabs>
          <w:tab w:val="left" w:pos="0"/>
        </w:tabs>
        <w:suppressAutoHyphens/>
        <w:ind w:right="-81"/>
        <w:jc w:val="center"/>
        <w:outlineLvl w:val="4"/>
        <w:rPr>
          <w:rFonts w:eastAsia="Lucida Sans Unicode"/>
          <w:b/>
        </w:rPr>
      </w:pPr>
      <w:r>
        <w:rPr>
          <w:rFonts w:eastAsia="Lucida Sans Unicode"/>
          <w:b/>
        </w:rPr>
        <w:t>AIŠKINAMASIS RAŠTAS</w:t>
      </w:r>
    </w:p>
    <w:p w14:paraId="657AE6F7" w14:textId="77777777">
      <w:pPr>
        <w:widowControl w:val="0"/>
        <w:ind w:right="-81"/>
        <w:jc w:val="center"/>
        <w:rPr>
          <w:rFonts w:eastAsia="Lucida Sans Unicode"/>
          <w:sz w:val="18"/>
        </w:rPr>
      </w:pPr>
    </w:p>
    <w:p w14:paraId="657AE6F8" w14:textId="3CFE8271">
      <w:pPr>
        <w:widowControl w:val="0"/>
        <w:ind w:right="-81"/>
        <w:jc w:val="center"/>
        <w:rPr>
          <w:rFonts w:eastAsia="Lucida Sans Unicode"/>
        </w:rPr>
      </w:pPr>
      <w:r>
        <w:rPr>
          <w:rFonts w:eastAsia="Lucida Sans Unicode"/>
        </w:rPr>
        <w:t>2022 m. balandžio 01 d.</w:t>
      </w:r>
    </w:p>
    <w:p w14:paraId="657AE6F9" w14:textId="77777777">
      <w:pPr>
        <w:widowControl w:val="0"/>
        <w:ind w:right="-81"/>
        <w:jc w:val="center"/>
        <w:rPr>
          <w:rFonts w:eastAsia="Lucida Sans Unicode"/>
        </w:rPr>
      </w:pPr>
      <w:r>
        <w:rPr>
          <w:rFonts w:eastAsia="Lucida Sans Unicode"/>
        </w:rPr>
        <w:t>Šiauliai</w:t>
      </w:r>
    </w:p>
    <w:p w14:paraId="657AE6FA" w14:textId="77777777">
      <w:pPr>
        <w:rPr>
          <w:szCs w:val="24"/>
        </w:rPr>
      </w:pPr>
    </w:p>
    <w:p w14:paraId="657AE6FB" w14:textId="77777777">
      <w:pPr>
        <w:widowControl w:val="0"/>
        <w:spacing w:line="200" w:lineRule="atLeast"/>
        <w:ind w:right="-81" w:firstLine="720"/>
        <w:rPr>
          <w:rFonts w:eastAsia="Lucida Sans Unicode"/>
          <w:b/>
        </w:rPr>
      </w:pPr>
      <w:r>
        <w:rPr>
          <w:rFonts w:eastAsia="Lucida Sans Unicode"/>
          <w:b/>
        </w:rPr>
        <w:t>Parengto sprendimo projekto tikslai ir uždaviniai.</w:t>
      </w:r>
    </w:p>
    <w:p w14:paraId="657AE6FC"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20"/>
        <w:jc w:val="both"/>
        <w:rPr>
          <w:szCs w:val="24"/>
          <w:lang w:eastAsia="lt-LT"/>
        </w:rPr>
      </w:pPr>
      <w:r>
        <w:rPr>
          <w:szCs w:val="24"/>
          <w:lang w:eastAsia="lt-LT"/>
        </w:rPr>
        <w:t xml:space="preserve">Parengto sprendimo projekto tikslai: </w:t>
      </w:r>
    </w:p>
    <w:p w14:paraId="602B165C" w14:textId="071FE74D">
      <w:pPr>
        <w:tabs>
          <w:tab w:val="left" w:pos="993"/>
          <w:tab w:val="left" w:pos="1276"/>
        </w:tabs>
        <w:suppressAutoHyphens/>
        <w:ind w:firstLine="720"/>
        <w:jc w:val="both"/>
        <w:rPr>
          <w:szCs w:val="24"/>
          <w:lang w:val="en-GB" w:eastAsia="lt-LT"/>
        </w:rPr>
      </w:pPr>
      <w:r>
        <w:rPr>
          <w:rFonts w:eastAsia="Calibri"/>
          <w:szCs w:val="24"/>
          <w:lang w:eastAsia="lt-LT"/>
        </w:rPr>
        <w:t>1</w:t>
      </w:r>
      <w:r>
        <w:rPr>
          <w:rFonts w:eastAsia="Calibri"/>
          <w:szCs w:val="24"/>
          <w:lang w:eastAsia="lt-LT"/>
        </w:rPr>
        <w:t>.</w:t>
        <w:tab/>
      </w:r>
      <w:r>
        <w:rPr>
          <w:szCs w:val="24"/>
          <w:lang w:val="en-GB"/>
        </w:rPr>
        <w:t xml:space="preserve"> Investuoti ir kaip nepiniginį įnašą perduoti uždarajai akcinei bendrovei „Šiaulių gatvių apšvietimas“ Šiaulių miesto savivaldybei nuosavybės teise priklausantį kilnojamąjį turtą – </w:t>
      </w:r>
      <w:r>
        <w:rPr>
          <w:szCs w:val="24"/>
          <w:shd w:val="clear" w:color="auto" w:fill="FFFFFF"/>
          <w:lang w:val="en-GB"/>
        </w:rPr>
        <w:t xml:space="preserve"> šviesoforus (nepriklausomų turto vertintojų nustatyta turto vertė – 307 363 Eur) (priedas), didinant uždarosios akcinės bendrovės „Šiaulių gatvių apšvietimas“ įstatinį kapitalą 307 362,30 Eur </w:t>
      </w:r>
      <w:r>
        <w:rPr>
          <w:szCs w:val="24"/>
          <w:lang w:val="en-GB"/>
        </w:rPr>
        <w:t xml:space="preserve">(trimis šimtais septyniais tūkstančiais trimis šimtais šešiasdešimt dviem eurais ir 30 ct.)  ir</w:t>
      </w:r>
      <w:r>
        <w:rPr>
          <w:szCs w:val="24"/>
          <w:shd w:val="clear" w:color="auto" w:fill="FFFFFF"/>
          <w:lang w:val="en-GB"/>
        </w:rPr>
        <w:t xml:space="preserve"> išleidžiant 105 987</w:t>
      </w:r>
      <w:r>
        <w:rPr>
          <w:szCs w:val="24"/>
          <w:lang w:val="en-GB" w:eastAsia="lt-LT"/>
        </w:rPr>
        <w:t xml:space="preserve"> (šimtą penkis tūkstančius devynis šimtus aštuoniasdešimt septynis) vnt. paprastųjų nematerialiųjų vardinių akcijų, kurių kiekviena – 2,90 Eur (du Eur 90 ct) nominaliosios vertės, o 0,70 Eur  (septyniasdešimt centų) sudarytų akcijų priedą (akcijos nominaliosios vertės perviršį). Akcijų emisijos kaina lygi jų nominaliajai vertei. Visos išleistos naujos akcijos perduodamos Šiaulių miesto savivaldybei.</w:t>
      </w:r>
    </w:p>
    <w:p w14:paraId="657AE6FE" w14:textId="5E7240C1">
      <w:pPr>
        <w:ind w:firstLine="720"/>
        <w:jc w:val="both"/>
        <w:rPr>
          <w:szCs w:val="24"/>
          <w:lang w:eastAsia="lt-LT"/>
        </w:rPr>
      </w:pPr>
      <w:r>
        <w:rPr>
          <w:szCs w:val="24"/>
          <w:lang w:eastAsia="lt-LT"/>
        </w:rPr>
        <w:t>2</w:t>
      </w:r>
      <w:r>
        <w:rPr>
          <w:szCs w:val="24"/>
          <w:lang w:eastAsia="lt-LT"/>
        </w:rPr>
        <w:t xml:space="preserve">. </w:t>
      </w:r>
      <w:r>
        <w:rPr>
          <w:szCs w:val="24"/>
        </w:rPr>
        <w:t>Pavesti uždarosios akcinės bendrovės „Šiaulių gatvių apšvietimas“ direktoriui parengti uždarosios akcinės bendrovės „Šiaulių gatvių apšvietimas“ įstatų naują redakciją, pateikti juos tvirtinti Šiaulių miesto savivaldybės administracijos direktoriui ir įregistruoti Juridinių asmenų registre.</w:t>
      </w:r>
    </w:p>
    <w:p w14:paraId="657AE703" w14:textId="691D8330">
      <w:pPr>
        <w:ind w:firstLine="720"/>
        <w:jc w:val="both"/>
        <w:rPr>
          <w:sz w:val="16"/>
          <w:szCs w:val="16"/>
        </w:rPr>
      </w:pPr>
      <w:r>
        <w:rPr>
          <w:szCs w:val="24"/>
          <w:lang w:eastAsia="lt-LT"/>
        </w:rPr>
        <w:t>3</w:t>
      </w:r>
      <w:r>
        <w:rPr>
          <w:szCs w:val="24"/>
          <w:lang w:eastAsia="lt-LT"/>
        </w:rPr>
        <w:t xml:space="preserve">. </w:t>
      </w:r>
      <w:r>
        <w:rPr>
          <w:szCs w:val="24"/>
        </w:rPr>
        <w:t>Įgalioti Šiaulių miesto savivaldybės administracijos direktorių pasirašyti šio sprendimo 1 punkte nurodyto ilgalaikio materialaus turto perdavimo ir priėmimo aktą, akcijų pasirašymo sutartį ir atlikti kitus reikalingus veiksmus, susijusius su įstatinio kapitalo didinimu.</w:t>
      </w:r>
    </w:p>
    <w:p w14:paraId="09E11658" w14:textId="3115CC5D">
      <w:pPr>
        <w:ind w:firstLine="851"/>
        <w:jc w:val="both"/>
        <w:rPr>
          <w:szCs w:val="24"/>
        </w:rPr>
      </w:pPr>
      <w:r>
        <w:rPr>
          <w:szCs w:val="24"/>
        </w:rPr>
        <w:t>Uždaroji akcinė bendrovė „Šiaulių gatvių apšvietimas“ (toliau – Bendrovė) 2022-03-17 raštu Nr. 03-80 „Dėl savivaldybės turto investavimo ir UAB „Šiaulių gatvių apšvietimas“ įstatinio kapitalo didinimo turtiniu įnašu“ kreipėsi į Šiaulių miesto savivaldybės (toliau – Savivaldybė) administraciją prašydama perduoti Bendrovei Savivaldybei priklausantį turtą – 22 šviesoforų postus. Bendrovė prašo minėtą turtą perduoti valdyti nuosavybės teise, didinant Bendrovės įstatinį kapitalą turtiniu įnašu.</w:t>
      </w:r>
    </w:p>
    <w:p w14:paraId="1B22ED96" w14:textId="77777777">
      <w:pPr>
        <w:tabs>
          <w:tab w:val="left" w:pos="6078"/>
        </w:tabs>
        <w:ind w:firstLine="851"/>
        <w:jc w:val="both"/>
        <w:rPr>
          <w:bCs/>
          <w:szCs w:val="24"/>
          <w:lang w:eastAsia="lt-LT"/>
        </w:rPr>
      </w:pPr>
      <w:r>
        <w:rPr>
          <w:bCs/>
          <w:szCs w:val="24"/>
          <w:lang w:eastAsia="lt-LT"/>
        </w:rPr>
        <w:t xml:space="preserve">Šiuo metu UAB „Šiaulių gatvių apšvietimas“ teikia Šiaulių miesto gatvių, lauko apšvietimo tinklo ir techninių eismo reguliavimo priemonių (šviesoforų) priežiūros, valdymo ir atnaujinimo bei plėtros paslaugas pagal su savivaldybe pasirašytą sutartį. Bendrovė eksploatuoja, prižiūri, valdo 48 šviesoforų postus Šiaulių mieste. Šviesoforų postas suprantamas kaip  šviesoforais reguliuojama sankryža, perėja arba transporto mazgas, turintis eismo srautų susikirtimus ir valdantis visų krypčių srautus suderintu režimu. Į šviesoforų posto sąvoką įeina visos techninės eismo  reguliavimo priemonės, esančios sankryžoje ir jos prieigoje, taip pat tiesiogiai prijungtos prie šviesoforų posto valdymo specializuotos techninės priemonės (pvz., jutikliai, pėsčiųjų šviesoforo įjungimo mygtukai ir pan.). </w:t>
      </w:r>
    </w:p>
    <w:p w14:paraId="26014F23" w14:textId="77777777">
      <w:pPr>
        <w:tabs>
          <w:tab w:val="left" w:pos="6078"/>
        </w:tabs>
        <w:ind w:firstLine="851"/>
        <w:jc w:val="both"/>
        <w:rPr>
          <w:bCs/>
          <w:szCs w:val="24"/>
          <w:lang w:eastAsia="lt-LT"/>
        </w:rPr>
      </w:pPr>
      <w:r>
        <w:rPr>
          <w:bCs/>
          <w:szCs w:val="24"/>
          <w:lang w:eastAsia="lt-LT"/>
        </w:rPr>
        <w:t>Šiuo metu iš 48 šviesoforų postų Bendrovei nuosavybės teise priklauso 26, Savivaldybei -22. Pastarieji yra perduoti Bendrovei laikinai techninei priežiūrai.</w:t>
      </w:r>
    </w:p>
    <w:p w14:paraId="04C34568" w14:textId="77777777">
      <w:pPr>
        <w:tabs>
          <w:tab w:val="left" w:pos="6078"/>
        </w:tabs>
        <w:ind w:firstLine="851"/>
        <w:jc w:val="both"/>
        <w:rPr>
          <w:bCs/>
          <w:szCs w:val="24"/>
          <w:lang w:eastAsia="lt-LT"/>
        </w:rPr>
      </w:pPr>
      <w:r>
        <w:rPr>
          <w:bCs/>
          <w:szCs w:val="24"/>
          <w:lang w:eastAsia="lt-LT"/>
        </w:rPr>
        <w:t>Siekiant tinkamai vykdyti Savivaldybės funkcijas bei užtikrinti viešąjį interesą, susijusį su eismo ir visuomenės saugumu, tinkamu gatvių apšvietimo ir šviesoforų infrastruktūros funkcionavimu, apšvietimo ir šviesoforų sistemų priežiūra ir vystymu bei siekiant sumažinti Savivaldybės administracinę naštą administruojant Savivaldybei priklausantį turtą, būtų tikslinga gatvių apšvietimo tinklus perduoti Bendrovei, padidinant Bendrovės įstatinį kapitalą turtiniu įnašu. Investuojamo turto vertė nustatyta ir nurodyta 2021 m. Savivaldybės administracijos užsakymu atlikto kilnojamojo turto vertinimo ataskaitoje Nr.40A‘0-2112-0090.</w:t>
      </w:r>
    </w:p>
    <w:p w14:paraId="524A474D" w14:textId="77777777">
      <w:pPr>
        <w:tabs>
          <w:tab w:val="left" w:pos="6078"/>
        </w:tabs>
        <w:ind w:firstLine="851"/>
        <w:jc w:val="both"/>
        <w:rPr>
          <w:bCs/>
          <w:szCs w:val="24"/>
          <w:lang w:eastAsia="lt-LT"/>
        </w:rPr>
      </w:pPr>
      <w:r>
        <w:rPr>
          <w:bCs/>
          <w:szCs w:val="24"/>
          <w:lang w:eastAsia="lt-LT"/>
        </w:rPr>
        <w:t>Perdavus minėtą turtą Bendrovei, būtų užtikrinama tinkama šviesoforų sistemų priežiūra, teikiamos paslaugos vientisumas, kryptingas bei nuoseklus šviesoforų ir jų valdymo sistemų atnaujinimas ir modernizavimas.</w:t>
      </w:r>
    </w:p>
    <w:p w14:paraId="069E285F" w14:textId="77777777">
      <w:pPr>
        <w:tabs>
          <w:tab w:val="left" w:pos="6078"/>
        </w:tabs>
        <w:ind w:firstLine="851"/>
        <w:jc w:val="both"/>
        <w:rPr>
          <w:bCs/>
          <w:szCs w:val="24"/>
          <w:lang w:eastAsia="lt-LT"/>
        </w:rPr>
      </w:pPr>
      <w:r>
        <w:rPr>
          <w:bCs/>
          <w:szCs w:val="24"/>
          <w:lang w:eastAsia="lt-LT"/>
        </w:rPr>
        <w:t xml:space="preserve">Nuosavybės teise valdydama minėtą turtą Bendrovė įgytų galimybę ne tik tinkamai prižiūrėti turtą, bet ir investuoti savo lėšas į turto atnaujinimą. Bendrovė galėtų sistemingai, koordinuotai ir planuotai gerinti ir atnaujinti miesto eismo reguliavimo priemones (šviesoforus) ir eismo valdymo sistemas, kadangi valdo tiesioginę informaciją apie objektų būklę, galėtų diegti eismo valdymo sistemos naujoves, taip iš esmės pagerindama turto būklę ir teikiamų viešųjų paslaugų kokybę. Taip atsirastų galimybė investuoti Bendrovės uždirbamą pelną į  eismo valdymo sistemų modernizavimą,  koordinuoto sistemų valdymo kūrimą.</w:t>
      </w:r>
    </w:p>
    <w:p w14:paraId="7C7F7E5A" w14:textId="4B296442">
      <w:pPr>
        <w:tabs>
          <w:tab w:val="left" w:pos="993"/>
          <w:tab w:val="left" w:pos="1276"/>
        </w:tabs>
        <w:suppressAutoHyphens/>
        <w:ind w:firstLine="720"/>
        <w:jc w:val="both"/>
        <w:rPr>
          <w:rFonts w:ascii="Calibri" w:eastAsia="Calibri" w:hAnsi="Calibri"/>
          <w:sz w:val="22"/>
          <w:szCs w:val="22"/>
        </w:rPr>
      </w:pPr>
      <w:r>
        <w:rPr>
          <w:rFonts w:eastAsia="Calibri"/>
          <w:szCs w:val="24"/>
        </w:rPr>
        <w:t>Perduodant Bendrovei minėtą Savivaldybei nuosavybės teise priklausantį turtą, būtų didinamas Bendrovės įstatinis kapitalas 307363 Eur (trimis šimtais septyniais tūkstančiais trimis šimtais šešiasdešimt trimis Eur)</w:t>
      </w:r>
      <w:r>
        <w:rPr>
          <w:rFonts w:eastAsia="Calibri"/>
          <w:szCs w:val="24"/>
          <w:shd w:val="clear" w:color="auto" w:fill="FFFFFF"/>
        </w:rPr>
        <w:t xml:space="preserve"> išleidžiant 105 987</w:t>
      </w:r>
      <w:r>
        <w:rPr>
          <w:rFonts w:eastAsia="Calibri"/>
          <w:szCs w:val="24"/>
          <w:lang w:eastAsia="lt-LT"/>
        </w:rPr>
        <w:t xml:space="preserve"> (šimtą penkis tūkstančius devynis šimtus aštuoniasdešimt septynis) vnt. paprastųjų nematerialiųjų vardinių akcijų, kurių kiekviena – 2,90 Eur (du Eur 90 ct) nominaliosios vertės, o 0,70 Eur  (septyniasdešimt centų) sudarytų akcijų priedą (akcijos nominaliosios vertės perviršį). Akcijų emisijos kaina lygi jų nominaliajai vertei. Visos išleistos naujos akcijos perduodamos Šiaulių miesto savivaldybei.</w:t>
      </w:r>
    </w:p>
    <w:p w14:paraId="657AE709" w14:textId="77777777">
      <w:pPr>
        <w:ind w:firstLine="851"/>
        <w:jc w:val="both"/>
        <w:rPr>
          <w:szCs w:val="24"/>
        </w:rPr>
      </w:pPr>
      <w:r>
        <w:rPr>
          <w:szCs w:val="24"/>
        </w:rPr>
        <w:t>Vadovaujantis Lietuvos Respublikos valstybės ir savivaldybių turto valdymo, naudojimo ir disponavimo juo įstatymo 22 straipsnio 4 dalimi, savivaldybė gali turtą investuoti įsigydama įstatinį kapitalą didinančios uždarosios akcinės bendrovės akcijų, kurios visuotiniame akcininkų susirinkime savivaldybei suteikia daugiau negu 50 procentų balsų. Šiaulių miesto savivaldybė yra vienintelė Bendrovės akcininkė, valdanti 100 proc. akcijų.</w:t>
      </w:r>
    </w:p>
    <w:p w14:paraId="657AE70A" w14:textId="202B77D8">
      <w:pPr>
        <w:widowControl w:val="0"/>
        <w:suppressAutoHyphens/>
        <w:ind w:firstLine="720"/>
        <w:jc w:val="both"/>
        <w:rPr>
          <w:rFonts w:eastAsia="Lucida Sans Unicode"/>
          <w:color w:val="000000"/>
          <w:szCs w:val="24"/>
        </w:rPr>
      </w:pPr>
      <w:r>
        <w:rPr>
          <w:rFonts w:eastAsia="Lucida Sans Unicode"/>
          <w:color w:val="000000"/>
          <w:szCs w:val="24"/>
        </w:rPr>
        <w:t>Atsižvelgdama į gautą raštą, Savivaldybės administracija, vadovaudamasi teisės aktų reikalavimais, paruošė Savivaldybės tarybai pasiūlymą dėl sprendimo investuoti Savivaldybės turtą (</w:t>
      </w:r>
      <w:r>
        <w:rPr>
          <w:szCs w:val="24"/>
        </w:rPr>
        <w:t>2021-04-01 pasiūlymas Nr. S-1147</w:t>
      </w:r>
      <w:r>
        <w:rPr>
          <w:rFonts w:eastAsia="Lucida Sans Unicode"/>
          <w:color w:val="000000"/>
          <w:szCs w:val="24"/>
        </w:rPr>
        <w:t>) (pridedama).</w:t>
      </w:r>
    </w:p>
    <w:p w14:paraId="7E245FA5" w14:textId="77777777">
      <w:pPr>
        <w:widowControl w:val="0"/>
        <w:suppressAutoHyphens/>
        <w:ind w:firstLine="720"/>
        <w:jc w:val="both"/>
        <w:rPr>
          <w:szCs w:val="24"/>
          <w:lang w:eastAsia="lt-LT"/>
        </w:rPr>
      </w:pPr>
      <w:r>
        <w:rPr>
          <w:szCs w:val="24"/>
        </w:rPr>
        <w:t xml:space="preserve">Lietuvos Respublikos Vyriausybės 2007 m. liepos 4 d. nutarimo Nr. 758 „ dėl sprendimo investuoti valstybės ir savivaldybių turtą priėmimo tvarkos aprašo patvirtinimo“,  9.3 papunkčiu nustatyta, kad perduodamo turto vertinimo ataskaita, atitinkanti Lietuvos Respublikos turto ir verslo vertinimo pagrindų įstatymo nustatytus reikalavimus turi būti pateikta </w:t>
      </w:r>
      <w:r>
        <w:rPr>
          <w:szCs w:val="24"/>
          <w:lang w:eastAsia="lt-LT"/>
        </w:rPr>
        <w:t>Audito, apskaitos, turto vertinimo ir nemokumo valdymo tarnybai prie Lietuvos Respublikos finansų ministerijos, kuri turto vertinimo ataskaitą paskelbia savo interneto svetainėje.</w:t>
      </w:r>
    </w:p>
    <w:p w14:paraId="21D31AC3" w14:textId="77777777">
      <w:pPr>
        <w:widowControl w:val="0"/>
        <w:suppressAutoHyphens/>
        <w:ind w:firstLine="720"/>
        <w:jc w:val="both"/>
        <w:rPr>
          <w:szCs w:val="24"/>
          <w:lang w:eastAsia="lt-LT"/>
        </w:rPr>
      </w:pPr>
      <w:r>
        <w:rPr>
          <w:szCs w:val="24"/>
          <w:lang w:eastAsia="lt-LT"/>
        </w:rPr>
        <w:t>Šio nutarimo 9</w:t>
      </w:r>
      <w:r>
        <w:rPr>
          <w:szCs w:val="24"/>
          <w:vertAlign w:val="superscript"/>
          <w:lang w:eastAsia="lt-LT"/>
        </w:rPr>
        <w:t>1</w:t>
      </w:r>
      <w:r>
        <w:rPr>
          <w:szCs w:val="24"/>
          <w:lang w:eastAsia="lt-LT"/>
        </w:rPr>
        <w:t xml:space="preserve"> punktas numato, kad sprendimas investuoti valstybės ir savivaldybės turtą gali būti priimtas ne anksčiau kaip po 1 mėnesio nuo turto vertinimo ataskaitos paskelbimo Audito, apskaitos, turto vertinimo ir nemokumo valdymo tarnybai prie Lietuvos Respublikos finansų ministerijos, kuri turto vertinimo ataskaitą paskelbia savo interneto svetainėje.</w:t>
      </w:r>
    </w:p>
    <w:p w14:paraId="483C3482" w14:textId="5B85E4F5">
      <w:pPr>
        <w:tabs>
          <w:tab w:val="left" w:pos="1418"/>
        </w:tabs>
        <w:spacing w:line="259" w:lineRule="auto"/>
        <w:ind w:firstLine="682"/>
        <w:jc w:val="both"/>
        <w:rPr>
          <w:rFonts w:eastAsia="Calibri"/>
          <w:szCs w:val="24"/>
        </w:rPr>
      </w:pPr>
      <w:r>
        <w:rPr>
          <w:rFonts w:eastAsia="Calibri"/>
          <w:szCs w:val="24"/>
          <w:lang w:eastAsia="lt-LT"/>
        </w:rPr>
        <w:t xml:space="preserve">Nepriklausomo turto vertintojo </w:t>
      </w:r>
      <w:r>
        <w:rPr>
          <w:rFonts w:eastAsia="Calibri"/>
          <w:szCs w:val="24"/>
        </w:rPr>
        <w:t xml:space="preserve">uždarosios akcinės bendrovės „Matininkai“ 2021-12-07 atlikta nekilnojamojo turto vertinimo ataskaitą Nr.40A‘0-2112-0090, Audito, apskaitos, turto vertinimo ir nemokumo valdymo tarnybos prie Lietuvos Respublikos finansų ministerijos interneto svetainėje patalpinta  2022-01-26. Nuoroda internete: </w:t>
      </w:r>
      <w:r>
        <w:rPr>
          <w:rFonts w:eastAsia="Calibri"/>
          <w:color w:val="0000FF"/>
          <w:szCs w:val="24"/>
          <w:u w:val="single"/>
        </w:rPr>
        <w:t>https://avnt.lrv.lt/uploads/avnt/documents/files/Vertinimo%20ataskaita%20NT%2021-09-65.pdf</w:t>
      </w:r>
    </w:p>
    <w:p w14:paraId="657AE70B" w14:textId="58A83669">
      <w:pPr>
        <w:widowControl w:val="0"/>
        <w:suppressAutoHyphens/>
        <w:ind w:firstLine="720"/>
        <w:jc w:val="both"/>
        <w:rPr>
          <w:szCs w:val="24"/>
        </w:rPr>
      </w:pPr>
    </w:p>
    <w:p w14:paraId="657AE70F" w14:textId="77777777">
      <w:pPr>
        <w:suppressAutoHyphens/>
        <w:ind w:firstLine="720"/>
        <w:rPr>
          <w:b/>
          <w:szCs w:val="24"/>
          <w:lang w:eastAsia="ar-SA"/>
        </w:rPr>
      </w:pPr>
      <w:r>
        <w:rPr>
          <w:b/>
          <w:szCs w:val="24"/>
          <w:lang w:eastAsia="ar-SA"/>
        </w:rPr>
        <w:t>Dabartinis sprendimo projekte aptariamų klausimų reguliavimas.</w:t>
      </w:r>
    </w:p>
    <w:p w14:paraId="4D27D9B4" w14:textId="31CDAC8E">
      <w:pPr>
        <w:ind w:firstLine="709"/>
        <w:jc w:val="both"/>
        <w:rPr>
          <w:b/>
          <w:sz w:val="16"/>
          <w:szCs w:val="16"/>
        </w:rPr>
      </w:pPr>
      <w:r>
        <w:rPr>
          <w:color w:val="000000"/>
          <w:szCs w:val="24"/>
        </w:rPr>
        <w:t xml:space="preserve">Sprendimo projekte aptariami klausimai reguliuojami Lietuvos Respublikos vietos savivaldos įstatymo 16 straipsnio 2 dalies 26 punktu ir 48 straipsnio 2 dalimi, </w:t>
      </w:r>
      <w:r>
        <w:rPr>
          <w:rFonts w:eastAsia="Lucida Sans Unicode" w:cs="Tahoma"/>
          <w:color w:val="000000"/>
          <w:szCs w:val="24"/>
        </w:rPr>
        <w:t>Lietuvos Respublikos akcinių bendrovių įstatymo 20 straipsnio 1 dalies 18 punktu, 45, 45</w:t>
      </w:r>
      <w:r>
        <w:rPr>
          <w:rFonts w:eastAsia="Lucida Sans Unicode" w:cs="Tahoma"/>
          <w:color w:val="000000"/>
          <w:szCs w:val="24"/>
          <w:vertAlign w:val="superscript"/>
        </w:rPr>
        <w:t>1,</w:t>
      </w:r>
      <w:r>
        <w:rPr>
          <w:rFonts w:eastAsia="Lucida Sans Unicode" w:cs="Tahoma"/>
          <w:color w:val="000000"/>
          <w:szCs w:val="24"/>
        </w:rPr>
        <w:t xml:space="preserve"> 49 ir 50 straipsniais, </w:t>
      </w:r>
      <w:r>
        <w:rPr>
          <w:color w:val="000000"/>
          <w:szCs w:val="24"/>
        </w:rPr>
        <w:t xml:space="preserve">Lietuvos Respublikos valstybės ir savivaldybių turto valdymo, naudojimo ir disponavimo juo įstatymo 22, 23 straipsniais, Lietuvos Respublikos Vyriausybės 2007 m. liepos 4 d. nutarimu Nr. 758 „Dėl Sprendimo investuoti valstybės ir savivaldybių turtą priėmimo tvarkos aprašo patvirtinimo“, </w:t>
      </w:r>
      <w:r>
        <w:rPr>
          <w:rFonts w:eastAsia="Lucida Sans Unicode" w:cs="Tahoma"/>
          <w:color w:val="000000"/>
          <w:szCs w:val="24"/>
        </w:rPr>
        <w:t xml:space="preserve">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5.2.2 papunkčiu, užtikrinant </w:t>
      </w:r>
      <w:r>
        <w:rPr>
          <w:rFonts w:eastAsia="Lucida Sans Unicode" w:cs="Tahoma"/>
          <w:szCs w:val="24"/>
        </w:rPr>
        <w:t>savivaldybės funkcijų, susijusių su eismo ir visuomenės saugumu vykdymą, tinkamą gatvių apšvietimo infrastruktūros ir šviesoforų sistemų priežiūrą, atnaujinimą bei vystymą.</w:t>
      </w:r>
    </w:p>
    <w:p w14:paraId="657AE711" w14:textId="77777777">
      <w:pPr>
        <w:suppressAutoHyphens/>
        <w:ind w:firstLine="720"/>
        <w:jc w:val="both"/>
        <w:rPr>
          <w:b/>
          <w:szCs w:val="24"/>
          <w:shd w:val="clear" w:color="auto" w:fill="FFFFFF"/>
          <w:lang w:eastAsia="ar-SA"/>
        </w:rPr>
      </w:pPr>
    </w:p>
    <w:p w14:paraId="657AE712" w14:textId="77777777">
      <w:pPr>
        <w:suppressAutoHyphens/>
        <w:ind w:firstLine="720"/>
        <w:jc w:val="both"/>
        <w:rPr>
          <w:b/>
          <w:szCs w:val="24"/>
          <w:lang w:eastAsia="ar-SA"/>
        </w:rPr>
      </w:pPr>
      <w:r>
        <w:rPr>
          <w:b/>
          <w:szCs w:val="24"/>
          <w:shd w:val="clear" w:color="auto" w:fill="FFFFFF"/>
          <w:lang w:eastAsia="ar-SA"/>
        </w:rPr>
        <w:t>Sprendimo projekte numatytos naujos teisinio reglamentavimo nuostatos</w:t>
      </w:r>
      <w:r>
        <w:rPr>
          <w:b/>
          <w:szCs w:val="24"/>
          <w:lang w:eastAsia="ar-SA"/>
        </w:rPr>
        <w:t xml:space="preserve">. </w:t>
      </w:r>
    </w:p>
    <w:p w14:paraId="657AE713" w14:textId="77777777">
      <w:pPr>
        <w:ind w:firstLine="720"/>
        <w:jc w:val="both"/>
        <w:rPr>
          <w:szCs w:val="24"/>
        </w:rPr>
      </w:pPr>
      <w:r>
        <w:rPr>
          <w:szCs w:val="24"/>
        </w:rPr>
        <w:t xml:space="preserve">Sprendimo projektu naujų teisinių reglamentavimo nuostatų nenumatoma. </w:t>
      </w:r>
    </w:p>
    <w:p w14:paraId="657AE714" w14:textId="77777777">
      <w:pPr>
        <w:ind w:firstLine="709"/>
        <w:jc w:val="both"/>
        <w:rPr>
          <w:b/>
          <w:sz w:val="16"/>
          <w:szCs w:val="16"/>
        </w:rPr>
      </w:pPr>
    </w:p>
    <w:p w14:paraId="657AE715" w14:textId="77777777">
      <w:pPr>
        <w:ind w:firstLine="709"/>
        <w:jc w:val="both"/>
        <w:rPr>
          <w:b/>
          <w:szCs w:val="24"/>
        </w:rPr>
      </w:pPr>
      <w:r>
        <w:rPr>
          <w:b/>
          <w:szCs w:val="24"/>
          <w:shd w:val="clear" w:color="auto" w:fill="FFFFFF"/>
        </w:rPr>
        <w:t xml:space="preserve">Priėmus sprendimą, galimos pasekmės </w:t>
      </w:r>
      <w:r>
        <w:rPr>
          <w:i/>
          <w:szCs w:val="24"/>
          <w:shd w:val="clear" w:color="auto" w:fill="FFFFFF"/>
        </w:rPr>
        <w:t>(nurodomos tiek teigiamos, tiek neigiamos galimos pasekmės)</w:t>
      </w:r>
      <w:r>
        <w:rPr>
          <w:szCs w:val="24"/>
          <w:shd w:val="clear" w:color="auto" w:fill="FFFFFF"/>
        </w:rPr>
        <w:t>.</w:t>
      </w:r>
    </w:p>
    <w:p w14:paraId="657AE716" w14:textId="26C1DE37">
      <w:pPr>
        <w:ind w:firstLine="709"/>
        <w:jc w:val="both"/>
        <w:rPr>
          <w:szCs w:val="24"/>
        </w:rPr>
      </w:pPr>
      <w:r>
        <w:rPr>
          <w:bCs/>
          <w:szCs w:val="24"/>
        </w:rPr>
        <w:t xml:space="preserve">Priėmus sprendimą </w:t>
      </w:r>
      <w:r>
        <w:rPr>
          <w:bCs/>
          <w:i/>
          <w:szCs w:val="24"/>
        </w:rPr>
        <w:t>teigiamos pasekmės</w:t>
      </w:r>
      <w:r>
        <w:rPr>
          <w:bCs/>
          <w:szCs w:val="24"/>
        </w:rPr>
        <w:t xml:space="preserve"> – bus užtikrinamas viešasis interesas ir savivaldybės funkcijų, susijusių su eismo ir visuomenės saugumu, įgyvendinimas, tinkamas šviesoforų funkcionavimas, priežiūra, atnaujinimas ir vystymas.</w:t>
      </w:r>
    </w:p>
    <w:p w14:paraId="657AE717" w14:textId="77777777">
      <w:pPr>
        <w:ind w:firstLine="720"/>
        <w:jc w:val="both"/>
        <w:rPr>
          <w:b/>
          <w:szCs w:val="24"/>
          <w:shd w:val="clear" w:color="auto" w:fill="FFFFFF"/>
          <w:lang w:eastAsia="lt-LT"/>
        </w:rPr>
      </w:pPr>
    </w:p>
    <w:p w14:paraId="657AE718" w14:textId="77777777">
      <w:pPr>
        <w:ind w:firstLine="720"/>
        <w:jc w:val="both"/>
        <w:rPr>
          <w:bCs/>
          <w:szCs w:val="24"/>
        </w:rPr>
      </w:pPr>
      <w:r>
        <w:rPr>
          <w:b/>
          <w:szCs w:val="24"/>
          <w:shd w:val="clear" w:color="auto" w:fill="FFFFFF"/>
          <w:lang w:eastAsia="lt-LT"/>
        </w:rPr>
        <w:t>Priėmus sprendimą, keičiami ar pripažįstami negaliojančiais teisės aktai</w:t>
      </w:r>
      <w:r>
        <w:rPr>
          <w:b/>
          <w:szCs w:val="24"/>
          <w:lang w:eastAsia="lt-LT"/>
        </w:rPr>
        <w:t>.</w:t>
      </w:r>
    </w:p>
    <w:p w14:paraId="657AE719" w14:textId="77777777">
      <w:pPr>
        <w:widowControl w:val="0"/>
        <w:spacing w:line="200" w:lineRule="atLeast"/>
        <w:ind w:right="-81" w:firstLine="709"/>
        <w:rPr>
          <w:rFonts w:eastAsia="Lucida Sans Unicode"/>
        </w:rPr>
      </w:pPr>
      <w:r>
        <w:rPr>
          <w:rFonts w:eastAsia="Lucida Sans Unicode"/>
        </w:rPr>
        <w:t>Priėmus sprendimą keičiamų ar pripažįstamų negaliojančiais teisės aktų nėra.</w:t>
      </w:r>
    </w:p>
    <w:p w14:paraId="657AE71A" w14:textId="77777777">
      <w:pPr>
        <w:widowControl w:val="0"/>
        <w:spacing w:line="200" w:lineRule="atLeast"/>
        <w:ind w:right="-81" w:firstLine="709"/>
        <w:rPr>
          <w:rFonts w:eastAsia="Lucida Sans Unicode"/>
          <w:b/>
          <w:bCs/>
          <w:sz w:val="16"/>
          <w:szCs w:val="16"/>
        </w:rPr>
      </w:pPr>
    </w:p>
    <w:p w14:paraId="657AE71B" w14:textId="77777777">
      <w:pPr>
        <w:ind w:firstLine="720"/>
        <w:jc w:val="both"/>
        <w:rPr>
          <w:bCs/>
          <w:szCs w:val="24"/>
        </w:rPr>
      </w:pPr>
      <w:r>
        <w:rPr>
          <w:b/>
          <w:szCs w:val="24"/>
          <w:lang w:eastAsia="lt-LT"/>
        </w:rPr>
        <w:t>Sprendimui įgyvendinti reikalingi priimti papildomi teisės aktai.</w:t>
      </w:r>
    </w:p>
    <w:p w14:paraId="657AE71C" w14:textId="77777777">
      <w:pPr>
        <w:ind w:firstLine="720"/>
        <w:jc w:val="both"/>
        <w:rPr>
          <w:szCs w:val="24"/>
        </w:rPr>
      </w:pPr>
      <w:r>
        <w:rPr>
          <w:szCs w:val="24"/>
        </w:rPr>
        <w:t>Papildomų teisės aktų sprendimo įgyvendinimui priimti nereikia.</w:t>
      </w:r>
    </w:p>
    <w:p w14:paraId="657AE71D" w14:textId="77777777">
      <w:pPr>
        <w:ind w:firstLine="720"/>
        <w:jc w:val="both"/>
        <w:rPr>
          <w:b/>
          <w:szCs w:val="24"/>
          <w:shd w:val="clear" w:color="auto" w:fill="FFFFFF"/>
          <w:lang w:eastAsia="lt-LT"/>
        </w:rPr>
      </w:pPr>
    </w:p>
    <w:p w14:paraId="657AE71E" w14:textId="77777777">
      <w:pPr>
        <w:ind w:firstLine="720"/>
        <w:jc w:val="both"/>
        <w:rPr>
          <w:bCs/>
          <w:szCs w:val="24"/>
        </w:rPr>
      </w:pPr>
      <w:r>
        <w:rPr>
          <w:b/>
          <w:szCs w:val="24"/>
          <w:shd w:val="clear" w:color="auto" w:fill="FFFFFF"/>
          <w:lang w:eastAsia="lt-LT"/>
        </w:rPr>
        <w:t>Sprendimui įgyvendinti reikalingos lėšos</w:t>
      </w:r>
      <w:r>
        <w:rPr>
          <w:i/>
          <w:szCs w:val="24"/>
          <w:shd w:val="clear" w:color="auto" w:fill="FFFFFF"/>
          <w:lang w:eastAsia="lt-LT"/>
        </w:rPr>
        <w:t xml:space="preserve"> (nurodoma, kiek biudžeto lėšų pareikalaus ar leis sutaupyti sprendimo įgyvendinimas)</w:t>
      </w:r>
      <w:r>
        <w:rPr>
          <w:szCs w:val="24"/>
          <w:shd w:val="clear" w:color="auto" w:fill="FFFFFF"/>
          <w:lang w:eastAsia="lt-LT"/>
        </w:rPr>
        <w:t xml:space="preserve">. </w:t>
      </w:r>
    </w:p>
    <w:p w14:paraId="657AE71F" w14:textId="77777777">
      <w:pPr>
        <w:widowControl w:val="0"/>
        <w:spacing w:line="200" w:lineRule="atLeast"/>
        <w:ind w:right="-81" w:firstLine="720"/>
        <w:rPr>
          <w:rFonts w:eastAsia="Lucida Sans Unicode"/>
          <w:bCs/>
          <w:lang w:eastAsia="ar-SA"/>
        </w:rPr>
      </w:pPr>
      <w:r>
        <w:rPr>
          <w:rFonts w:eastAsia="Lucida Sans Unicode"/>
          <w:bCs/>
          <w:lang w:eastAsia="ar-SA"/>
        </w:rPr>
        <w:t>Sprendimui įgyvendinti papildomų lėšų nereikia.</w:t>
      </w:r>
    </w:p>
    <w:p w14:paraId="657AE720" w14:textId="77777777">
      <w:pPr>
        <w:widowControl w:val="0"/>
        <w:spacing w:line="200" w:lineRule="atLeast"/>
        <w:ind w:right="-81" w:firstLine="720"/>
        <w:rPr>
          <w:rFonts w:eastAsia="Lucida Sans Unicode"/>
          <w:b/>
          <w:sz w:val="16"/>
          <w:szCs w:val="16"/>
        </w:rPr>
      </w:pPr>
    </w:p>
    <w:p w14:paraId="657AE721" w14:textId="77777777">
      <w:pPr>
        <w:widowControl w:val="0"/>
        <w:ind w:firstLine="720"/>
        <w:jc w:val="both"/>
        <w:rPr>
          <w:rFonts w:eastAsia="HG Mincho Light J"/>
          <w:color w:val="000000"/>
          <w:szCs w:val="24"/>
          <w:shd w:val="clear" w:color="auto" w:fill="FFFFFF"/>
        </w:rPr>
      </w:pPr>
      <w:r>
        <w:rPr>
          <w:rFonts w:eastAsia="HG Mincho Light J"/>
          <w:b/>
          <w:color w:val="000000"/>
          <w:szCs w:val="24"/>
          <w:shd w:val="clear" w:color="auto" w:fill="FFFFFF"/>
        </w:rPr>
        <w:t xml:space="preserve">Sprendimo projekto antikorupcinis vertinimas </w:t>
      </w:r>
      <w:r>
        <w:rPr>
          <w:rFonts w:eastAsia="HG Mincho Light J"/>
          <w:i/>
          <w:color w:val="000000"/>
          <w:szCs w:val="24"/>
          <w:shd w:val="clear" w:color="auto" w:fill="FFFFFF"/>
        </w:rPr>
        <w:t>(jei tokį vertinimą reikia atlikti, nurodoma, kad pridedama Antikorupcinio vertinimo pažyma)</w:t>
      </w:r>
      <w:r>
        <w:rPr>
          <w:rFonts w:eastAsia="HG Mincho Light J"/>
          <w:color w:val="000000"/>
          <w:szCs w:val="24"/>
          <w:shd w:val="clear" w:color="auto" w:fill="FFFFFF"/>
        </w:rPr>
        <w:t>.</w:t>
      </w:r>
    </w:p>
    <w:p w14:paraId="657AE722" w14:textId="77777777">
      <w:pPr>
        <w:widowControl w:val="0"/>
        <w:tabs>
          <w:tab w:val="left" w:pos="0"/>
        </w:tabs>
        <w:suppressAutoHyphens/>
        <w:ind w:firstLine="720"/>
        <w:jc w:val="both"/>
        <w:rPr>
          <w:rFonts w:eastAsia="HG Mincho Light J"/>
          <w:szCs w:val="24"/>
          <w:shd w:val="clear" w:color="auto" w:fill="FFFFFF"/>
          <w:lang w:eastAsia="ar-SA"/>
        </w:rPr>
      </w:pPr>
      <w:r>
        <w:rPr>
          <w:szCs w:val="24"/>
          <w:shd w:val="clear" w:color="auto" w:fill="FFFFFF"/>
        </w:rPr>
        <w:t>Antikorupcinis vertinimas neatliktas, pažyma nepridedama.</w:t>
      </w:r>
    </w:p>
    <w:p w14:paraId="657AE723" w14:textId="77777777">
      <w:pPr>
        <w:ind w:firstLine="720"/>
        <w:jc w:val="both"/>
        <w:rPr>
          <w:b/>
          <w:szCs w:val="24"/>
          <w:shd w:val="clear" w:color="auto" w:fill="FFFFFF"/>
        </w:rPr>
      </w:pPr>
    </w:p>
    <w:p w14:paraId="657AE724" w14:textId="495948EC">
      <w:pPr>
        <w:ind w:firstLine="720"/>
        <w:jc w:val="both"/>
        <w:rPr>
          <w:b/>
          <w:szCs w:val="24"/>
        </w:rPr>
      </w:pPr>
      <w:r>
        <w:rPr>
          <w:b/>
          <w:szCs w:val="24"/>
          <w:shd w:val="clear" w:color="auto" w:fill="FFFFFF"/>
        </w:rPr>
        <w:t>Sprendimo projektą parengė</w:t>
      </w:r>
      <w:r>
        <w:rPr>
          <w:szCs w:val="24"/>
          <w:shd w:val="clear" w:color="auto" w:fill="FFFFFF"/>
        </w:rPr>
        <w:t xml:space="preserve"> Šiaulių miesto savivaldybės Ekonomikos ir investicijų skyrius. Ekonomikos ir investicijų skyriaus vedėja – Aistė Petkuvienė. Tiesioginis rengėjas – Ekonomikos ir investicijų skyriaus vyr. specialistė, Ligita Balsienė, tel. (8 41) 383434. </w:t>
      </w:r>
    </w:p>
    <w:p w14:paraId="657AE725" w14:textId="77777777">
      <w:pPr>
        <w:ind w:firstLine="720"/>
        <w:jc w:val="both"/>
        <w:rPr>
          <w:sz w:val="20"/>
        </w:rPr>
      </w:pPr>
    </w:p>
    <w:p w14:paraId="657AE726" w14:textId="77777777">
      <w:pPr>
        <w:tabs>
          <w:tab w:val="left" w:pos="855"/>
        </w:tabs>
        <w:ind w:firstLine="855"/>
        <w:jc w:val="both"/>
        <w:rPr>
          <w:szCs w:val="24"/>
          <w:shd w:val="clear" w:color="auto" w:fill="FFFFFF"/>
        </w:rPr>
      </w:pPr>
      <w:r>
        <w:rPr>
          <w:b/>
          <w:szCs w:val="24"/>
          <w:shd w:val="clear" w:color="auto" w:fill="FFFFFF"/>
        </w:rPr>
        <w:t>N</w:t>
      </w:r>
      <w:r>
        <w:rPr>
          <w:rFonts w:eastAsia="Calibri"/>
          <w:b/>
          <w:szCs w:val="24"/>
        </w:rPr>
        <w:t>umatomo teisinio reguliavimo poveikio vertinimo rezultatai</w:t>
      </w:r>
      <w:r>
        <w:rPr>
          <w:i/>
          <w:szCs w:val="24"/>
          <w:shd w:val="clear" w:color="auto" w:fill="FFFFFF"/>
        </w:rPr>
        <w:t>.</w:t>
      </w:r>
    </w:p>
    <w:p w14:paraId="657AE727" w14:textId="77777777">
      <w:pPr>
        <w:tabs>
          <w:tab w:val="left" w:pos="855"/>
        </w:tabs>
        <w:ind w:firstLine="855"/>
        <w:jc w:val="both"/>
        <w:rPr>
          <w:szCs w:val="24"/>
          <w:shd w:val="clear" w:color="auto" w:fill="FFFFFF"/>
        </w:rPr>
      </w:pPr>
      <w:r>
        <w:rPr>
          <w:szCs w:val="24"/>
          <w:shd w:val="clear" w:color="auto" w:fill="FFFFFF"/>
        </w:rPr>
        <w:t>Neatlikta ir nenumatyta.</w:t>
      </w:r>
    </w:p>
    <w:p w14:paraId="657AE728" w14:textId="77777777">
      <w:pPr>
        <w:widowControl w:val="0"/>
        <w:spacing w:line="200" w:lineRule="atLeast"/>
        <w:ind w:right="-81"/>
        <w:rPr>
          <w:rFonts w:eastAsia="Lucida Sans Unicode"/>
          <w:b/>
          <w:sz w:val="28"/>
          <w:szCs w:val="28"/>
        </w:rPr>
      </w:pPr>
    </w:p>
    <w:p w14:paraId="1040CBF8" w14:textId="77777777">
      <w:pPr>
        <w:rPr>
          <w:szCs w:val="24"/>
        </w:rPr>
      </w:pPr>
    </w:p>
    <w:p w14:paraId="7386DF48" w14:textId="77777777">
      <w:pPr>
        <w:rPr>
          <w:szCs w:val="24"/>
        </w:rPr>
      </w:pPr>
    </w:p>
    <w:p w14:paraId="657AE729" w14:textId="76C4B4F5">
      <w:pPr>
        <w:rPr>
          <w:szCs w:val="24"/>
        </w:rPr>
      </w:pPr>
      <w:r>
        <w:rPr>
          <w:szCs w:val="24"/>
        </w:rPr>
        <w:t>Ekonomikos ir investicijų skyriaus vedėja</w:t>
        <w:tab/>
        <w:t xml:space="preserve">      </w:t>
        <w:tab/>
        <w:tab/>
        <w:tab/>
        <w:tab/>
        <w:t xml:space="preserve">     Aistė Petkuvienė</w:t>
        <w:tab/>
      </w:r>
    </w:p>
    <w:p w14:paraId="657AE72A" w14:textId="77777777">
      <w:pPr>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258" w:right="746" w:bottom="1079" w:left="1800"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676EA" w14:textId="77777777">
      <w:pPr>
        <w:rPr>
          <w:szCs w:val="24"/>
          <w:lang w:val="en-GB"/>
        </w:rPr>
      </w:pPr>
      <w:r>
        <w:rPr>
          <w:szCs w:val="24"/>
          <w:lang w:val="en-GB"/>
        </w:rPr>
        <w:separator/>
      </w:r>
    </w:p>
  </w:endnote>
  <w:endnote w:type="continuationSeparator" w:id="0">
    <w:p w14:paraId="1EB5FC7E" w14:textId="77777777">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0D6" w14:textId="77777777">
    <w:pPr>
      <w:tabs>
        <w:tab w:val="center" w:pos="4819"/>
        <w:tab w:val="right" w:pos="9638"/>
      </w:tabs>
      <w:rPr>
        <w:szCs w:val="24"/>
        <w:lang w:val="en-GB"/>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95FD" w14:textId="77777777">
    <w:pPr>
      <w:tabs>
        <w:tab w:val="center" w:pos="4819"/>
        <w:tab w:val="right" w:pos="9638"/>
      </w:tabs>
      <w:rPr>
        <w:szCs w:val="24"/>
        <w:lang w:val="en-GB"/>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0F8D" w14:textId="77777777">
    <w:pPr>
      <w:tabs>
        <w:tab w:val="center" w:pos="4819"/>
        <w:tab w:val="right" w:pos="9638"/>
      </w:tabs>
      <w:rPr>
        <w:szCs w:val="24"/>
        <w:lang w:val="en-GB"/>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DFAF" w14:textId="77777777">
      <w:pPr>
        <w:rPr>
          <w:szCs w:val="24"/>
          <w:lang w:val="en-GB"/>
        </w:rPr>
      </w:pPr>
      <w:r>
        <w:rPr>
          <w:szCs w:val="24"/>
          <w:lang w:val="en-GB"/>
        </w:rPr>
        <w:separator/>
      </w:r>
    </w:p>
  </w:footnote>
  <w:footnote w:type="continuationSeparator" w:id="0">
    <w:p w14:paraId="7AFFE0D9" w14:textId="77777777">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722A" w14:textId="77777777">
    <w:pPr>
      <w:tabs>
        <w:tab w:val="center" w:pos="4819"/>
        <w:tab w:val="right" w:pos="9638"/>
      </w:tabs>
      <w:rPr>
        <w:szCs w:val="24"/>
        <w:lang w:val="en-GB"/>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E734" w14:textId="77777777">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3</w:t>
    </w:r>
    <w:r>
      <w:rPr>
        <w:szCs w:val="24"/>
        <w:lang w:val="en-GB"/>
      </w:rPr>
      <w:fldChar w:fldCharType="end"/>
    </w:r>
  </w:p>
  <w:p w14:paraId="657AE735" w14:textId="77777777">
    <w:pPr>
      <w:tabs>
        <w:tab w:val="center" w:pos="4819"/>
        <w:tab w:val="right" w:pos="9638"/>
      </w:tabs>
      <w:rPr>
        <w:szCs w:val="24"/>
        <w:lang w:val="en-GB"/>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FF7B" w14:textId="77777777">
    <w:pPr>
      <w:tabs>
        <w:tab w:val="center" w:pos="4819"/>
        <w:tab w:val="right" w:pos="9638"/>
      </w:tabs>
      <w:rPr>
        <w:szCs w:val="24"/>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AE6F0"/>
  <w15:chartTrackingRefBased/>
  <w15:docId w15:val="{4E394500-9D95-4D4B-ADD6-ACE7F3F3A3A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91052145">
      <w:bodyDiv w:val="1"/>
      <w:marLeft w:val="0"/>
      <w:marRight w:val="0"/>
      <w:marTop w:val="0"/>
      <w:marBottom w:val="0"/>
      <w:divBdr>
        <w:top w:val="none" w:sz="0" w:space="0" w:color="auto"/>
        <w:left w:val="none" w:sz="0" w:space="0" w:color="auto"/>
        <w:bottom w:val="none" w:sz="0" w:space="0" w:color="auto"/>
        <w:right w:val="none" w:sz="0" w:space="0" w:color="auto"/>
      </w:divBdr>
    </w:div>
    <w:div w:id="1115948295">
      <w:bodyDiv w:val="1"/>
      <w:marLeft w:val="0"/>
      <w:marRight w:val="0"/>
      <w:marTop w:val="0"/>
      <w:marBottom w:val="0"/>
      <w:divBdr>
        <w:top w:val="none" w:sz="0" w:space="0" w:color="auto"/>
        <w:left w:val="none" w:sz="0" w:space="0" w:color="auto"/>
        <w:bottom w:val="none" w:sz="0" w:space="0" w:color="auto"/>
        <w:right w:val="none" w:sz="0" w:space="0" w:color="auto"/>
      </w:divBdr>
      <w:divsChild>
        <w:div w:id="329256552">
          <w:marLeft w:val="0"/>
          <w:marRight w:val="0"/>
          <w:marTop w:val="0"/>
          <w:marBottom w:val="0"/>
          <w:divBdr>
            <w:top w:val="none" w:sz="0" w:space="0" w:color="auto"/>
            <w:left w:val="none" w:sz="0" w:space="0" w:color="auto"/>
            <w:bottom w:val="none" w:sz="0" w:space="0" w:color="auto"/>
            <w:right w:val="none" w:sz="0" w:space="0" w:color="auto"/>
          </w:divBdr>
        </w:div>
        <w:div w:id="817570977">
          <w:marLeft w:val="0"/>
          <w:marRight w:val="0"/>
          <w:marTop w:val="0"/>
          <w:marBottom w:val="0"/>
          <w:divBdr>
            <w:top w:val="none" w:sz="0" w:space="0" w:color="auto"/>
            <w:left w:val="none" w:sz="0" w:space="0" w:color="auto"/>
            <w:bottom w:val="none" w:sz="0" w:space="0" w:color="auto"/>
            <w:right w:val="none" w:sz="0" w:space="0" w:color="auto"/>
          </w:divBdr>
        </w:div>
        <w:div w:id="197979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9014</Characters>
  <Application>Microsoft Office Word</Application>
  <DocSecurity>4</DocSecurity>
  <Lines>147</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ADMINISTRACIJOS</vt:lpstr>
      <vt:lpstr>ŠIAULIŲ MIESTO SAVIVALDYBĖS ADMINISTRACIJOS</vt:lpstr>
    </vt:vector>
  </TitlesOfParts>
  <Company>Siauliu m.savivaldybe</Company>
  <LinksUpToDate>false</LinksUpToDate>
  <CharactersWithSpaces>10156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2022-04-12T08:44:00Z</dcterms:created>
  <dc:creator>b.bendziuviene</dc:creator>
  <lastModifiedBy>adlibuser</lastModifiedBy>
  <lastPrinted>2018-09-05T05:23:00Z</lastPrinted>
  <dcterms:modified xsi:type="dcterms:W3CDTF">2022-04-12T08:44:00Z</dcterms:modified>
  <revision>2</revision>
  <dc:title>ŠIAULIŲ MIESTO SAVIVALDYBĖS ADMINISTRACIJOS</dc:title>
</coreProperties>
</file>