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17c1f3d9f14c3eaa87bf52a0c24f96"/>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a0515dd6da2c4253b34f8978df31ad16"/>
            <w:lock w:val="sdtLocked"/>
            <w:richText/>
          </w:sdtPr>
          <w:sdtContent>
            <w:p w14:paraId="3492E400" w14:textId="77777777">
              <w:pPr>
                <w:suppressAutoHyphens/>
                <w:jc w:val="center"/>
                <w:rPr>
                  <w:b/>
                  <w:szCs w:val="22"/>
                  <w:lang w:eastAsia="lt-LT"/>
                </w:rPr>
              </w:pPr>
              <w:r>
                <w:rPr>
                  <w:b/>
                  <w:szCs w:val="22"/>
                  <w:lang w:eastAsia="lt-LT"/>
                </w:rPr>
                <w:t>TURTO VALDYMO SKYRIUS</w:t>
              </w:r>
            </w:p>
            <w:p w14:paraId="0241A407" w14:textId="77777777">
              <w:pPr>
                <w:suppressAutoHyphens/>
                <w:jc w:val="center"/>
                <w:rPr>
                  <w:b/>
                  <w:szCs w:val="22"/>
                  <w:lang w:eastAsia="lt-LT"/>
                </w:rPr>
              </w:pPr>
            </w:p>
            <w:p w14:paraId="22E0547A" w14:textId="168C2DB2">
              <w:pPr>
                <w:jc w:val="center"/>
                <w:rPr>
                  <w:b/>
                  <w:bCs/>
                  <w:szCs w:val="24"/>
                  <w:lang w:eastAsia="lt-LT"/>
                </w:rPr>
              </w:pPr>
              <w:sdt>
                <w:sdtPr>
                  <w:alias w:val="Pavadinimas"/>
                  <w:tag w:val="title_a0515dd6da2c4253b34f8978df31ad16"/>
                  <w:lock w:val="sdtLocked"/>
                  <w:richText/>
                </w:sdtPr>
                <w:sdtContent>
                  <w:r>
                    <w:rPr>
                      <w:b/>
                      <w:bCs/>
                      <w:szCs w:val="24"/>
                      <w:lang w:eastAsia="lt-LT"/>
                    </w:rPr>
                    <w:t>SPRENDIMO „</w:t>
                  </w:r>
                  <w:r>
                    <w:rPr>
                      <w:rFonts w:eastAsia="HG Mincho Light J"/>
                      <w:b/>
                      <w:bCs/>
                      <w:color w:val="000000"/>
                      <w:szCs w:val="24"/>
                      <w:lang w:eastAsia="lt-LT"/>
                    </w:rPr>
                    <w:t xml:space="preserve">DĖL TURTO PERDAVIMO SAVIVALDYBĖS BIUDŽETINEI ĮSTAIGAI </w:t>
                  </w:r>
                  <w:r>
                    <w:rPr>
                      <w:b/>
                      <w:bCs/>
                      <w:szCs w:val="24"/>
                      <w:lang w:eastAsia="lt-LT"/>
                    </w:rPr>
                    <w:t>K</w:t>
                  </w:r>
                  <w:r>
                    <w:rPr>
                      <w:rFonts w:eastAsia="HG Mincho Light J"/>
                      <w:b/>
                      <w:bCs/>
                      <w:szCs w:val="24"/>
                      <w:lang w:eastAsia="lt-LT"/>
                    </w:rPr>
                    <w:t>OMPLEKSINIŲ PASLAUGŲ NAMA</w:t>
                  </w:r>
                  <w:r>
                    <w:rPr>
                      <w:b/>
                      <w:bCs/>
                      <w:szCs w:val="24"/>
                      <w:lang w:eastAsia="lt-LT"/>
                    </w:rPr>
                    <w:t>MS</w:t>
                  </w:r>
                  <w:r>
                    <w:rPr>
                      <w:rFonts w:eastAsia="HG Mincho Light J"/>
                      <w:b/>
                      <w:bCs/>
                      <w:szCs w:val="24"/>
                      <w:lang w:eastAsia="lt-LT"/>
                    </w:rPr>
                    <w:t xml:space="preserve"> </w:t>
                  </w:r>
                  <w:r>
                    <w:rPr>
                      <w:b/>
                      <w:bCs/>
                      <w:szCs w:val="24"/>
                      <w:lang w:eastAsia="lt-LT"/>
                    </w:rPr>
                    <w:t>„</w:t>
                  </w:r>
                  <w:r>
                    <w:rPr>
                      <w:rFonts w:eastAsia="HG Mincho Light J"/>
                      <w:b/>
                      <w:bCs/>
                      <w:szCs w:val="24"/>
                      <w:lang w:eastAsia="lt-LT"/>
                    </w:rPr>
                    <w:t>ALKA“</w:t>
                  </w:r>
                  <w:r>
                    <w:rPr>
                      <w:rFonts w:eastAsia="HG Mincho Light J"/>
                      <w:b/>
                      <w:bCs/>
                      <w:color w:val="000000"/>
                      <w:szCs w:val="24"/>
                      <w:lang w:eastAsia="lt-LT"/>
                    </w:rPr>
                    <w:t xml:space="preserve"> </w:t>
                  </w:r>
                  <w:r>
                    <w:rPr>
                      <w:b/>
                      <w:bCs/>
                      <w:szCs w:val="24"/>
                      <w:shd w:val="clear" w:color="auto" w:fill="FFFFFF"/>
                      <w:lang w:eastAsia="lt-LT"/>
                    </w:rPr>
                    <w:t>PATIKĖJIMO TEISE</w:t>
                  </w:r>
                  <w:r>
                    <w:rPr>
                      <w:b/>
                      <w:bCs/>
                      <w:szCs w:val="24"/>
                      <w:lang w:eastAsia="lt-LT"/>
                    </w:rPr>
                    <w:t>“ PROJEKTO</w:t>
                  </w:r>
                </w:sdtContent>
              </w:sdt>
            </w:p>
            <w:p w14:paraId="111E9603" w14:textId="77777777">
              <w:pPr>
                <w:suppressAutoHyphens/>
                <w:jc w:val="center"/>
                <w:rPr>
                  <w:b/>
                  <w:szCs w:val="22"/>
                  <w:lang w:eastAsia="lt-LT"/>
                </w:rPr>
              </w:pPr>
            </w:p>
            <w:sdt>
              <w:sdtPr>
                <w:alias w:val="poskyris"/>
                <w:tag w:val="part_44725a5ba35b4ec78c8c2a01b07f12cf"/>
                <w:lock w:val="sdtLocked"/>
                <w:richText/>
              </w:sdtPr>
              <w:sdtContent>
                <w:p w14:paraId="5268FF2F" w14:textId="5121F52E">
                  <w:pPr>
                    <w:tabs>
                      <w:tab w:val="left" w:pos="2504"/>
                    </w:tabs>
                    <w:suppressAutoHyphens/>
                    <w:jc w:val="center"/>
                    <w:rPr>
                      <w:b/>
                      <w:szCs w:val="22"/>
                      <w:lang w:eastAsia="lt-LT"/>
                    </w:rPr>
                  </w:pPr>
                  <w:sdt>
                    <w:sdtPr>
                      <w:alias w:val="Pavadinimas"/>
                      <w:tag w:val="title_44725a5ba35b4ec78c8c2a01b07f12cf"/>
                      <w:lock w:val="sdtLocked"/>
                      <w:richText/>
                    </w:sdtPr>
                    <w:sdtContent>
                      <w:r>
                        <w:rPr>
                          <w:b/>
                          <w:szCs w:val="22"/>
                          <w:lang w:eastAsia="lt-LT"/>
                        </w:rPr>
                        <w:t>AIŠKINAMASIS RAŠTAS</w:t>
                      </w:r>
                    </w:sdtContent>
                  </w:sdt>
                </w:p>
                <w:p w14:paraId="211288BD" w14:textId="7F34D208">
                  <w:pPr>
                    <w:suppressAutoHyphens/>
                    <w:jc w:val="center"/>
                    <w:rPr>
                      <w:szCs w:val="22"/>
                      <w:lang w:eastAsia="lt-LT"/>
                    </w:rPr>
                  </w:pPr>
                  <w:r>
                    <w:rPr>
                      <w:szCs w:val="22"/>
                      <w:lang w:eastAsia="lt-LT"/>
                    </w:rPr>
                    <w:t>2024-09-09</w:t>
                  </w:r>
                </w:p>
                <w:p w14:paraId="5F148C41" w14:textId="77777777">
                  <w:pPr>
                    <w:suppressAutoHyphens/>
                    <w:jc w:val="center"/>
                    <w:rPr>
                      <w:szCs w:val="22"/>
                      <w:lang w:eastAsia="lt-LT"/>
                    </w:rPr>
                  </w:pPr>
                  <w:r>
                    <w:rPr>
                      <w:szCs w:val="22"/>
                      <w:lang w:eastAsia="lt-LT"/>
                    </w:rPr>
                    <w:t>Šiauliai</w:t>
                  </w:r>
                </w:p>
                <w:p w14:paraId="32559266" w14:textId="77777777">
                  <w:pPr>
                    <w:suppressAutoHyphens/>
                    <w:jc w:val="center"/>
                    <w:rPr>
                      <w:szCs w:val="22"/>
                      <w:lang w:eastAsia="lt-LT"/>
                    </w:rPr>
                  </w:pPr>
                </w:p>
              </w:sdtContent>
            </w:sdt>
            <w:sdt>
              <w:sdtPr>
                <w:alias w:val="poskyris"/>
                <w:tag w:val="part_757aeac19d34432f8ed271a5c304d70f"/>
                <w:lock w:val="sdtLocked"/>
                <w:richText/>
              </w:sdtPr>
              <w:sdtContent>
                <w:p w14:paraId="302C538A" w14:textId="1DD3D2B5">
                  <w:pPr>
                    <w:suppressAutoHyphens/>
                    <w:ind w:firstLine="709"/>
                    <w:rPr>
                      <w:b/>
                      <w:szCs w:val="22"/>
                      <w:lang w:eastAsia="lt-LT"/>
                    </w:rPr>
                  </w:pPr>
                  <w:sdt>
                    <w:sdtPr>
                      <w:alias w:val="Pavadinimas"/>
                      <w:tag w:val="title_757aeac19d34432f8ed271a5c304d70f"/>
                      <w:lock w:val="sdtLocked"/>
                      <w:richText/>
                    </w:sdtPr>
                    <w:sdtContent>
                      <w:r>
                        <w:rPr>
                          <w:b/>
                          <w:szCs w:val="22"/>
                          <w:lang w:eastAsia="lt-LT"/>
                        </w:rPr>
                        <w:t>Parengto sprendimo projekto tikslai ir uždaviniai:</w:t>
                      </w:r>
                    </w:sdtContent>
                  </w:sdt>
                </w:p>
                <w:p w14:paraId="28E54A53" w14:textId="69D8CB44">
                  <w:pPr>
                    <w:ind w:firstLine="709"/>
                    <w:jc w:val="both"/>
                    <w:rPr>
                      <w:szCs w:val="24"/>
                      <w:lang w:eastAsia="lt-LT"/>
                    </w:rPr>
                  </w:pPr>
                  <w:r>
                    <w:rPr>
                      <w:szCs w:val="24"/>
                      <w:lang w:eastAsia="lt-LT"/>
                    </w:rPr>
                    <w:t xml:space="preserve">Perduoti </w:t>
                  </w:r>
                  <w:r>
                    <w:rPr>
                      <w:bCs/>
                      <w:szCs w:val="24"/>
                      <w:lang w:eastAsia="lt-LT"/>
                    </w:rPr>
                    <w:t>k</w:t>
                  </w:r>
                  <w:r>
                    <w:rPr>
                      <w:rFonts w:eastAsia="HG Mincho Light J"/>
                      <w:bCs/>
                      <w:szCs w:val="24"/>
                      <w:lang w:eastAsia="lt-LT"/>
                    </w:rPr>
                    <w:t>ompleksinių paslaugų nama</w:t>
                  </w:r>
                  <w:r>
                    <w:rPr>
                      <w:bCs/>
                      <w:szCs w:val="24"/>
                      <w:lang w:eastAsia="lt-LT"/>
                    </w:rPr>
                    <w:t>ms</w:t>
                  </w:r>
                  <w:r>
                    <w:rPr>
                      <w:rFonts w:eastAsia="HG Mincho Light J"/>
                      <w:bCs/>
                      <w:szCs w:val="24"/>
                      <w:lang w:eastAsia="lt-LT"/>
                    </w:rPr>
                    <w:t xml:space="preserve"> </w:t>
                  </w:r>
                  <w:r>
                    <w:rPr>
                      <w:bCs/>
                      <w:szCs w:val="24"/>
                      <w:lang w:eastAsia="lt-LT"/>
                    </w:rPr>
                    <w:t>„</w:t>
                  </w:r>
                  <w:r>
                    <w:rPr>
                      <w:rFonts w:eastAsia="HG Mincho Light J"/>
                      <w:bCs/>
                      <w:szCs w:val="24"/>
                      <w:lang w:eastAsia="lt-LT"/>
                    </w:rPr>
                    <w:t xml:space="preserve">Alka“ Šiaulių miesto </w:t>
                  </w:r>
                  <w:r>
                    <w:rPr>
                      <w:szCs w:val="24"/>
                      <w:shd w:val="clear" w:color="auto" w:fill="FFFFFF"/>
                      <w:lang w:eastAsia="lt-LT"/>
                    </w:rPr>
                    <w:t xml:space="preserve">savivaldybei nuosavybės teise priklausantį nekilnojamąjį turtą </w:t>
                  </w:r>
                  <w:r>
                    <w:rPr>
                      <w:rFonts w:eastAsia="HG Mincho Light J"/>
                      <w:color w:val="000000"/>
                      <w:szCs w:val="24"/>
                      <w:lang w:eastAsia="lt-LT"/>
                    </w:rPr>
                    <w:t>valdyti, naudoti ir disponuoti juo patikėjimo teise.</w:t>
                  </w:r>
                </w:p>
              </w:sdtContent>
            </w:sdt>
            <w:sdt>
              <w:sdtPr>
                <w:alias w:val="poskyris"/>
                <w:tag w:val="part_e869046155c741f49d53c689bd870d89"/>
                <w:lock w:val="sdtLocked"/>
                <w:richText/>
              </w:sdtPr>
              <w:sdtContent>
                <w:p w14:paraId="15892851" w14:textId="222B00F0">
                  <w:pPr>
                    <w:spacing w:line="259" w:lineRule="auto"/>
                    <w:ind w:firstLine="709"/>
                    <w:jc w:val="both"/>
                    <w:rPr>
                      <w:rFonts w:eastAsia="Lucida Sans Unicode"/>
                      <w:szCs w:val="24"/>
                      <w:lang w:eastAsia="ar-SA"/>
                    </w:rPr>
                  </w:pPr>
                  <w:sdt>
                    <w:sdtPr>
                      <w:alias w:val="Pavadinimas"/>
                      <w:tag w:val="title_e869046155c741f49d53c689bd870d89"/>
                      <w:lock w:val="sdtLocked"/>
                      <w:richText/>
                    </w:sdtPr>
                    <w:sdtContent>
                      <w:r>
                        <w:rPr>
                          <w:b/>
                          <w:szCs w:val="24"/>
                          <w:lang w:eastAsia="lt-LT"/>
                        </w:rPr>
                        <w:t>Dabartinis sprendimo projekte aptariamų klausimų reguliavimas.</w:t>
                      </w:r>
                    </w:sdtContent>
                  </w:sdt>
                </w:p>
                <w:p w14:paraId="5DD8AF13" w14:textId="77777777">
                  <w:pPr>
                    <w:tabs>
                      <w:tab w:val="left" w:pos="0"/>
                    </w:tabs>
                    <w:ind w:firstLine="720"/>
                    <w:jc w:val="both"/>
                    <w:rPr>
                      <w:szCs w:val="24"/>
                      <w:lang w:eastAsia="lt-LT"/>
                    </w:rPr>
                  </w:pPr>
                  <w:r>
                    <w:rPr>
                      <w:szCs w:val="24"/>
                      <w:lang w:eastAsia="lt-LT"/>
                    </w:rPr>
                    <w:t xml:space="preserve">Sprendimo projektas parengtas vadovaujantis Lietuvos Respublikos valstybės ir savivaldybių turto valdymo, naudojimo ir disponavimo juo įstatymu (toliau – Įstatymas). Įstatymo 8 straipsnio 1 dalies 2 punkte nustatyta, kad savivaldybių institucijos, įmonės, įstaigos ir organizacijos savivaldybių turtą valdo, naudoja ir juo disponuoja patikėjimo teise. Įstatymo 12 straipsnio 1 dalyje numatyta, kad </w:t>
                  </w:r>
                  <w:r>
                    <w:rPr>
                      <w:color w:val="000000"/>
                      <w:szCs w:val="24"/>
                      <w:shd w:val="clear" w:color="auto" w:fill="FFFFFF"/>
                      <w:lang w:eastAsia="lt-LT"/>
                    </w:rPr>
                    <w:t>s</w:t>
                  </w:r>
                  <w:r>
                    <w:rPr>
                      <w:szCs w:val="24"/>
                      <w:lang w:eastAsia="lt-LT"/>
                    </w:rPr>
                    <w:t xml:space="preserve">avivaldybei nuosavybės teise priklausančio turto savininko funkcijas, vadovaudamosi įstatymais, įgyvendina savivaldybių tarybos. Savivaldybei nuosavybės teise priklausantis turtas patikėjimo teise valdyti, naudoti ir disponuoti juo perduodamas savivaldybės tarybos nustatyta tvarka. </w:t>
                  </w:r>
                  <w:r>
                    <w:rPr>
                      <w:color w:val="000000"/>
                      <w:szCs w:val="24"/>
                      <w:shd w:val="clear" w:color="auto" w:fill="FFFFFF"/>
                      <w:lang w:eastAsia="de-DE" w:bidi="de-DE"/>
                    </w:rPr>
                    <w:t xml:space="preserve">Šiaulių miesto savivaldybės tarybos </w:t>
                  </w:r>
                  <w:r>
                    <w:rPr>
                      <w:szCs w:val="24"/>
                      <w:shd w:val="clear" w:color="auto" w:fill="FFFFFF"/>
                      <w:lang w:eastAsia="de-DE" w:bidi="de-DE"/>
                    </w:rPr>
                    <w:t>2021 m. gruodžio 23 d. sprendimu Nr. T-496 „</w:t>
                  </w:r>
                  <w:r>
                    <w:rPr>
                      <w:szCs w:val="24"/>
                      <w:lang w:eastAsia="lt-LT"/>
                    </w:rPr>
                    <w:t xml:space="preserve">Dėl Šiaulių miesto savivaldybės turto valdymo, naudojimo ir disponavimo juo tvarkos aprašo patvirtinimo“ </w:t>
                  </w:r>
                  <w:r>
                    <w:rPr>
                      <w:color w:val="000000"/>
                      <w:szCs w:val="24"/>
                      <w:shd w:val="clear" w:color="auto" w:fill="FFFFFF"/>
                      <w:lang w:eastAsia="de-DE" w:bidi="de-DE"/>
                    </w:rPr>
                    <w:t xml:space="preserve">patvirtintas </w:t>
                  </w:r>
                  <w:r>
                    <w:rPr>
                      <w:rFonts w:eastAsia="HG Mincho Light J"/>
                      <w:color w:val="000000"/>
                      <w:szCs w:val="24"/>
                      <w:lang w:eastAsia="lt-LT"/>
                    </w:rPr>
                    <w:t xml:space="preserve">Šiaulių miesto savivaldybės </w:t>
                  </w:r>
                  <w:r>
                    <w:rPr>
                      <w:szCs w:val="24"/>
                      <w:shd w:val="clear" w:color="auto" w:fill="FFFFFF"/>
                      <w:lang w:eastAsia="de-DE" w:bidi="de-DE"/>
                    </w:rPr>
                    <w:t xml:space="preserve">turto valdymo, naudojimo ir disponavimo juo tvarkos aprašas </w:t>
                  </w:r>
                  <w:r>
                    <w:rPr>
                      <w:kern w:val="2"/>
                      <w:szCs w:val="24"/>
                      <w:shd w:val="clear" w:color="auto" w:fill="FFFFFF"/>
                      <w:lang w:eastAsia="lt-LT"/>
                    </w:rPr>
                    <w:t>reglamentuoja Šiaulių miesto savivaldybei nuosavybės teise priklausančio turto perdavimo sąlygas ir tvarką</w:t>
                  </w:r>
                  <w:r>
                    <w:rPr>
                      <w:szCs w:val="24"/>
                      <w:lang w:eastAsia="lt-LT"/>
                    </w:rPr>
                    <w:t>.</w:t>
                  </w:r>
                </w:p>
                <w:p w14:paraId="1FB88071" w14:textId="3A1CB6A5">
                  <w:pPr>
                    <w:tabs>
                      <w:tab w:val="left" w:pos="0"/>
                    </w:tabs>
                    <w:ind w:firstLine="720"/>
                    <w:jc w:val="both"/>
                    <w:rPr>
                      <w:szCs w:val="24"/>
                      <w:lang w:eastAsia="lt-LT"/>
                    </w:rPr>
                  </w:pPr>
                  <w:r>
                    <w:rPr>
                      <w:szCs w:val="24"/>
                      <w:lang w:eastAsia="lt-LT"/>
                    </w:rPr>
                    <w:t xml:space="preserve">Teikiamu Tarybos sprendimo projektu siūloma perduoti </w:t>
                  </w:r>
                  <w:r>
                    <w:rPr>
                      <w:bCs/>
                      <w:szCs w:val="24"/>
                      <w:lang w:eastAsia="lt-LT"/>
                    </w:rPr>
                    <w:t>k</w:t>
                  </w:r>
                  <w:r>
                    <w:rPr>
                      <w:rFonts w:eastAsia="HG Mincho Light J"/>
                      <w:bCs/>
                      <w:szCs w:val="24"/>
                      <w:lang w:eastAsia="lt-LT"/>
                    </w:rPr>
                    <w:t>ompleksinių paslaugų nama</w:t>
                  </w:r>
                  <w:r>
                    <w:rPr>
                      <w:bCs/>
                      <w:szCs w:val="24"/>
                      <w:lang w:eastAsia="lt-LT"/>
                    </w:rPr>
                    <w:t>ms</w:t>
                  </w:r>
                  <w:r>
                    <w:rPr>
                      <w:rFonts w:eastAsia="HG Mincho Light J"/>
                      <w:bCs/>
                      <w:szCs w:val="24"/>
                      <w:lang w:eastAsia="lt-LT"/>
                    </w:rPr>
                    <w:t xml:space="preserve"> </w:t>
                  </w:r>
                  <w:r>
                    <w:rPr>
                      <w:bCs/>
                      <w:szCs w:val="24"/>
                      <w:lang w:eastAsia="lt-LT"/>
                    </w:rPr>
                    <w:t>„</w:t>
                  </w:r>
                  <w:r>
                    <w:rPr>
                      <w:rFonts w:eastAsia="HG Mincho Light J"/>
                      <w:bCs/>
                      <w:szCs w:val="24"/>
                      <w:lang w:eastAsia="lt-LT"/>
                    </w:rPr>
                    <w:t xml:space="preserve">Alka“ </w:t>
                  </w:r>
                  <w:r>
                    <w:rPr>
                      <w:szCs w:val="24"/>
                      <w:shd w:val="clear" w:color="auto" w:fill="FFFFFF"/>
                      <w:lang w:eastAsia="lt-LT"/>
                    </w:rPr>
                    <w:t xml:space="preserve">savivaldybei nuosavybės teise priklausantį turtą </w:t>
                  </w:r>
                  <w:r>
                    <w:rPr>
                      <w:rFonts w:eastAsia="HG Mincho Light J"/>
                      <w:color w:val="000000"/>
                      <w:szCs w:val="24"/>
                      <w:lang w:eastAsia="lt-LT"/>
                    </w:rPr>
                    <w:t xml:space="preserve">valdyti, naudoti ir disponuoti juo patikėjimo teise. </w:t>
                  </w:r>
                  <w:r>
                    <w:rPr>
                      <w:szCs w:val="24"/>
                      <w:lang w:eastAsia="lt-LT"/>
                    </w:rPr>
                    <w:t xml:space="preserve">Turtas sukurtas įgyvendinant iš Europos Sąjungos struktūrinių fondų lėšų bendrai finansuojamo projekto </w:t>
                  </w:r>
                  <w:r>
                    <w:rPr>
                      <w:szCs w:val="24"/>
                      <w:shd w:val="clear" w:color="auto" w:fill="FFFFFF"/>
                      <w:lang w:eastAsia="lt-LT"/>
                    </w:rPr>
                    <w:t>Nr. 08.1.1-CPVA-V-427-15-0005 „Bendruomeninių apgyvendinimo bei užimtumo paslaugų asmenims su proto ir psichikos negalia plėtra Šiaulių mieste“</w:t>
                  </w:r>
                  <w:r>
                    <w:rPr>
                      <w:szCs w:val="24"/>
                      <w:lang w:eastAsia="lt-LT"/>
                    </w:rPr>
                    <w:t xml:space="preserve"> veiklas. Šiaulių miesto savivaldybės administracija rangos būdu</w:t>
                  </w:r>
                  <w:r>
                    <w:rPr>
                      <w:bCs/>
                      <w:szCs w:val="24"/>
                      <w:lang w:eastAsia="lt-LT"/>
                    </w:rPr>
                    <w:t xml:space="preserve"> k</w:t>
                  </w:r>
                  <w:r>
                    <w:rPr>
                      <w:rFonts w:eastAsia="HG Mincho Light J"/>
                      <w:bCs/>
                      <w:szCs w:val="24"/>
                      <w:lang w:eastAsia="lt-LT"/>
                    </w:rPr>
                    <w:t>ompleksinių paslaugų nama</w:t>
                  </w:r>
                  <w:r>
                    <w:rPr>
                      <w:bCs/>
                      <w:szCs w:val="24"/>
                      <w:lang w:eastAsia="lt-LT"/>
                    </w:rPr>
                    <w:t>ms</w:t>
                  </w:r>
                  <w:r>
                    <w:rPr>
                      <w:rFonts w:eastAsia="HG Mincho Light J"/>
                      <w:bCs/>
                      <w:szCs w:val="24"/>
                      <w:lang w:eastAsia="lt-LT"/>
                    </w:rPr>
                    <w:t xml:space="preserve"> </w:t>
                  </w:r>
                  <w:r>
                    <w:rPr>
                      <w:bCs/>
                      <w:szCs w:val="24"/>
                      <w:lang w:eastAsia="lt-LT"/>
                    </w:rPr>
                    <w:t>„</w:t>
                  </w:r>
                  <w:r>
                    <w:rPr>
                      <w:rFonts w:eastAsia="HG Mincho Light J"/>
                      <w:bCs/>
                      <w:szCs w:val="24"/>
                      <w:lang w:eastAsia="lt-LT"/>
                    </w:rPr>
                    <w:t xml:space="preserve">Alka“ įrengė </w:t>
                  </w:r>
                  <w:r>
                    <w:rPr>
                      <w:szCs w:val="24"/>
                      <w:lang w:eastAsia="lt-LT"/>
                    </w:rPr>
                    <w:t>dvi kiemo aikšteles, lietaus nuotekų filtracijos į gruntą požeminį įrenginį, lietaus nuotekų tinklus.</w:t>
                  </w:r>
                </w:p>
                <w:p w14:paraId="6802773C" w14:textId="77777777">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636DEF94" w14:textId="14BF056F">
                  <w:pPr>
                    <w:widowControl w:val="0"/>
                    <w:suppressAutoHyphens/>
                    <w:ind w:firstLine="709"/>
                    <w:jc w:val="both"/>
                    <w:rPr>
                      <w:color w:val="000000"/>
                      <w:szCs w:val="24"/>
                      <w:lang w:eastAsia="lt-LT"/>
                    </w:rPr>
                  </w:pPr>
                  <w:r>
                    <w:rPr>
                      <w:szCs w:val="24"/>
                      <w:lang w:eastAsia="lt-LT"/>
                    </w:rPr>
                    <w:t xml:space="preserve">Priėmus sprendimą neigiamų pasekmių nenumatoma. Teigiamos pasekmės – perdavus turtą </w:t>
                  </w:r>
                  <w:r>
                    <w:rPr>
                      <w:color w:val="000000"/>
                      <w:szCs w:val="24"/>
                      <w:lang w:eastAsia="lt-LT"/>
                    </w:rPr>
                    <w:t>bus sukurtos sąlygos, reikalingos bendruomeninių apgyvendinimo su parama paslaugų bei dienos socialinio užimtumo paslaugų, asmenims, kuriems dėl proto negalios ar psichikos sutrikimų nustatytas visiškas nesavarankiškumas, specialusis nuolatinės slaugos poreikis ir reikalinga nuolatinė specializuota slauga ir globa, o taip pat neįgaliems asmenims, kuriems nustatytas darbingumo lygis iki 55 proc, teikimui.</w:t>
                  </w:r>
                </w:p>
              </w:sdtContent>
            </w:sdt>
            <w:sdt>
              <w:sdtPr>
                <w:alias w:val="poskyris"/>
                <w:tag w:val="part_f892c6e0d35e46b4b17909404a4f0abc"/>
                <w:lock w:val="sdtLocked"/>
                <w:richText/>
              </w:sdtPr>
              <w:sdtContent>
                <w:p w14:paraId="43501B09" w14:textId="32FE5E21">
                  <w:pPr>
                    <w:widowControl w:val="0"/>
                    <w:suppressAutoHyphens/>
                    <w:ind w:firstLine="709"/>
                    <w:jc w:val="both"/>
                    <w:rPr>
                      <w:szCs w:val="24"/>
                      <w:lang w:eastAsia="lt-LT"/>
                    </w:rPr>
                  </w:pPr>
                  <w:sdt>
                    <w:sdtPr>
                      <w:alias w:val="Pavadinimas"/>
                      <w:tag w:val="title_f892c6e0d35e46b4b17909404a4f0abc"/>
                      <w:lock w:val="sdtLocked"/>
                      <w:richText/>
                    </w:sdtPr>
                    <w:sdtContent>
                      <w:r>
                        <w:rPr>
                          <w:b/>
                          <w:szCs w:val="24"/>
                          <w:lang w:eastAsia="lt-LT"/>
                        </w:rPr>
                        <w:t>Priėmus sprendimą, keičiami ar pripažįstami negaliojančiais teisės aktai.</w:t>
                      </w:r>
                    </w:sdtContent>
                  </w:sdt>
                </w:p>
                <w:p w14:paraId="7329F777"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9f68fa2fb43243ea8de3e03f57435bb0"/>
                <w:lock w:val="sdtLocked"/>
                <w:richText/>
              </w:sdtPr>
              <w:sdtContent>
                <w:p w14:paraId="2C079036" w14:textId="77777777">
                  <w:pPr>
                    <w:widowControl w:val="0"/>
                    <w:suppressAutoHyphens/>
                    <w:ind w:firstLine="709"/>
                    <w:jc w:val="both"/>
                    <w:rPr>
                      <w:b/>
                      <w:szCs w:val="24"/>
                      <w:lang w:eastAsia="lt-LT"/>
                    </w:rPr>
                  </w:pPr>
                  <w:sdt>
                    <w:sdtPr>
                      <w:alias w:val="Pavadinimas"/>
                      <w:tag w:val="title_9f68fa2fb43243ea8de3e03f57435bb0"/>
                      <w:lock w:val="sdtLocked"/>
                      <w:richText/>
                    </w:sdtPr>
                    <w:sdtContent>
                      <w:r>
                        <w:rPr>
                          <w:b/>
                          <w:szCs w:val="24"/>
                          <w:lang w:eastAsia="lt-LT"/>
                        </w:rPr>
                        <w:t>Sprendimui įgyvendinti reikalingi priimti papildomi teisės aktai.</w:t>
                      </w:r>
                    </w:sdtContent>
                  </w:sdt>
                </w:p>
                <w:p w14:paraId="39342463" w14:textId="77777777">
                  <w:pPr>
                    <w:widowControl w:val="0"/>
                    <w:suppressAutoHyphens/>
                    <w:ind w:firstLine="709"/>
                    <w:jc w:val="both"/>
                    <w:rPr>
                      <w:szCs w:val="24"/>
                      <w:lang w:eastAsia="lt-LT"/>
                    </w:rPr>
                  </w:pPr>
                  <w:r>
                    <w:rPr>
                      <w:szCs w:val="24"/>
                      <w:lang w:eastAsia="lt-LT"/>
                    </w:rPr>
                    <w:t>Sprendimo įgyvendinimui reikalingų priimti papildomų teisės aktų nenumatoma.</w:t>
                  </w:r>
                </w:p>
              </w:sdtContent>
            </w:sdt>
            <w:sdt>
              <w:sdtPr>
                <w:alias w:val="poskyris"/>
                <w:tag w:val="part_b17f3b3a6f4440de9479fb06389627fa"/>
                <w:lock w:val="sdtLocked"/>
                <w:richText/>
              </w:sdtPr>
              <w:sdtContent>
                <w:p w14:paraId="2064A95B" w14:textId="77777777">
                  <w:pPr>
                    <w:widowControl w:val="0"/>
                    <w:suppressAutoHyphens/>
                    <w:ind w:firstLine="709"/>
                    <w:jc w:val="both"/>
                    <w:rPr>
                      <w:b/>
                      <w:szCs w:val="24"/>
                      <w:lang w:eastAsia="lt-LT"/>
                    </w:rPr>
                  </w:pPr>
                  <w:sdt>
                    <w:sdtPr>
                      <w:alias w:val="Pavadinimas"/>
                      <w:tag w:val="title_b17f3b3a6f4440de9479fb06389627fa"/>
                      <w:lock w:val="sdtLocked"/>
                      <w:richText/>
                    </w:sdtPr>
                    <w:sdtContent>
                      <w:r>
                        <w:rPr>
                          <w:b/>
                          <w:szCs w:val="24"/>
                          <w:lang w:eastAsia="lt-LT"/>
                        </w:rPr>
                        <w:t>Kiek biudžeto lėšų pareikalaus ar leis sutaupyti sprendimo įgyvendinimas.</w:t>
                      </w:r>
                    </w:sdtContent>
                  </w:sdt>
                </w:p>
                <w:p w14:paraId="4626FB58" w14:textId="25102DF0">
                  <w:pPr>
                    <w:suppressAutoHyphens/>
                    <w:ind w:firstLine="709"/>
                    <w:jc w:val="both"/>
                    <w:rPr>
                      <w:szCs w:val="24"/>
                      <w:lang w:eastAsia="lt-LT"/>
                    </w:rPr>
                  </w:pPr>
                  <w:r>
                    <w:rPr>
                      <w:szCs w:val="24"/>
                      <w:lang w:eastAsia="lt-LT"/>
                    </w:rPr>
                    <w:t xml:space="preserve">Savivaldybės biudžeto lėšų sprendimo įgyvendinimui nereikės. </w:t>
                  </w:r>
                </w:p>
              </w:sdtContent>
            </w:sdt>
            <w:sdt>
              <w:sdtPr>
                <w:alias w:val="poskyris"/>
                <w:tag w:val="part_def16ddf33874d218c3e3ff0df55936b"/>
                <w:lock w:val="sdtLocked"/>
                <w:richText/>
              </w:sdtPr>
              <w:sdtContent>
                <w:p w14:paraId="371B5C36" w14:textId="77777777">
                  <w:pPr>
                    <w:suppressAutoHyphens/>
                    <w:ind w:firstLine="709"/>
                    <w:jc w:val="both"/>
                    <w:rPr>
                      <w:b/>
                      <w:szCs w:val="24"/>
                      <w:lang w:eastAsia="lt-LT"/>
                    </w:rPr>
                  </w:pPr>
                  <w:sdt>
                    <w:sdtPr>
                      <w:alias w:val="Pavadinimas"/>
                      <w:tag w:val="title_def16ddf33874d218c3e3ff0df55936b"/>
                      <w:lock w:val="sdtLocked"/>
                      <w:richText/>
                    </w:sdtPr>
                    <w:sdtContent>
                      <w:r>
                        <w:rPr>
                          <w:b/>
                          <w:szCs w:val="24"/>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p>
              </w:sdtContent>
            </w:sdt>
            <w:sdt>
              <w:sdtPr>
                <w:alias w:val="poskyris"/>
                <w:tag w:val="part_63ebf361c96b43d0ad82ba745a0fa920"/>
                <w:lock w:val="sdtLocked"/>
                <w:richText/>
              </w:sdtPr>
              <w:sdtContent>
                <w:p w14:paraId="2A5712A0" w14:textId="77777777">
                  <w:pPr>
                    <w:widowControl w:val="0"/>
                    <w:ind w:firstLine="709"/>
                    <w:jc w:val="both"/>
                    <w:rPr>
                      <w:b/>
                      <w:szCs w:val="24"/>
                      <w:lang w:eastAsia="lt-LT"/>
                    </w:rPr>
                  </w:pPr>
                  <w:sdt>
                    <w:sdtPr>
                      <w:alias w:val="Pavadinimas"/>
                      <w:tag w:val="title_63ebf361c96b43d0ad82ba745a0fa920"/>
                      <w:lock w:val="sdtLocked"/>
                      <w:richText/>
                    </w:sdtPr>
                    <w:sdtContent>
                      <w:r>
                        <w:rPr>
                          <w:b/>
                          <w:szCs w:val="24"/>
                          <w:lang w:eastAsia="lt-LT"/>
                        </w:rPr>
                        <w:t>Numatomo teisinio reguliavimo poveikio vertinimo rezultatai.</w:t>
                      </w:r>
                    </w:sdtContent>
                  </w:sdt>
                </w:p>
                <w:p w14:paraId="697240BD" w14:textId="77777777">
                  <w:pPr>
                    <w:suppressAutoHyphens/>
                    <w:ind w:firstLine="709"/>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4091787C" w14:textId="77777777">
                  <w:pPr>
                    <w:suppressAutoHyphens/>
                    <w:ind w:firstLine="709"/>
                    <w:jc w:val="both"/>
                    <w:rPr>
                      <w:szCs w:val="24"/>
                      <w:lang w:eastAsia="lt-LT"/>
                    </w:rPr>
                  </w:pPr>
                </w:p>
              </w:sdtContent>
            </w:sdt>
          </w:sdtContent>
        </w:sdt>
        <w:sdt>
          <w:sdtPr>
            <w:alias w:val="signatura"/>
            <w:tag w:val="part_f10d8d6a659046be803c24c6d887bf53"/>
            <w:lock w:val="sdtLocked"/>
            <w:richText/>
          </w:sdtPr>
          <w:sdtContent>
            <w:p w14:paraId="3C8F968F" w14:textId="12D3DF80">
              <w:pPr>
                <w:suppressAutoHyphens/>
                <w:rPr>
                  <w:szCs w:val="24"/>
                  <w:lang w:eastAsia="lt-LT"/>
                </w:rPr>
              </w:pPr>
              <w:r>
                <w:rPr>
                  <w:szCs w:val="24"/>
                  <w:lang w:eastAsia="lt-LT"/>
                </w:rPr>
                <w:t>Turto valdymo skyriaus vedėja</w:t>
                <w:tab/>
                <w:tab/>
                <w:tab/>
                <w:tab/>
                <w:t>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0f85ddb8524213a02af04ec2eb2778" PartId="6c17c1f3d9f14c3eaa87bf52a0c24f96">
    <Part Type="skyrius" Nr="999" Title="SPRENDIMO „DĖL TURTO PERDAVIMO SAVIVALDYBĖS BIUDŽETINEI ĮSTAIGAI KOMPLEKSINIŲ PASLAUGŲ NAMAMS „ALKA“ PATIKĖJIMO TEISE“ PROJEKTO" DocPartId="a32a93b49236406c8c35e027ae391c41" PartId="a0515dd6da2c4253b34f8978df31ad16">
      <Part Type="poskyris" Title="AIŠKINAMASIS RAŠTAS" DocPartId="50d95771e7054ccb881244c0ee5bd54a" PartId="44725a5ba35b4ec78c8c2a01b07f12cf"/>
      <Part Type="poskyris" Title="Parengto sprendimo projekto tikslai ir uždaviniai:" DocPartId="2238913b12d047ddbbc37028dcb9482e" PartId="757aeac19d34432f8ed271a5c304d70f"/>
      <Part Type="poskyris" Title="Dabartinis sprendimo projekte aptariamų klausimų reguliavimas." DocPartId="b5dad51a3b3e42cf97d2ed5be4f43e84" PartId="e869046155c741f49d53c689bd870d89"/>
      <Part Type="poskyris" Title="Priėmus sprendimą, keičiami ar pripažįstami negaliojančiais teisės aktai." DocPartId="6f1ec1870dd644b2a85c439f5fd2be93" PartId="f892c6e0d35e46b4b17909404a4f0abc"/>
      <Part Type="poskyris" Title="Sprendimui įgyvendinti reikalingi priimti papildomi teisės aktai." DocPartId="d418b1bc68514a068bd26ceea807fe60" PartId="9f68fa2fb43243ea8de3e03f57435bb0"/>
      <Part Type="poskyris" Title="Kiek biudžeto lėšų pareikalaus ar leis sutaupyti sprendimo įgyvendinimas." DocPartId="64d2b4bfcb32443fbb3e87d7e355ba94" PartId="b17f3b3a6f4440de9479fb06389627fa"/>
      <Part Type="poskyris" Title="Sprendimo projekto rengėjas ar rengėjų grupė, sprendimo projekto iniciatoriai." DocPartId="250d101033514662a170aa192787345a" PartId="def16ddf33874d218c3e3ff0df55936b"/>
      <Part Type="poskyris" Title="Numatomo teisinio reguliavimo poveikio vertinimo rezultatai." DocPartId="797709b41a1242a0b7f70a07ae805c66" PartId="63ebf361c96b43d0ad82ba745a0fa920"/>
    </Part>
    <Part Type="signatura" DocPartId="b9f1caf8ed66408b96fe53be5ee09456" PartId="f10d8d6a659046be803c24c6d887bf53"/>
  </Part>
</Parts>
</file>

<file path=customXml/itemProps1.xml><?xml version="1.0" encoding="utf-8"?>
<ds:datastoreItem xmlns:ds="http://schemas.openxmlformats.org/officeDocument/2006/customXml" ds:itemID="{4852C5A0-17B0-4E84-8C9D-7F5113CB9C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455</Words>
  <Characters>3530</Characters>
  <Application>Microsoft Office Word</Application>
  <DocSecurity>4</DocSecurity>
  <Lines>57</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2024-09-12T15:57:00Z</dcterms:created>
  <dc:creator>Kęstutis Tamulevičius</dc:creator>
  <lastModifiedBy>adlibuser</lastModifiedBy>
  <lastPrinted>2023-04-12T10:08:00Z</lastPrinted>
  <dcterms:modified xsi:type="dcterms:W3CDTF">2024-09-12T15:57:00Z</dcterms:modified>
  <revision>2</revision>
</coreProperties>
</file>