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D51" w:rsidRPr="005D4C5F" w:rsidRDefault="00A97B27" w:rsidP="00A97B27">
      <w:pPr>
        <w:pStyle w:val="Heading1"/>
        <w:jc w:val="center"/>
      </w:pPr>
      <w:bookmarkStart w:id="0" w:name="_GoBack"/>
      <w:bookmarkEnd w:id="0"/>
      <w:r w:rsidRPr="005D4C5F">
        <w:t>LIETUVOS RESPUBLIKOS APLINKOS MINISTERIJA</w:t>
      </w:r>
    </w:p>
    <w:p w:rsidR="004A3D51" w:rsidRDefault="004A3D51" w:rsidP="00A97B27">
      <w:pPr>
        <w:spacing w:after="0"/>
        <w:ind w:firstLine="0"/>
        <w:jc w:val="center"/>
      </w:pPr>
      <w:r>
        <w:t>Strateginių pokyčių grupės vyriausiasis specialistas,</w:t>
      </w:r>
      <w:r>
        <w:br/>
        <w:t>Duomenų apsaugos pareigūnas</w:t>
      </w:r>
      <w:r>
        <w:br/>
        <w:t xml:space="preserve">Mykolas </w:t>
      </w:r>
      <w:proofErr w:type="spellStart"/>
      <w:r>
        <w:t>Okulič-Kazarinas</w:t>
      </w:r>
      <w:proofErr w:type="spellEnd"/>
    </w:p>
    <w:p w:rsidR="004A3D51" w:rsidRDefault="004A3D51" w:rsidP="00A97B27">
      <w:pPr>
        <w:ind w:firstLine="0"/>
      </w:pPr>
    </w:p>
    <w:p w:rsidR="00A97B27" w:rsidRDefault="00A97B27" w:rsidP="00A97B27">
      <w:pPr>
        <w:ind w:firstLine="0"/>
      </w:pPr>
      <w:r>
        <w:t>Statybos ir teritorijų planavimo grupei</w:t>
      </w:r>
    </w:p>
    <w:p w:rsidR="00A97B27" w:rsidRDefault="00A97B27" w:rsidP="00A97B27">
      <w:pPr>
        <w:pStyle w:val="Heading1"/>
      </w:pPr>
      <w:r>
        <w:t>Dėl b</w:t>
      </w:r>
      <w:r w:rsidRPr="00E4147D">
        <w:t>utų ir kitų patalpų savininkų</w:t>
      </w:r>
      <w:r>
        <w:t xml:space="preserve"> ir </w:t>
      </w:r>
      <w:r w:rsidRPr="00E4147D">
        <w:t>savininkų bendrij</w:t>
      </w:r>
      <w:r>
        <w:t>ų</w:t>
      </w:r>
      <w:r w:rsidRPr="00E4147D">
        <w:t xml:space="preserve"> narių</w:t>
      </w:r>
      <w:r>
        <w:t xml:space="preserve"> </w:t>
      </w:r>
      <w:r w:rsidRPr="00E4147D">
        <w:t>balsavimo raštu, priimant sprendimus</w:t>
      </w:r>
      <w:r>
        <w:t xml:space="preserve"> reglamentavimo</w:t>
      </w:r>
    </w:p>
    <w:p w:rsidR="00E248F2" w:rsidRPr="00E4147D" w:rsidRDefault="00E4147D" w:rsidP="00D93DAE">
      <w:r w:rsidRPr="00E4147D">
        <w:t>Aplinkos ministerijos duomenų apsaugos pareigūnui pateikti įvertinti projektai</w:t>
      </w:r>
      <w:r>
        <w:t xml:space="preserve"> įsakymų, kuriais tvirtinami </w:t>
      </w:r>
      <w:r w:rsidRPr="00D93DAE">
        <w:t>tokie</w:t>
      </w:r>
      <w:r>
        <w:t xml:space="preserve"> dokumentai</w:t>
      </w:r>
      <w:r w:rsidRPr="00E4147D">
        <w:t>:</w:t>
      </w:r>
    </w:p>
    <w:p w:rsidR="00E4147D" w:rsidRPr="00E4147D" w:rsidRDefault="00E4147D" w:rsidP="00D93DAE">
      <w:pPr>
        <w:pStyle w:val="ListParagraph"/>
        <w:numPr>
          <w:ilvl w:val="0"/>
          <w:numId w:val="5"/>
        </w:numPr>
      </w:pPr>
      <w:r w:rsidRPr="00E4147D">
        <w:t>Butų ir kitų patalpų savininkų balsavimo raštu, priimant sprendimus, tvarkos aprašas;</w:t>
      </w:r>
    </w:p>
    <w:p w:rsidR="00E4147D" w:rsidRPr="00E4147D" w:rsidRDefault="00E4147D" w:rsidP="00D93DAE">
      <w:pPr>
        <w:pStyle w:val="ListParagraph"/>
        <w:numPr>
          <w:ilvl w:val="0"/>
          <w:numId w:val="5"/>
        </w:numPr>
      </w:pPr>
      <w:r w:rsidRPr="00E4147D">
        <w:t>Daugiabučių gyvenamųjų namų ar kitos paskirties pastatų savininkų bendrijos narių balsavimo raštu dėl priimamų sprendimų tvarkos aprašas.</w:t>
      </w:r>
    </w:p>
    <w:p w:rsidR="000D0D95" w:rsidRDefault="00E248F2" w:rsidP="00D93DAE">
      <w:r w:rsidRPr="00E4147D">
        <w:t xml:space="preserve">Dėl abiejų teisės aktų </w:t>
      </w:r>
      <w:r w:rsidR="00A045BF">
        <w:t>pageidautina</w:t>
      </w:r>
      <w:r w:rsidRPr="00E4147D">
        <w:t xml:space="preserve"> atlikti poveikio asmens duomenų apsaugai vertinimą</w:t>
      </w:r>
      <w:r w:rsidR="005E4088">
        <w:t xml:space="preserve"> pagal Bendrąjį duomenų apsaugos reglamento</w:t>
      </w:r>
      <w:r w:rsidR="0099179E">
        <w:rPr>
          <w:rStyle w:val="FootnoteReference"/>
        </w:rPr>
        <w:footnoteReference w:id="1"/>
      </w:r>
      <w:r w:rsidR="005E4088">
        <w:t xml:space="preserve"> </w:t>
      </w:r>
      <w:r w:rsidR="0099179E">
        <w:t>(toliau – reglamentas)</w:t>
      </w:r>
      <w:r w:rsidR="004C646E">
        <w:t xml:space="preserve"> 35 straipsnį ypač atkreipiant dėmesį į savininkų duomenų atskleidimą. Dėl elektroninio pašto naudojimo balsavime būtina konsultacija su Informacinių technologijų skyriumi.</w:t>
      </w:r>
    </w:p>
    <w:p w:rsidR="00592BEE" w:rsidRDefault="00902577" w:rsidP="00D93DAE">
      <w:r w:rsidRPr="00E4147D">
        <w:t xml:space="preserve">Abiejų teisės aktų 2 punktas nurodo vartojamų sąvokų šaltinius. Manau, jie </w:t>
      </w:r>
      <w:r w:rsidR="00592BEE">
        <w:t xml:space="preserve">turėtų </w:t>
      </w:r>
      <w:r w:rsidRPr="00E4147D">
        <w:t>būti papildyti nuorod</w:t>
      </w:r>
      <w:r w:rsidR="00592BEE">
        <w:t>omis</w:t>
      </w:r>
      <w:r w:rsidRPr="00E4147D">
        <w:t xml:space="preserve"> į </w:t>
      </w:r>
      <w:r w:rsidR="0099179E">
        <w:t>reglamentą</w:t>
      </w:r>
      <w:r w:rsidRPr="00E4147D">
        <w:t xml:space="preserve">, nes tekste vartojami </w:t>
      </w:r>
      <w:r w:rsidR="0099179E">
        <w:t xml:space="preserve">reglamento </w:t>
      </w:r>
      <w:r w:rsidRPr="00E4147D">
        <w:t>terminai (</w:t>
      </w:r>
      <w:r w:rsidR="0099179E">
        <w:t>„</w:t>
      </w:r>
      <w:r w:rsidRPr="00E4147D">
        <w:t>asmens duomenų tvarkymas</w:t>
      </w:r>
      <w:r w:rsidR="0099179E">
        <w:t>“</w:t>
      </w:r>
      <w:r w:rsidRPr="00E4147D">
        <w:t xml:space="preserve">). Abiejų teisės aktų </w:t>
      </w:r>
      <w:r w:rsidR="00592BEE">
        <w:t xml:space="preserve">projektų </w:t>
      </w:r>
      <w:r w:rsidRPr="00E4147D">
        <w:t xml:space="preserve">3 punkte </w:t>
      </w:r>
      <w:r w:rsidR="00592BEE">
        <w:t xml:space="preserve">pateikta </w:t>
      </w:r>
      <w:r w:rsidRPr="00E4147D">
        <w:t>galimai perteklinė nuoroda į Lietuvos Respublikos asmens duom</w:t>
      </w:r>
      <w:r w:rsidR="00592BEE">
        <w:t>enų teisinės apsaugos įstatymą.</w:t>
      </w:r>
    </w:p>
    <w:p w:rsidR="00592BEE" w:rsidRDefault="00902577" w:rsidP="00D93DAE">
      <w:r w:rsidRPr="00E4147D">
        <w:t xml:space="preserve">Nė vienas teisės aktas nenurodo asmens duomenų tvarkymo pagrindo pagal </w:t>
      </w:r>
      <w:r w:rsidR="0099179E">
        <w:t>reglamento</w:t>
      </w:r>
      <w:r w:rsidR="0099179E" w:rsidRPr="00E4147D">
        <w:t xml:space="preserve"> </w:t>
      </w:r>
      <w:r w:rsidRPr="00E4147D">
        <w:t>6.1</w:t>
      </w:r>
      <w:r w:rsidR="0099179E">
        <w:t xml:space="preserve"> punktą</w:t>
      </w:r>
      <w:r w:rsidRPr="00E4147D">
        <w:t xml:space="preserve">. </w:t>
      </w:r>
      <w:r w:rsidR="00313EE2" w:rsidRPr="00E4147D">
        <w:t>Nepakankamai detalizuotas asmens duomenų tvarkymas, todėl būtų galima rekomenduoti savininkams arba bendrijai pasitvirtinti asmens duomenų tvarkymo taisykles.</w:t>
      </w:r>
    </w:p>
    <w:p w:rsidR="00902577" w:rsidRDefault="00592BEE" w:rsidP="00D93DAE">
      <w:r>
        <w:t>Siūlomas</w:t>
      </w:r>
      <w:r w:rsidR="00313EE2" w:rsidRPr="00E4147D">
        <w:t xml:space="preserve"> reglamentavimas nenumato galimybės savininkui išlikti anonimiškam. Nematau pagrindo, kodėl savininkams nebūtų galima suteikti galimybės patiems nusistatyti taisykles, užtikrinančias pasirinkto lygio privatumo užtikrinimą. </w:t>
      </w:r>
    </w:p>
    <w:p w:rsidR="004C646E" w:rsidRPr="00E4147D" w:rsidRDefault="004C646E" w:rsidP="004C646E">
      <w:r>
        <w:t xml:space="preserve">Abu </w:t>
      </w:r>
      <w:r w:rsidRPr="00E4147D">
        <w:t>teisės akt</w:t>
      </w:r>
      <w:r>
        <w:t>ų projektai</w:t>
      </w:r>
      <w:r w:rsidRPr="00E4147D">
        <w:t xml:space="preserve"> nustato skirtingus patalpų savininkų teisių realizavimo mechanizmus. Siūlyčiau apsvarstyti galimybę ju</w:t>
      </w:r>
      <w:r>
        <w:t>os apjungti į vieną teisės aktą arba du susijusius teisės aktus pašalinant tų pačių nuostatų kartojimą,</w:t>
      </w:r>
      <w:r w:rsidRPr="00E4147D">
        <w:t xml:space="preserve"> taip suteikiant reguliavimui daugiau aiškumo taikant </w:t>
      </w:r>
      <w:r>
        <w:t xml:space="preserve">reglamente </w:t>
      </w:r>
      <w:r w:rsidRPr="00E4147D">
        <w:t>nustatytą skaidrumo principą.</w:t>
      </w:r>
    </w:p>
    <w:p w:rsidR="00592BEE" w:rsidRPr="00E4147D" w:rsidRDefault="00592BEE" w:rsidP="00D93DAE">
      <w:r w:rsidRPr="00E4147D">
        <w:t>Žemiau pateik</w:t>
      </w:r>
      <w:r w:rsidR="00B85F5F">
        <w:t>tos</w:t>
      </w:r>
      <w:r w:rsidRPr="00E4147D">
        <w:t xml:space="preserve"> </w:t>
      </w:r>
      <w:r w:rsidR="00B85F5F">
        <w:t>projektų ištraukos, pabraukto</w:t>
      </w:r>
      <w:r w:rsidR="00D61093">
        <w:t>s</w:t>
      </w:r>
      <w:r w:rsidRPr="00E4147D">
        <w:t xml:space="preserve"> nuostat</w:t>
      </w:r>
      <w:r w:rsidR="00B85F5F">
        <w:t>os</w:t>
      </w:r>
      <w:r w:rsidRPr="00E4147D">
        <w:t>,</w:t>
      </w:r>
      <w:r w:rsidR="00B85F5F">
        <w:t xml:space="preserve"> dėl kurių</w:t>
      </w:r>
      <w:r w:rsidRPr="00E4147D">
        <w:t xml:space="preserve"> </w:t>
      </w:r>
      <w:r w:rsidR="00B85F5F">
        <w:t>kilo</w:t>
      </w:r>
      <w:r w:rsidRPr="00E4147D">
        <w:t xml:space="preserve"> abejon</w:t>
      </w:r>
      <w:r w:rsidR="00B85F5F">
        <w:t xml:space="preserve">ių. Pastraipose, pradedamose „DAP“, pateikti </w:t>
      </w:r>
      <w:r w:rsidR="0099179E">
        <w:t xml:space="preserve">duomenų apsaugos pareigūno </w:t>
      </w:r>
      <w:r w:rsidR="00B85F5F">
        <w:t>komentarai ir</w:t>
      </w:r>
      <w:r w:rsidRPr="00E4147D">
        <w:t xml:space="preserve"> klausim</w:t>
      </w:r>
      <w:r w:rsidR="00B85F5F">
        <w:t>ai</w:t>
      </w:r>
      <w:r w:rsidRPr="00E4147D">
        <w:t>, kurie galėtų būti užduoti atliekant poveikio asmens duomenų apsaugai vertinimą.</w:t>
      </w:r>
      <w:r>
        <w:t xml:space="preserve"> </w:t>
      </w:r>
    </w:p>
    <w:p w:rsidR="00E248F2" w:rsidRPr="0099179E" w:rsidRDefault="00E4147D" w:rsidP="0099179E">
      <w:pPr>
        <w:pStyle w:val="Heading2"/>
      </w:pPr>
      <w:r w:rsidRPr="0099179E">
        <w:t>Butų ir kitų patalpų savininkų balsavimo raštu, priimant sprendimus, tvarkos aprašas</w:t>
      </w:r>
    </w:p>
    <w:p w:rsidR="00E248F2" w:rsidRPr="00E4147D" w:rsidRDefault="00E248F2" w:rsidP="00D93DAE">
      <w:r w:rsidRPr="00E4147D">
        <w:t>5. […]</w:t>
      </w:r>
      <w:r w:rsidR="00592BEE">
        <w:t xml:space="preserve"> </w:t>
      </w:r>
      <w:r w:rsidRPr="00E4147D">
        <w:t>Pranešime apie rengiamą balsavimą (toliau – pranešimas) turi būti nurodyta:</w:t>
      </w:r>
    </w:p>
    <w:p w:rsidR="00E248F2" w:rsidRPr="00E4147D" w:rsidRDefault="00E248F2" w:rsidP="00D93DAE">
      <w:r w:rsidRPr="00E4147D">
        <w:t xml:space="preserve">5.1. organizatoriaus: </w:t>
      </w:r>
      <w:r w:rsidRPr="00592BEE">
        <w:rPr>
          <w:u w:val="single"/>
        </w:rPr>
        <w:t>fizinio asmens vardas ir pavardė, adresas korespondencijai siųsti, telefono numeris, elektroninio pašto adresas, interneto svetainės (jeigu tokią turi) adresas</w:t>
      </w:r>
      <w:r w:rsidRPr="00E4147D">
        <w:t xml:space="preserve">; juridinio asmens pavadinimas, teisinė forma, adresas korespondencijai siųsti, telefono numeris, elektroninio pašto adresas, interneto svetainės (jeigu tokią turi) adresas, </w:t>
      </w:r>
      <w:r w:rsidRPr="00F61EAD">
        <w:rPr>
          <w:u w:val="single"/>
        </w:rPr>
        <w:t>kontaktinis asmuo</w:t>
      </w:r>
      <w:r w:rsidRPr="00E4147D">
        <w:t xml:space="preserve">, atsakingas už balsavimo organizavimą; kai balsavimą organizuoja ¼ patalpų savininkų, – jų </w:t>
      </w:r>
      <w:r w:rsidRPr="00F61EAD">
        <w:rPr>
          <w:u w:val="single"/>
        </w:rPr>
        <w:lastRenderedPageBreak/>
        <w:t>įgalioto asmens</w:t>
      </w:r>
      <w:r w:rsidRPr="00E4147D">
        <w:t xml:space="preserve"> (vieno iš ¼ patalpų savininkų) </w:t>
      </w:r>
      <w:r w:rsidRPr="00F61EAD">
        <w:rPr>
          <w:u w:val="single"/>
        </w:rPr>
        <w:t>adresas korespondencijai siųsti, telefono numeris, elektroninio pašto adresas, interneto svetainės (jeigu tokią turi) adresas</w:t>
      </w:r>
      <w:r w:rsidRPr="00E4147D">
        <w:t>;</w:t>
      </w:r>
    </w:p>
    <w:p w:rsidR="00E248F2" w:rsidRPr="00E4147D" w:rsidRDefault="00E248F2" w:rsidP="00D93DAE">
      <w:r w:rsidRPr="00E4147D">
        <w:t xml:space="preserve">5.4. balsadėžės vieta užpildytam biuleteniui grąžinti, </w:t>
      </w:r>
      <w:r w:rsidRPr="00F61EAD">
        <w:rPr>
          <w:u w:val="single"/>
        </w:rPr>
        <w:t>elektroninio pašto adresas</w:t>
      </w:r>
      <w:r w:rsidRPr="00E4147D">
        <w:t xml:space="preserve"> </w:t>
      </w:r>
      <w:r w:rsidRPr="00F61EAD">
        <w:rPr>
          <w:u w:val="single"/>
        </w:rPr>
        <w:t>išsiųsti nuskenuotą ar nufotografuotą užpildytą biuletenį</w:t>
      </w:r>
      <w:r w:rsidRPr="00E4147D">
        <w:t>, adresas, kuriuo galima išsiųsti užpildytą biuletenį paštu ir balsavimo elektroninio ryšio priemonėmis procedūra, jeigu organizatorius yra sudaręs galimybę patalpų savininkams balsuoti ir elektroninio ryšio priemonėmis;</w:t>
      </w:r>
    </w:p>
    <w:p w:rsidR="00E248F2" w:rsidRPr="00E4147D" w:rsidRDefault="00E248F2" w:rsidP="00D93DAE">
      <w:r w:rsidRPr="00E4147D">
        <w:t>5.6. informacija apie Butų ir kitų patalpų savininkų balsavimo raštu balsų skaičiavimo komisiją (toliau – komisija), jeigu ji sudaryta pagal aprašo 14 punktą;</w:t>
      </w:r>
    </w:p>
    <w:p w:rsidR="00E248F2" w:rsidRPr="00E4147D" w:rsidRDefault="00D61093" w:rsidP="00D93DAE">
      <w:r>
        <w:t>DAP: Kokia informacija apie komisiją pateikiama? Ar pateikiamas komisijos narių sąrašas?</w:t>
      </w:r>
    </w:p>
    <w:p w:rsidR="0063658A" w:rsidRPr="00E4147D" w:rsidRDefault="0063658A" w:rsidP="00D93DAE">
      <w:r w:rsidRPr="00E4147D">
        <w:t>6. Biuletenis parengiamas pagal aprašo 1 priedo reikalavimus ir ne vėliau kaip iki balsavimo pradžios datos patalpų savininkui įteikiamas vienu iš šių būdų:</w:t>
      </w:r>
    </w:p>
    <w:p w:rsidR="0063658A" w:rsidRDefault="0063658A" w:rsidP="00D93DAE">
      <w:r w:rsidRPr="00E4147D">
        <w:t xml:space="preserve">6.1. asmeniškai </w:t>
      </w:r>
      <w:r w:rsidRPr="00F61EAD">
        <w:rPr>
          <w:u w:val="single"/>
        </w:rPr>
        <w:t>pasirašant biuletenių išdavimo lape</w:t>
      </w:r>
      <w:r w:rsidRPr="00E4147D">
        <w:t xml:space="preserve">, </w:t>
      </w:r>
      <w:r w:rsidRPr="00F61EAD">
        <w:rPr>
          <w:u w:val="single"/>
        </w:rPr>
        <w:t>kuriame turi būti patalpos savininko vardas, pavardė, parašas</w:t>
      </w:r>
      <w:r w:rsidRPr="00E4147D">
        <w:t>, pasirašymo data;</w:t>
      </w:r>
    </w:p>
    <w:p w:rsidR="00F61EAD" w:rsidRPr="00E4147D" w:rsidRDefault="00F61EAD" w:rsidP="00D93DAE">
      <w:r>
        <w:t>DAP dėl 6.1: Pasirašančiam atskleidžiami bendrasavininkų asmens duomenys.</w:t>
      </w:r>
    </w:p>
    <w:p w:rsidR="0063658A" w:rsidRDefault="0063658A" w:rsidP="00D93DAE">
      <w:r w:rsidRPr="00E4147D">
        <w:t>6.2. </w:t>
      </w:r>
      <w:r w:rsidRPr="004C646E">
        <w:rPr>
          <w:u w:val="single"/>
        </w:rPr>
        <w:t>išsiunčiant paštu savininko patalpos adresu</w:t>
      </w:r>
      <w:r w:rsidRPr="00E4147D">
        <w:t>;</w:t>
      </w:r>
    </w:p>
    <w:p w:rsidR="0063658A" w:rsidRPr="00E4147D" w:rsidRDefault="0063658A" w:rsidP="00D93DAE">
      <w:r w:rsidRPr="00E4147D">
        <w:t>6.3. </w:t>
      </w:r>
      <w:r w:rsidRPr="004C646E">
        <w:rPr>
          <w:u w:val="single"/>
        </w:rPr>
        <w:t>įdedant į patalpos savininko pašto dėžutę</w:t>
      </w:r>
      <w:r w:rsidRPr="00E4147D">
        <w:t xml:space="preserve"> (toliau – pašto dėžutė) kartu su mokėjimo už suteiktas paslaugas pranešimu, jame pažymint apie pridedamą biuletenį; </w:t>
      </w:r>
    </w:p>
    <w:p w:rsidR="0063658A" w:rsidRDefault="0063658A" w:rsidP="00D93DAE">
      <w:r w:rsidRPr="00E4147D">
        <w:t>6.4. </w:t>
      </w:r>
      <w:r w:rsidRPr="004C646E">
        <w:rPr>
          <w:u w:val="single"/>
        </w:rPr>
        <w:t>įdedant į pašto dėžutę</w:t>
      </w:r>
      <w:r w:rsidRPr="00E4147D">
        <w:t xml:space="preserve"> ir apie biuletenio įteikimą surašant aktą, kuriame turi būti patalpos savininko vardas, pavardė, patalpos adresas, įdėjimo į pašto dėžutę data. Aktą pasirašo organizatorius ar jo įgaliotas atstovas ir ne mažiau kaip du patalpų savininkai;</w:t>
      </w:r>
    </w:p>
    <w:p w:rsidR="0063658A" w:rsidRPr="00E4147D" w:rsidRDefault="001C71E6" w:rsidP="00D93DAE">
      <w:r w:rsidRPr="00E4147D">
        <w:t xml:space="preserve">7. Kai balsavimą organizuoja savivaldybė, biuletenis patalpos savininkui įteikiamas išsiunčiant paštu savininko patalpos adresu arba įdedant į pašto dėžutę, arba </w:t>
      </w:r>
      <w:r w:rsidRPr="004C646E">
        <w:rPr>
          <w:u w:val="single"/>
        </w:rPr>
        <w:t>išsiunčiant patalpos savininko raštu nurodytu el. pašto adresu</w:t>
      </w:r>
      <w:r w:rsidRPr="00E4147D">
        <w:t xml:space="preserve"> ar kitu su patalpos savininku raštu sutartu būdu.</w:t>
      </w:r>
    </w:p>
    <w:p w:rsidR="0063658A" w:rsidRPr="00E4147D" w:rsidRDefault="00F61EAD" w:rsidP="00D93DAE">
      <w:r>
        <w:t xml:space="preserve">DAP dėl </w:t>
      </w:r>
      <w:r w:rsidR="001C71E6" w:rsidRPr="00E4147D">
        <w:t xml:space="preserve">7: Atskiras, bet panašus </w:t>
      </w:r>
      <w:r w:rsidR="00D61093">
        <w:t xml:space="preserve">į 6 punktą </w:t>
      </w:r>
      <w:r w:rsidR="001C71E6" w:rsidRPr="00E4147D">
        <w:t xml:space="preserve">siuntimo būdų sąrašas. Ar reikalingas atskiras punktas? </w:t>
      </w:r>
    </w:p>
    <w:p w:rsidR="001C71E6" w:rsidRPr="00E4147D" w:rsidRDefault="00F61EAD" w:rsidP="00D93DAE">
      <w:r>
        <w:t>DAP pastaba dėl 6.2, 6.3, 6.4, 7: patalpa gali būti išnuomota asmeniui, kuriam savininkas nenori atskleisti savo asmens duomenų.</w:t>
      </w:r>
      <w:r w:rsidR="00D67872">
        <w:t xml:space="preserve"> Rizika</w:t>
      </w:r>
      <w:r w:rsidR="001C71E6" w:rsidRPr="00E4147D">
        <w:t xml:space="preserve"> vagystės iš pašto dėžutės atveju.</w:t>
      </w:r>
    </w:p>
    <w:p w:rsidR="001C71E6" w:rsidRPr="00E4147D" w:rsidRDefault="001C71E6" w:rsidP="00D93DAE">
      <w:r w:rsidRPr="00E4147D">
        <w:t>10. Vykdant balsavimą ir elektroninio ryšio priemonėmis organizatorius privalo užtikrinti, kad:</w:t>
      </w:r>
    </w:p>
    <w:p w:rsidR="001C71E6" w:rsidRPr="00E4147D" w:rsidRDefault="001C71E6" w:rsidP="00D93DAE">
      <w:r w:rsidRPr="00E4147D">
        <w:t xml:space="preserve">10.1. patalpos savininkui būtų įteiktas biuletenis vienu iš aprašo </w:t>
      </w:r>
      <w:r w:rsidRPr="00D67872">
        <w:rPr>
          <w:u w:val="single"/>
        </w:rPr>
        <w:t>7 punkte</w:t>
      </w:r>
      <w:r w:rsidRPr="00E4147D">
        <w:t xml:space="preserve"> nurodytu būdu, kai balsavimą organizuoja bendrojo naudojimo objektų valdytojas arba 1/4 patalpų savininkų, arba vienu iš aprašo </w:t>
      </w:r>
      <w:r w:rsidRPr="00D67872">
        <w:rPr>
          <w:u w:val="single"/>
        </w:rPr>
        <w:t>8 punkte</w:t>
      </w:r>
      <w:r w:rsidRPr="00E4147D">
        <w:t xml:space="preserve"> nurodytu būdu, kai balsavimą organizuoja savivaldybė;</w:t>
      </w:r>
    </w:p>
    <w:p w:rsidR="00AA3F60" w:rsidRPr="00E4147D" w:rsidRDefault="00D67872" w:rsidP="00D61093">
      <w:r>
        <w:t xml:space="preserve">DAP: </w:t>
      </w:r>
      <w:r w:rsidR="00D61093">
        <w:t>N</w:t>
      </w:r>
      <w:r>
        <w:t>umeracijos klaida,</w:t>
      </w:r>
      <w:r w:rsidR="001C71E6" w:rsidRPr="00E4147D">
        <w:t xml:space="preserve"> turėtų būti 6 ir 7 punktai. </w:t>
      </w:r>
      <w:r w:rsidR="00D61093">
        <w:t>B</w:t>
      </w:r>
      <w:r w:rsidR="00AA3F60" w:rsidRPr="00E4147D">
        <w:t>ūtų saugiau, jei biuletenis galėtų būti formuojamas ir pasirašomas informacinės sistemos priemonėmis.</w:t>
      </w:r>
    </w:p>
    <w:p w:rsidR="001C71E6" w:rsidRPr="00E4147D" w:rsidRDefault="001C71E6" w:rsidP="00D93DAE">
      <w:r w:rsidRPr="00E4147D">
        <w:t xml:space="preserve">10.4. patalpos savininko arba jo įgalioto asmens balsavimo elektroninio ryšio priemonėmis rezultatų </w:t>
      </w:r>
      <w:r w:rsidRPr="00F13374">
        <w:rPr>
          <w:u w:val="single"/>
        </w:rPr>
        <w:t>kopija būtų išsiųsta patalpos savininko arba jo įgalioto asmens nurodytu el. pašto adresu</w:t>
      </w:r>
      <w:r w:rsidRPr="00E4147D">
        <w:t>.</w:t>
      </w:r>
    </w:p>
    <w:p w:rsidR="00AA3F60" w:rsidRPr="00E4147D" w:rsidRDefault="00D67872" w:rsidP="00D93DAE">
      <w:r>
        <w:t xml:space="preserve">DAP dėl 10.4: </w:t>
      </w:r>
      <w:r w:rsidR="00AA3F60" w:rsidRPr="00E4147D">
        <w:t xml:space="preserve">tai </w:t>
      </w:r>
      <w:r>
        <w:t>nėra būtinas</w:t>
      </w:r>
      <w:r w:rsidR="00AA3F60" w:rsidRPr="00E4147D">
        <w:t xml:space="preserve"> asmens duomenų tvarkymas.</w:t>
      </w:r>
    </w:p>
    <w:p w:rsidR="001C71E6" w:rsidRPr="00E4147D" w:rsidRDefault="00AA3F60" w:rsidP="00D93DAE">
      <w:r w:rsidRPr="00E4147D">
        <w:t>14. Balsavimo rezultatus skaičiuoja organizatoriaus sprendimu ne mažiau kaip iš 3 asmenų sudaryta komisija, į kurią įtraukiami pagal aprašo 5.6 papunkčio nuostatas dalyvauti komisijoje kviesti asmenys. […] Komisija gali būti nuolatinė ir atnaujinama patalpos savininkui raštu pareiškus pageidavimą joje dalyvauti, arba prieš kiekvieną balsavimą pagal šio punkto nuostatas sudaroma nauja, ne vėliau kaip likus 3 dienoms iki balsavimo pabaigos, ir skelbiama balsavimo organizatoriaus interneto svetainėje (jeigu tokia yra) ir namo skelbimų lentose.</w:t>
      </w:r>
    </w:p>
    <w:p w:rsidR="00AA3F60" w:rsidRPr="00E4147D" w:rsidRDefault="00D67872" w:rsidP="00D93DAE">
      <w:r>
        <w:t xml:space="preserve">DAP dėl 14 punkto: </w:t>
      </w:r>
      <w:r w:rsidR="00AA3F60" w:rsidRPr="00E4147D">
        <w:t xml:space="preserve">Ar tinkamas toks komisijos narių duomenų tvarkymas? </w:t>
      </w:r>
    </w:p>
    <w:p w:rsidR="0001524C" w:rsidRPr="00E4147D" w:rsidRDefault="0001524C" w:rsidP="00D93DAE">
      <w:r w:rsidRPr="00E4147D">
        <w:lastRenderedPageBreak/>
        <w:t>18. Biuletenis laikomas negaliojančiu, jei jis:</w:t>
      </w:r>
    </w:p>
    <w:p w:rsidR="0001524C" w:rsidRPr="00E4147D" w:rsidRDefault="0001524C" w:rsidP="00D93DAE">
      <w:r w:rsidRPr="00E4147D">
        <w:t>18.1. nepasirašytas patalpos savininko ar jo įgalioto asmens ar pasirašytas neturint įgaliojimo;</w:t>
      </w:r>
    </w:p>
    <w:p w:rsidR="001C71E6" w:rsidRDefault="0001524C" w:rsidP="00D93DAE">
      <w:r w:rsidRPr="00E4147D">
        <w:t>18.2. </w:t>
      </w:r>
      <w:r w:rsidRPr="00D61093">
        <w:rPr>
          <w:u w:val="single"/>
        </w:rPr>
        <w:t>grąžintas ne iš patalpos savininko raštu nurodyto el. pašto</w:t>
      </w:r>
      <w:r w:rsidRPr="00E4147D">
        <w:t>.</w:t>
      </w:r>
    </w:p>
    <w:p w:rsidR="00D61093" w:rsidRPr="00E4147D" w:rsidRDefault="00D61093" w:rsidP="00D93DAE">
      <w:r>
        <w:t>DAP. Rizikos: gali būti padirbtas el. pašto adresas apsimetant savininku; teisėtai balsuojant gali per klaidą būti nurodytas netinkamas el. pašto adresas ir neįskaitytas savininko balsas.</w:t>
      </w:r>
    </w:p>
    <w:p w:rsidR="0001524C" w:rsidRPr="00E4147D" w:rsidRDefault="0025787F" w:rsidP="00D93DAE">
      <w:r w:rsidRPr="00E4147D">
        <w:t xml:space="preserve">22. Balsavimo rezultatus ne vėliau kaip per 5 darbo dienas nuo balsavimo pabaigos dienos komisija įformina Butų ir kitų patalpų savininkų balsavimo raštu balsų skaičiavimo komisijos protokole (toliau – protokolas) (aprašo 2 priedas). Protokole turi būti nurodyta komisijos posėdžio data, sprendžiamas klausimas, įteiktų (išsiųstų) ir grąžintų galiojančių ir negaliojančių biuletenių skaičius, balsavusių elektroninėmis ryšio priemonėmis skaičius, </w:t>
      </w:r>
      <w:r w:rsidRPr="00D61093">
        <w:rPr>
          <w:u w:val="single"/>
        </w:rPr>
        <w:t>visų namo patalpų savininkų balsavimo rezultatai</w:t>
      </w:r>
      <w:r w:rsidRPr="00E4147D">
        <w:t>, ar sprendimas priimtas, koks sprendimas – jei jis priimtas. Protokolą pasirašo komisijos pirmininkas ir komisijos nariai, protokolas registruojamas. Patalpų savininkų balsavimo biuleteniai, balsavimų elektroninėmis ryšio priemonėmis rezultatai ir jų metaduomenys, ir protokolas saugomi 5 metus nuo protokolo pasirašymo dienos ir pasibaigus saugojimo terminui, sunaikinami teisės aktuose nustatyta tvarka.</w:t>
      </w:r>
    </w:p>
    <w:p w:rsidR="0001524C" w:rsidRPr="00E4147D" w:rsidRDefault="0025787F" w:rsidP="00D93DAE">
      <w:r w:rsidRPr="00E4147D">
        <w:t xml:space="preserve">23. Protokolo kopija ne vėliau kaip per 3 darbo dienas nuo protokolo surašymo dienos skelbiama Butų ir kitų patalpų savininkų susirinkimo šaukimo, darbotvarkės ir priimtų sprendimų skelbimo tvarkos apraše, patvirtintame Lietuvos Respublikos aplinkos ministro 2012 m. lapkričio 22 d. įsakymu Nr. D1-961 „Dėl Butų ir kitų patalpų savininkų susirinkimo šaukimo, darbotvarkės ir priimtų sprendimų skelbimo tvarkos aprašo patvirtinimo“, nustatyta tvarka, taip pat </w:t>
      </w:r>
      <w:r w:rsidRPr="00D67872">
        <w:rPr>
          <w:u w:val="single"/>
        </w:rPr>
        <w:t>išsiunčiama patalpos savininko raštu nurodytu el. pašto adresu</w:t>
      </w:r>
      <w:r w:rsidRPr="00E4147D">
        <w:t xml:space="preserve">, </w:t>
      </w:r>
      <w:r w:rsidRPr="00D67872">
        <w:rPr>
          <w:u w:val="single"/>
        </w:rPr>
        <w:t>jeigu</w:t>
      </w:r>
      <w:r w:rsidRPr="00E4147D">
        <w:t xml:space="preserve"> patalpos savininkas ar jo įgaliotas asmuo balsavimo biuletenį grąžino organizatoriui pranešime nurodytu organizatoriaus el. paštu </w:t>
      </w:r>
      <w:r w:rsidRPr="00D67872">
        <w:rPr>
          <w:u w:val="single"/>
        </w:rPr>
        <w:t>arba balsavo elektroninėmis ryšio priemonėmis</w:t>
      </w:r>
      <w:r w:rsidRPr="00E4147D">
        <w:t>. Patalpos savininkui prašant, ne vėliau kaip per 10 darbo dienų nuo prašymo gavimo turi būti pateikiama protokolo kopija jo nurodytu būdu.</w:t>
      </w:r>
    </w:p>
    <w:p w:rsidR="00E248F2" w:rsidRPr="004C646E" w:rsidRDefault="00E4147D" w:rsidP="004C646E">
      <w:pPr>
        <w:pStyle w:val="Heading2"/>
      </w:pPr>
      <w:r w:rsidRPr="004C646E">
        <w:t>Daugiabučių gyvenamųjų namų ar kitos paskirties pastatų savininkų bendrijos narių balsavimo raštu dėl priimamų sprendimų tvarkos aprašas</w:t>
      </w:r>
    </w:p>
    <w:p w:rsidR="00E248F2" w:rsidRPr="00E4147D" w:rsidRDefault="00E248F2" w:rsidP="00D93DAE">
      <w:r w:rsidRPr="00E4147D">
        <w:t>5. Organizatorius apie rengiamą balsavimą skelbia bendrijos skelbimų lentoje arba kitose gerai matomose vietose, savo interneto svetainėje (jeigu tokia yra). Skelbime nurodoma:</w:t>
      </w:r>
    </w:p>
    <w:p w:rsidR="00E248F2" w:rsidRPr="00E4147D" w:rsidRDefault="00E248F2" w:rsidP="00D93DAE">
      <w:r w:rsidRPr="00E4147D">
        <w:t xml:space="preserve">5.3. balsadėžės vieta užpildytam biuleteniui grąžinti, </w:t>
      </w:r>
      <w:r w:rsidRPr="00D67872">
        <w:rPr>
          <w:u w:val="single"/>
        </w:rPr>
        <w:t>elektroninio pašto adresas išsiųsti nuskenuotą ar nufotografuotą užpildytą biuletenį</w:t>
      </w:r>
      <w:r w:rsidRPr="00E4147D">
        <w:t>, adresas, kuriuo galima išsiųsti užpildytą biuletenį paštu ir balsavimo elektroninio ryšio priemonėmis procedūra, jeigu organizatorius yra sudaręs galimybę patalpų savininkams balsuoti ir elektroninio ryšio priemonėmis;</w:t>
      </w:r>
    </w:p>
    <w:p w:rsidR="00E248F2" w:rsidRPr="00E4147D" w:rsidRDefault="00E248F2" w:rsidP="00D93DAE">
      <w:r w:rsidRPr="00E4147D">
        <w:t>5.5. informacija apie balsavimo raštu balsų skaičiavimo komisiją (toliau – komisija), sudarytą pagal aprašo 11 punktą;</w:t>
      </w:r>
    </w:p>
    <w:p w:rsidR="00877A71" w:rsidRPr="00E4147D" w:rsidRDefault="00D67872" w:rsidP="00D93DAE">
      <w:r>
        <w:t>DAP: Kokia informacija apie komisiją?</w:t>
      </w:r>
    </w:p>
    <w:p w:rsidR="00877A71" w:rsidRPr="00E4147D" w:rsidRDefault="00877A71" w:rsidP="00D93DAE">
      <w:r w:rsidRPr="00E4147D">
        <w:t xml:space="preserve">6. Pagal aprašo 1 priedo reikalavimus organizatorius parengia bendrijos narių balsavimo biuletenį (toliau </w:t>
      </w:r>
      <w:r w:rsidR="00AA3F60" w:rsidRPr="00E4147D">
        <w:t>– biuletenis). Bendrijos nariui</w:t>
      </w:r>
      <w:r w:rsidRPr="00E4147D">
        <w:t xml:space="preserve"> </w:t>
      </w:r>
      <w:r w:rsidR="00AA3F60" w:rsidRPr="00E4147D">
        <w:t>[…]</w:t>
      </w:r>
      <w:r w:rsidRPr="00E4147D">
        <w:t xml:space="preserve"> įteikiamas vienas biuletenis. </w:t>
      </w:r>
    </w:p>
    <w:p w:rsidR="00996FE4" w:rsidRPr="00E4147D" w:rsidRDefault="00996FE4" w:rsidP="00D93DAE">
      <w:r w:rsidRPr="00E4147D">
        <w:t xml:space="preserve">6.1. asmeniškai pasirašant biuletenių išdavimo lape, kuriame turi būti </w:t>
      </w:r>
      <w:r w:rsidRPr="00D67872">
        <w:rPr>
          <w:u w:val="single"/>
        </w:rPr>
        <w:t>bendrijos nario vardas, pavardė, parašas</w:t>
      </w:r>
      <w:r w:rsidRPr="00E4147D">
        <w:t>, pasirašymo data;</w:t>
      </w:r>
    </w:p>
    <w:p w:rsidR="00D67872" w:rsidRPr="00E4147D" w:rsidRDefault="00D67872" w:rsidP="00D67872">
      <w:r>
        <w:t>DAP pastaba dėl 6.1: Pasirašančiam atskleidžiami bendrasavininkų asmens duomenys.</w:t>
      </w:r>
    </w:p>
    <w:p w:rsidR="00996FE4" w:rsidRPr="00E4147D" w:rsidRDefault="00996FE4" w:rsidP="00D93DAE">
      <w:r w:rsidRPr="00E4147D">
        <w:t>8. Vykdant balsavimą ir elektroninio ryšio priemonėmis organizatorius privalo užtikrinti, kad:</w:t>
      </w:r>
    </w:p>
    <w:p w:rsidR="00996FE4" w:rsidRPr="00E4147D" w:rsidRDefault="00996FE4" w:rsidP="00D93DAE">
      <w:r w:rsidRPr="00E4147D">
        <w:t xml:space="preserve">8.1. vienu, aprašo 6 punkte nurodytu būdu bendrijos nariui būtų </w:t>
      </w:r>
      <w:r w:rsidRPr="00D67872">
        <w:rPr>
          <w:u w:val="single"/>
        </w:rPr>
        <w:t>įteiktas biuletenis</w:t>
      </w:r>
      <w:r w:rsidRPr="00E4147D">
        <w:t>;</w:t>
      </w:r>
    </w:p>
    <w:p w:rsidR="00996FE4" w:rsidRPr="00E4147D" w:rsidRDefault="00D67872" w:rsidP="00D93DAE">
      <w:r>
        <w:lastRenderedPageBreak/>
        <w:t xml:space="preserve">DAP: </w:t>
      </w:r>
      <w:r w:rsidR="00996FE4" w:rsidRPr="00E4147D">
        <w:t>Būtų saugiau, jei biuletenis galėtų būti formuojamas ir pasirašomas informacinės sistemos priemonėmis,</w:t>
      </w:r>
    </w:p>
    <w:p w:rsidR="00996FE4" w:rsidRPr="00E4147D" w:rsidRDefault="00996FE4" w:rsidP="00D93DAE">
      <w:r w:rsidRPr="00E4147D">
        <w:t>8.4. bendrijos nario ar jo įgalioto asmens balsavimą elektroninio ryšio priemonėmis rezultatų kopija būtų išsiųsta bendrijos nario ar jo įgalioto asmens nurodytu el. pašto adresu.</w:t>
      </w:r>
    </w:p>
    <w:p w:rsidR="00996FE4" w:rsidRPr="00E4147D" w:rsidRDefault="00F13374" w:rsidP="00D93DAE">
      <w:r>
        <w:t>DAP: T</w:t>
      </w:r>
      <w:r w:rsidRPr="00E4147D">
        <w:t xml:space="preserve">ai </w:t>
      </w:r>
      <w:r>
        <w:t>nėra būtinas</w:t>
      </w:r>
      <w:r w:rsidRPr="00E4147D">
        <w:t xml:space="preserve"> asmens duomenų tvarkymas</w:t>
      </w:r>
      <w:r w:rsidR="00996FE4" w:rsidRPr="00E4147D">
        <w:t>.</w:t>
      </w:r>
    </w:p>
    <w:p w:rsidR="00877A71" w:rsidRPr="00E4147D" w:rsidRDefault="00877A71" w:rsidP="00D93DAE">
      <w:r w:rsidRPr="00E4147D">
        <w:t>15. Biuletenis laikomas negaliojančiu, jei jis:</w:t>
      </w:r>
    </w:p>
    <w:p w:rsidR="00877A71" w:rsidRPr="00E4147D" w:rsidRDefault="00877A71" w:rsidP="00D93DAE">
      <w:r w:rsidRPr="00F13374">
        <w:rPr>
          <w:u w:val="single"/>
        </w:rPr>
        <w:t>13.3.</w:t>
      </w:r>
      <w:r w:rsidRPr="00E4147D">
        <w:t xml:space="preserve"> </w:t>
      </w:r>
      <w:r w:rsidRPr="00D61093">
        <w:rPr>
          <w:u w:val="single"/>
        </w:rPr>
        <w:t>grąžintas ne iš bendrijos nario raštu nurodyto el. pašto</w:t>
      </w:r>
      <w:r w:rsidRPr="00E4147D">
        <w:t>.</w:t>
      </w:r>
    </w:p>
    <w:p w:rsidR="00877A71" w:rsidRDefault="00F13374" w:rsidP="00F13374">
      <w:r>
        <w:t xml:space="preserve">DAP: </w:t>
      </w:r>
      <w:r w:rsidR="0025787F" w:rsidRPr="00E4147D">
        <w:t xml:space="preserve">Numeracijos klaida, turėtų būti </w:t>
      </w:r>
      <w:r w:rsidR="00D93DAE">
        <w:t>„</w:t>
      </w:r>
      <w:r w:rsidR="0025787F" w:rsidRPr="00E4147D">
        <w:t>15.3</w:t>
      </w:r>
      <w:r w:rsidR="00D93DAE">
        <w:t>“</w:t>
      </w:r>
      <w:r w:rsidR="0025787F" w:rsidRPr="00E4147D">
        <w:t xml:space="preserve">. </w:t>
      </w:r>
      <w:r>
        <w:t xml:space="preserve">Rizikos: gali būti padirbtas </w:t>
      </w:r>
      <w:r w:rsidR="00D61093">
        <w:t xml:space="preserve">el. pašto adresas </w:t>
      </w:r>
      <w:r>
        <w:t>apsimetant bendrijos nariu</w:t>
      </w:r>
      <w:r w:rsidR="00D61093">
        <w:t>;</w:t>
      </w:r>
      <w:r>
        <w:t xml:space="preserve"> teisėtai balsuojant gali per klaidą būti nurodytas netinkamas el. pašto adresas</w:t>
      </w:r>
      <w:r w:rsidR="00D61093">
        <w:t xml:space="preserve"> ir neįskaitytas bendrijos nario balsas</w:t>
      </w:r>
      <w:r>
        <w:t>.</w:t>
      </w:r>
    </w:p>
    <w:p w:rsidR="004C646E" w:rsidRDefault="004C646E" w:rsidP="00F13374"/>
    <w:p w:rsidR="004C646E" w:rsidRDefault="004C646E" w:rsidP="004C646E">
      <w:pPr>
        <w:ind w:firstLine="0"/>
        <w:jc w:val="center"/>
      </w:pPr>
      <w:r>
        <w:t>_________________________</w:t>
      </w:r>
    </w:p>
    <w:p w:rsidR="00F13374" w:rsidRPr="00E4147D" w:rsidRDefault="00F13374" w:rsidP="00F13374"/>
    <w:sectPr w:rsidR="00F13374" w:rsidRPr="00E4147D" w:rsidSect="004C646E">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79E" w:rsidRDefault="0099179E" w:rsidP="0099179E">
      <w:pPr>
        <w:spacing w:after="0"/>
      </w:pPr>
      <w:r>
        <w:separator/>
      </w:r>
    </w:p>
  </w:endnote>
  <w:endnote w:type="continuationSeparator" w:id="0">
    <w:p w:rsidR="0099179E" w:rsidRDefault="0099179E" w:rsidP="009917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79E" w:rsidRDefault="0099179E" w:rsidP="0099179E">
      <w:pPr>
        <w:spacing w:after="0"/>
      </w:pPr>
      <w:r>
        <w:separator/>
      </w:r>
    </w:p>
  </w:footnote>
  <w:footnote w:type="continuationSeparator" w:id="0">
    <w:p w:rsidR="0099179E" w:rsidRDefault="0099179E" w:rsidP="0099179E">
      <w:pPr>
        <w:spacing w:after="0"/>
      </w:pPr>
      <w:r>
        <w:continuationSeparator/>
      </w:r>
    </w:p>
  </w:footnote>
  <w:footnote w:id="1">
    <w:p w:rsidR="0099179E" w:rsidRDefault="0099179E" w:rsidP="0099179E">
      <w:pPr>
        <w:pStyle w:val="FootnoteText"/>
        <w:ind w:firstLine="0"/>
      </w:pPr>
      <w:r>
        <w:rPr>
          <w:rStyle w:val="FootnoteReference"/>
        </w:rPr>
        <w:footnoteRef/>
      </w:r>
      <w:r>
        <w:t xml:space="preserve"> 2016 m. balandžio 27 d. Europos Parlamento ir Tarybos reglamentas (ES) 2016/679 dėl fizinių asmenų apsaugos tvarkant asmens duomenis ir dėl laisvo tokių duomenų judėjimo ir kuriuo panaikinama Direktyva 95/46/EB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3091F"/>
    <w:multiLevelType w:val="hybridMultilevel"/>
    <w:tmpl w:val="3E7C8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765762"/>
    <w:multiLevelType w:val="hybridMultilevel"/>
    <w:tmpl w:val="26D08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516D99"/>
    <w:multiLevelType w:val="hybridMultilevel"/>
    <w:tmpl w:val="AD18083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nsid w:val="62B626D4"/>
    <w:multiLevelType w:val="hybridMultilevel"/>
    <w:tmpl w:val="B1AC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296D1E"/>
    <w:multiLevelType w:val="hybridMultilevel"/>
    <w:tmpl w:val="CECC155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F2"/>
    <w:rsid w:val="0001524C"/>
    <w:rsid w:val="00083E0E"/>
    <w:rsid w:val="000D0D95"/>
    <w:rsid w:val="00105F13"/>
    <w:rsid w:val="001C71E6"/>
    <w:rsid w:val="0025787F"/>
    <w:rsid w:val="00277EAE"/>
    <w:rsid w:val="00313EE2"/>
    <w:rsid w:val="00431EB2"/>
    <w:rsid w:val="004A3D51"/>
    <w:rsid w:val="004C646E"/>
    <w:rsid w:val="00592BEE"/>
    <w:rsid w:val="005E4088"/>
    <w:rsid w:val="0063658A"/>
    <w:rsid w:val="00877A71"/>
    <w:rsid w:val="00902577"/>
    <w:rsid w:val="0099179E"/>
    <w:rsid w:val="00996FE4"/>
    <w:rsid w:val="00A045BF"/>
    <w:rsid w:val="00A330BA"/>
    <w:rsid w:val="00A97B27"/>
    <w:rsid w:val="00AA3F60"/>
    <w:rsid w:val="00AF0991"/>
    <w:rsid w:val="00B55EC0"/>
    <w:rsid w:val="00B85F5F"/>
    <w:rsid w:val="00D61093"/>
    <w:rsid w:val="00D67872"/>
    <w:rsid w:val="00D93DAE"/>
    <w:rsid w:val="00E248F2"/>
    <w:rsid w:val="00E4147D"/>
    <w:rsid w:val="00EA4019"/>
    <w:rsid w:val="00F13374"/>
    <w:rsid w:val="00F61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DAE"/>
    <w:pPr>
      <w:spacing w:after="120" w:line="240" w:lineRule="auto"/>
      <w:ind w:firstLine="720"/>
      <w:jc w:val="both"/>
    </w:pPr>
    <w:rPr>
      <w:rFonts w:ascii="Times New Roman" w:hAnsi="Times New Roman"/>
      <w:sz w:val="24"/>
      <w:lang w:val="lt-LT"/>
    </w:rPr>
  </w:style>
  <w:style w:type="paragraph" w:styleId="Heading1">
    <w:name w:val="heading 1"/>
    <w:basedOn w:val="Normal"/>
    <w:next w:val="Normal"/>
    <w:link w:val="Heading1Char"/>
    <w:uiPriority w:val="9"/>
    <w:qFormat/>
    <w:rsid w:val="00A97B27"/>
    <w:pPr>
      <w:keepNext/>
      <w:keepLines/>
      <w:widowControl w:val="0"/>
      <w:spacing w:before="360" w:after="360"/>
      <w:ind w:firstLine="0"/>
      <w:jc w:val="left"/>
      <w:outlineLvl w:val="0"/>
    </w:pPr>
    <w:rPr>
      <w:rFonts w:eastAsiaTheme="majorEastAsia" w:cstheme="majorBidi"/>
      <w:bCs/>
      <w:caps/>
      <w:szCs w:val="28"/>
    </w:rPr>
  </w:style>
  <w:style w:type="paragraph" w:styleId="Heading2">
    <w:name w:val="heading 2"/>
    <w:basedOn w:val="Normal"/>
    <w:next w:val="Normal"/>
    <w:link w:val="Heading2Char"/>
    <w:uiPriority w:val="9"/>
    <w:unhideWhenUsed/>
    <w:qFormat/>
    <w:rsid w:val="0099179E"/>
    <w:pPr>
      <w:keepNext/>
      <w:keepLines/>
      <w:widowControl w:val="0"/>
      <w:spacing w:before="240"/>
      <w:ind w:firstLine="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179E"/>
    <w:rPr>
      <w:rFonts w:ascii="Times New Roman" w:eastAsiaTheme="majorEastAsia" w:hAnsi="Times New Roman" w:cstheme="majorBidi"/>
      <w:b/>
      <w:bCs/>
      <w:sz w:val="24"/>
      <w:szCs w:val="26"/>
      <w:lang w:val="lt-LT"/>
    </w:rPr>
  </w:style>
  <w:style w:type="paragraph" w:styleId="ListParagraph">
    <w:name w:val="List Paragraph"/>
    <w:basedOn w:val="Normal"/>
    <w:uiPriority w:val="34"/>
    <w:qFormat/>
    <w:rsid w:val="00E4147D"/>
    <w:pPr>
      <w:ind w:left="720"/>
      <w:contextualSpacing/>
    </w:pPr>
  </w:style>
  <w:style w:type="character" w:customStyle="1" w:styleId="Heading1Char">
    <w:name w:val="Heading 1 Char"/>
    <w:basedOn w:val="DefaultParagraphFont"/>
    <w:link w:val="Heading1"/>
    <w:uiPriority w:val="9"/>
    <w:rsid w:val="00A97B27"/>
    <w:rPr>
      <w:rFonts w:ascii="Times New Roman" w:eastAsiaTheme="majorEastAsia" w:hAnsi="Times New Roman" w:cstheme="majorBidi"/>
      <w:bCs/>
      <w:caps/>
      <w:sz w:val="24"/>
      <w:szCs w:val="28"/>
      <w:lang w:val="lt-LT"/>
    </w:rPr>
  </w:style>
  <w:style w:type="paragraph" w:styleId="FootnoteText">
    <w:name w:val="footnote text"/>
    <w:basedOn w:val="Normal"/>
    <w:link w:val="FootnoteTextChar"/>
    <w:uiPriority w:val="99"/>
    <w:semiHidden/>
    <w:unhideWhenUsed/>
    <w:rsid w:val="0099179E"/>
    <w:pPr>
      <w:spacing w:after="0"/>
    </w:pPr>
    <w:rPr>
      <w:sz w:val="20"/>
      <w:szCs w:val="20"/>
    </w:rPr>
  </w:style>
  <w:style w:type="character" w:customStyle="1" w:styleId="FootnoteTextChar">
    <w:name w:val="Footnote Text Char"/>
    <w:basedOn w:val="DefaultParagraphFont"/>
    <w:link w:val="FootnoteText"/>
    <w:uiPriority w:val="99"/>
    <w:semiHidden/>
    <w:rsid w:val="0099179E"/>
    <w:rPr>
      <w:rFonts w:ascii="Times New Roman" w:hAnsi="Times New Roman"/>
      <w:sz w:val="20"/>
      <w:szCs w:val="20"/>
      <w:lang w:val="lt-LT"/>
    </w:rPr>
  </w:style>
  <w:style w:type="character" w:styleId="FootnoteReference">
    <w:name w:val="footnote reference"/>
    <w:basedOn w:val="DefaultParagraphFont"/>
    <w:uiPriority w:val="99"/>
    <w:semiHidden/>
    <w:unhideWhenUsed/>
    <w:rsid w:val="009917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DAE"/>
    <w:pPr>
      <w:spacing w:after="120" w:line="240" w:lineRule="auto"/>
      <w:ind w:firstLine="720"/>
      <w:jc w:val="both"/>
    </w:pPr>
    <w:rPr>
      <w:rFonts w:ascii="Times New Roman" w:hAnsi="Times New Roman"/>
      <w:sz w:val="24"/>
      <w:lang w:val="lt-LT"/>
    </w:rPr>
  </w:style>
  <w:style w:type="paragraph" w:styleId="Heading1">
    <w:name w:val="heading 1"/>
    <w:basedOn w:val="Normal"/>
    <w:next w:val="Normal"/>
    <w:link w:val="Heading1Char"/>
    <w:uiPriority w:val="9"/>
    <w:qFormat/>
    <w:rsid w:val="00A97B27"/>
    <w:pPr>
      <w:keepNext/>
      <w:keepLines/>
      <w:widowControl w:val="0"/>
      <w:spacing w:before="360" w:after="360"/>
      <w:ind w:firstLine="0"/>
      <w:jc w:val="left"/>
      <w:outlineLvl w:val="0"/>
    </w:pPr>
    <w:rPr>
      <w:rFonts w:eastAsiaTheme="majorEastAsia" w:cstheme="majorBidi"/>
      <w:bCs/>
      <w:caps/>
      <w:szCs w:val="28"/>
    </w:rPr>
  </w:style>
  <w:style w:type="paragraph" w:styleId="Heading2">
    <w:name w:val="heading 2"/>
    <w:basedOn w:val="Normal"/>
    <w:next w:val="Normal"/>
    <w:link w:val="Heading2Char"/>
    <w:uiPriority w:val="9"/>
    <w:unhideWhenUsed/>
    <w:qFormat/>
    <w:rsid w:val="0099179E"/>
    <w:pPr>
      <w:keepNext/>
      <w:keepLines/>
      <w:widowControl w:val="0"/>
      <w:spacing w:before="240"/>
      <w:ind w:firstLine="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179E"/>
    <w:rPr>
      <w:rFonts w:ascii="Times New Roman" w:eastAsiaTheme="majorEastAsia" w:hAnsi="Times New Roman" w:cstheme="majorBidi"/>
      <w:b/>
      <w:bCs/>
      <w:sz w:val="24"/>
      <w:szCs w:val="26"/>
      <w:lang w:val="lt-LT"/>
    </w:rPr>
  </w:style>
  <w:style w:type="paragraph" w:styleId="ListParagraph">
    <w:name w:val="List Paragraph"/>
    <w:basedOn w:val="Normal"/>
    <w:uiPriority w:val="34"/>
    <w:qFormat/>
    <w:rsid w:val="00E4147D"/>
    <w:pPr>
      <w:ind w:left="720"/>
      <w:contextualSpacing/>
    </w:pPr>
  </w:style>
  <w:style w:type="character" w:customStyle="1" w:styleId="Heading1Char">
    <w:name w:val="Heading 1 Char"/>
    <w:basedOn w:val="DefaultParagraphFont"/>
    <w:link w:val="Heading1"/>
    <w:uiPriority w:val="9"/>
    <w:rsid w:val="00A97B27"/>
    <w:rPr>
      <w:rFonts w:ascii="Times New Roman" w:eastAsiaTheme="majorEastAsia" w:hAnsi="Times New Roman" w:cstheme="majorBidi"/>
      <w:bCs/>
      <w:caps/>
      <w:sz w:val="24"/>
      <w:szCs w:val="28"/>
      <w:lang w:val="lt-LT"/>
    </w:rPr>
  </w:style>
  <w:style w:type="paragraph" w:styleId="FootnoteText">
    <w:name w:val="footnote text"/>
    <w:basedOn w:val="Normal"/>
    <w:link w:val="FootnoteTextChar"/>
    <w:uiPriority w:val="99"/>
    <w:semiHidden/>
    <w:unhideWhenUsed/>
    <w:rsid w:val="0099179E"/>
    <w:pPr>
      <w:spacing w:after="0"/>
    </w:pPr>
    <w:rPr>
      <w:sz w:val="20"/>
      <w:szCs w:val="20"/>
    </w:rPr>
  </w:style>
  <w:style w:type="character" w:customStyle="1" w:styleId="FootnoteTextChar">
    <w:name w:val="Footnote Text Char"/>
    <w:basedOn w:val="DefaultParagraphFont"/>
    <w:link w:val="FootnoteText"/>
    <w:uiPriority w:val="99"/>
    <w:semiHidden/>
    <w:rsid w:val="0099179E"/>
    <w:rPr>
      <w:rFonts w:ascii="Times New Roman" w:hAnsi="Times New Roman"/>
      <w:sz w:val="20"/>
      <w:szCs w:val="20"/>
      <w:lang w:val="lt-LT"/>
    </w:rPr>
  </w:style>
  <w:style w:type="character" w:styleId="FootnoteReference">
    <w:name w:val="footnote reference"/>
    <w:basedOn w:val="DefaultParagraphFont"/>
    <w:uiPriority w:val="99"/>
    <w:semiHidden/>
    <w:unhideWhenUsed/>
    <w:rsid w:val="009917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523EE-7129-4DEE-AC8E-F514409E9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1616</Words>
  <Characters>9214</Characters>
  <Application>Microsoft Office Word</Application>
  <DocSecurity>0</DocSecurity>
  <Lines>76</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Mykolas Okulič-Kazarinas</dc:creator>
  <cp:lastModifiedBy>Jūratė Kaklauskienė</cp:lastModifiedBy>
  <cp:revision>2</cp:revision>
  <dcterms:created xsi:type="dcterms:W3CDTF">2021-02-12T09:29:00Z</dcterms:created>
  <dcterms:modified xsi:type="dcterms:W3CDTF">2021-02-12T09:29:00Z</dcterms:modified>
</cp:coreProperties>
</file>