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ba2a06b017f4a76966092a741bfd281"/>
        <w:lock w:val="sdtLocked"/>
        <w:richText/>
      </w:sdtPr>
      <w:sdtContent>
        <w:p>
          <w:pPr>
            <w:tabs>
              <w:tab w:val="center" w:pos="4819"/>
              <w:tab w:val="right" w:pos="9638"/>
            </w:tabs>
            <w:spacing w:line="276" w:lineRule="auto"/>
            <w:rPr>
              <w:rFonts w:ascii="Calibri" w:eastAsia="Calibri" w:hAnsi="Calibri"/>
              <w:sz w:val="22"/>
              <w:szCs w:val="22"/>
            </w:rPr>
          </w:pPr>
        </w:p>
        <w:p>
          <w:pPr>
            <w:rPr>
              <w:sz w:val="18"/>
              <w:szCs w:val="18"/>
            </w:rPr>
          </w:pPr>
        </w:p>
        <w:p>
          <w:pPr>
            <w:suppressAutoHyphens/>
            <w:jc w:val="center"/>
            <w:rPr>
              <w:b/>
              <w:bCs/>
              <w:color w:val="000000"/>
              <w:kern w:val="2"/>
              <w:szCs w:val="24"/>
              <w:lang w:eastAsia="zh-CN"/>
            </w:rPr>
          </w:pPr>
          <w:r>
            <w:rPr>
              <w:b/>
              <w:bCs/>
              <w:color w:val="000000"/>
              <w:kern w:val="2"/>
              <w:szCs w:val="24"/>
              <w:lang w:eastAsia="zh-CN"/>
            </w:rPr>
            <w:t>ŠIAULIŲ MIESTO SAVIVALDYBĖS ADMINISTRACIJOS</w:t>
          </w:r>
        </w:p>
        <w:sdt>
          <w:sdtPr>
            <w:alias w:val="skyrius"/>
            <w:tag w:val="part_e75e6507b7cd49b2aa262919eee11e46"/>
            <w:lock w:val="sdtLocked"/>
            <w:richText/>
          </w:sdtPr>
          <w:sdtContent>
            <w:p>
              <w:pPr>
                <w:suppressAutoHyphens/>
                <w:jc w:val="center"/>
                <w:rPr>
                  <w:b/>
                  <w:bCs/>
                  <w:kern w:val="2"/>
                  <w:szCs w:val="24"/>
                  <w:lang w:eastAsia="zh-CN"/>
                </w:rPr>
              </w:pPr>
              <w:r>
                <w:rPr>
                  <w:b/>
                  <w:bCs/>
                  <w:kern w:val="2"/>
                  <w:szCs w:val="24"/>
                  <w:lang w:eastAsia="zh-CN"/>
                </w:rPr>
                <w:t>KULTŪROS SKYRIUS</w:t>
              </w:r>
            </w:p>
            <w:p>
              <w:pPr>
                <w:suppressAutoHyphens/>
                <w:jc w:val="center"/>
                <w:rPr>
                  <w:kern w:val="2"/>
                  <w:szCs w:val="24"/>
                  <w:lang w:eastAsia="zh-CN"/>
                </w:rPr>
              </w:pPr>
            </w:p>
            <w:sdt>
              <w:sdtPr>
                <w:alias w:val="Pavadinimas"/>
                <w:tag w:val="title_e75e6507b7cd49b2aa262919eee11e46"/>
                <w:lock w:val="sdtLocked"/>
                <w:richText/>
              </w:sdtPr>
              <w:sdtContent>
                <w:p>
                  <w:pPr>
                    <w:jc w:val="center"/>
                    <w:rPr>
                      <w:rFonts w:eastAsia="Lucida Sans Unicode"/>
                      <w:b/>
                      <w:bCs/>
                      <w:caps/>
                      <w:color w:val="000000"/>
                      <w:szCs w:val="24"/>
                      <w:shd w:val="clear" w:color="auto" w:fill="FFFFFF"/>
                    </w:rPr>
                  </w:pPr>
                  <w:r>
                    <w:rPr>
                      <w:rFonts w:eastAsia="Lucida Sans Unicode"/>
                      <w:b/>
                      <w:bCs/>
                      <w:caps/>
                      <w:color w:val="000000"/>
                      <w:szCs w:val="24"/>
                      <w:shd w:val="clear" w:color="auto" w:fill="FFFFFF"/>
                    </w:rPr>
                    <w:t xml:space="preserve">SPRENDIMO „DĖL ŠIAULIŲ KULTŪROS CENTRO TEIKIAMŲ ATLYGINTINŲ PASLAUGŲ SĄRAŠO PATVIRTINIMO“ projekto </w:t>
                  </w:r>
                </w:p>
                <w:p>
                  <w:pPr>
                    <w:jc w:val="center"/>
                    <w:rPr>
                      <w:rFonts w:eastAsia="Lucida Sans Unicode"/>
                      <w:b/>
                      <w:bCs/>
                      <w:caps/>
                      <w:color w:val="000000"/>
                      <w:szCs w:val="24"/>
                      <w:highlight w:val="white"/>
                    </w:rPr>
                  </w:pPr>
                  <w:r>
                    <w:rPr>
                      <w:rFonts w:eastAsia="Calibri"/>
                      <w:b/>
                      <w:bCs/>
                      <w:color w:val="000000"/>
                      <w:szCs w:val="24"/>
                    </w:rPr>
                    <w:t>AIŠKINAMASIS RAŠTAS</w:t>
                  </w:r>
                </w:p>
              </w:sdtContent>
            </w:sdt>
            <w:p>
              <w:pPr>
                <w:jc w:val="center"/>
                <w:rPr>
                  <w:szCs w:val="24"/>
                </w:rPr>
              </w:pPr>
            </w:p>
            <w:p>
              <w:pPr>
                <w:jc w:val="center"/>
                <w:rPr>
                  <w:szCs w:val="24"/>
                </w:rPr>
              </w:pPr>
              <w:r>
                <w:rPr>
                  <w:szCs w:val="24"/>
                </w:rPr>
                <w:t>2024-04-25</w:t>
              </w:r>
            </w:p>
            <w:p>
              <w:pPr>
                <w:widowControl w:val="0"/>
                <w:jc w:val="center"/>
                <w:rPr>
                  <w:rFonts w:eastAsia="Lucida Sans Unicode"/>
                  <w:iCs/>
                  <w:szCs w:val="24"/>
                  <w:lang w:eastAsia="lt-LT"/>
                </w:rPr>
              </w:pPr>
              <w:r>
                <w:rPr>
                  <w:rFonts w:eastAsia="Lucida Sans Unicode"/>
                  <w:iCs/>
                  <w:szCs w:val="24"/>
                  <w:lang w:eastAsia="lt-LT"/>
                </w:rPr>
                <w:t>Šiauliai</w:t>
              </w:r>
            </w:p>
            <w:p>
              <w:pPr>
                <w:widowControl w:val="0"/>
                <w:jc w:val="center"/>
                <w:rPr>
                  <w:rFonts w:eastAsia="Lucida Sans Unicode"/>
                  <w:iCs/>
                  <w:sz w:val="22"/>
                  <w:szCs w:val="22"/>
                  <w:lang w:eastAsia="lt-LT"/>
                </w:rPr>
              </w:pPr>
            </w:p>
            <w:sdt>
              <w:sdtPr>
                <w:alias w:val="poskyris"/>
                <w:tag w:val="part_7c6aad992ef7417caaf09813b01eb239"/>
                <w:lock w:val="sdtLocked"/>
                <w:richText/>
              </w:sdtPr>
              <w:sdtContent>
                <w:p>
                  <w:pPr>
                    <w:widowControl w:val="0"/>
                    <w:ind w:firstLine="720"/>
                    <w:jc w:val="both"/>
                    <w:rPr>
                      <w:b/>
                      <w:szCs w:val="24"/>
                      <w:lang w:eastAsia="lt-LT"/>
                    </w:rPr>
                  </w:pPr>
                  <w:sdt>
                    <w:sdtPr>
                      <w:alias w:val="Pavadinimas"/>
                      <w:tag w:val="title_7c6aad992ef7417caaf09813b01eb239"/>
                      <w:lock w:val="sdtLocked"/>
                      <w:richText/>
                    </w:sdtPr>
                    <w:sdtContent>
                      <w:r>
                        <w:rPr>
                          <w:b/>
                          <w:szCs w:val="24"/>
                          <w:lang w:eastAsia="lt-LT"/>
                        </w:rPr>
                        <w:t xml:space="preserve">Parengto sprendimo projekto tikslai ir uždaviniai. </w:t>
                      </w:r>
                    </w:sdtContent>
                  </w:sdt>
                </w:p>
                <w:p>
                  <w:pPr>
                    <w:widowControl w:val="0"/>
                    <w:ind w:firstLine="720"/>
                    <w:jc w:val="both"/>
                    <w:rPr>
                      <w:b/>
                      <w:szCs w:val="24"/>
                      <w:lang w:eastAsia="lt-LT"/>
                    </w:rPr>
                  </w:pPr>
                  <w:r>
                    <w:rPr>
                      <w:szCs w:val="24"/>
                      <w:lang w:eastAsia="lt-LT"/>
                    </w:rPr>
                    <w:t xml:space="preserve">Sprendimo projekto tikslas yra patvirtinti </w:t>
                  </w:r>
                  <w:r>
                    <w:rPr>
                      <w:szCs w:val="24"/>
                      <w:lang w:eastAsia="ar-SA"/>
                    </w:rPr>
                    <w:t xml:space="preserve">Šiaulių kultūros centro </w:t>
                  </w:r>
                  <w:r>
                    <w:rPr>
                      <w:szCs w:val="24"/>
                      <w:lang w:eastAsia="lt-LT"/>
                    </w:rPr>
                    <w:t xml:space="preserve">teikiamų atlygintinų paslaugų sąrašą. </w:t>
                  </w:r>
                </w:p>
              </w:sdtContent>
            </w:sdt>
            <w:sdt>
              <w:sdtPr>
                <w:alias w:val="poskyris"/>
                <w:tag w:val="part_2d5de0c08dee49ba8399c639de69d946"/>
                <w:lock w:val="sdtLocked"/>
                <w:richText/>
              </w:sdtPr>
              <w:sdtContent>
                <w:p>
                  <w:pPr>
                    <w:ind w:firstLine="720"/>
                    <w:jc w:val="both"/>
                    <w:rPr>
                      <w:szCs w:val="24"/>
                    </w:rPr>
                  </w:pPr>
                  <w:sdt>
                    <w:sdtPr>
                      <w:alias w:val="Pavadinimas"/>
                      <w:tag w:val="title_2d5de0c08dee49ba8399c639de69d946"/>
                      <w:lock w:val="sdtLocked"/>
                      <w:richText/>
                    </w:sdtPr>
                    <w:sdtContent>
                      <w:r>
                        <w:rPr>
                          <w:b/>
                          <w:szCs w:val="24"/>
                        </w:rPr>
                        <w:t xml:space="preserve">Dabartinis sprendimo projekte aptariamų klausimų reguliavimas. </w:t>
                      </w:r>
                    </w:sdtContent>
                  </w:sdt>
                </w:p>
                <w:p>
                  <w:pPr>
                    <w:ind w:firstLine="720"/>
                    <w:jc w:val="both"/>
                    <w:rPr>
                      <w:szCs w:val="24"/>
                    </w:rPr>
                  </w:pPr>
                  <w:r>
                    <w:rPr>
                      <w:szCs w:val="24"/>
                    </w:rPr>
                    <w:t xml:space="preserve">Dabar galiojantis Šiaulių kultūros centro teikiamų atlygintinų paslaugų sąrašas (toliau – paslaugų sąrašas), yra patvirtintas Šiaulių miesto savivaldybės tarybos 2016 m. vasario 25 d. sprendimo Nr. T-54 „Dėl Šiaulių kultūros centro teikiamų atlygintinų paslaugų sąrašo patvirtinimo“ 1 punktu (Šiaulių miesto savivaldybės tarybos 2023 m. kovo 2 d. sprendimo Nr. T-52 redakcija).  </w:t>
                  </w:r>
                </w:p>
                <w:p>
                  <w:pPr>
                    <w:ind w:firstLine="709"/>
                    <w:jc w:val="both"/>
                    <w:rPr>
                      <w:rFonts w:eastAsia="Calibri"/>
                      <w:szCs w:val="24"/>
                    </w:rPr>
                  </w:pPr>
                  <w:r>
                    <w:rPr>
                      <w:rFonts w:eastAsia="Calibri"/>
                      <w:szCs w:val="24"/>
                    </w:rPr>
                    <w:t xml:space="preserve">Sprendimo projektas parengtas atsižvelgiant į Šiaulių kultūros centro (toliau – Kultūros centras) 2024-04-15 raštą Nr. 83-(3.1.) „Dėl Šiaulių kultūros centro teikiamų atlygintinų paslaugų sąrašo pakeitimo“. </w:t>
                  </w:r>
                </w:p>
              </w:sdtContent>
            </w:sdt>
            <w:sdt>
              <w:sdtPr>
                <w:alias w:val="poskyris"/>
                <w:tag w:val="part_ed20678533ad45029ef2530fdc9df83d"/>
                <w:lock w:val="sdtLocked"/>
                <w:richText/>
              </w:sdtPr>
              <w:sdtContent>
                <w:p>
                  <w:pPr>
                    <w:ind w:firstLine="709"/>
                    <w:jc w:val="both"/>
                    <w:rPr>
                      <w:rFonts w:eastAsia="Calibri"/>
                      <w:b/>
                      <w:color w:val="000000"/>
                      <w:szCs w:val="24"/>
                    </w:rPr>
                  </w:pPr>
                  <w:sdt>
                    <w:sdtPr>
                      <w:alias w:val="Pavadinimas"/>
                      <w:tag w:val="title_ed20678533ad45029ef2530fdc9df83d"/>
                      <w:lock w:val="sdtLocked"/>
                      <w:richText/>
                    </w:sdtPr>
                    <w:sdtContent>
                      <w:r>
                        <w:rPr>
                          <w:rFonts w:eastAsia="Calibri"/>
                          <w:b/>
                          <w:color w:val="000000"/>
                          <w:szCs w:val="24"/>
                        </w:rPr>
                        <w:t xml:space="preserve">Sprendimo projekte numatytos naujos teisinio reglamentavimo nuostatos. </w:t>
                      </w:r>
                    </w:sdtContent>
                  </w:sdt>
                </w:p>
                <w:p>
                  <w:pPr>
                    <w:ind w:firstLine="709"/>
                    <w:jc w:val="both"/>
                    <w:rPr>
                      <w:rFonts w:eastAsia="Calibri"/>
                      <w:szCs w:val="24"/>
                    </w:rPr>
                  </w:pPr>
                  <w:r>
                    <w:rPr>
                      <w:rFonts w:eastAsia="Calibri"/>
                      <w:szCs w:val="24"/>
                    </w:rPr>
                    <w:t>Kultūros centras, įvertinęs savo vykdomas veiklas, atsisako nebeaktualių renginių su kitų organizacijų bilietais paslaugų dėl Kultūros centre veikiančios bilietų ir kvietimų platinimo sistemos (lyginamojo varianto 1.1.1, 1.2.1, 1.3.1, 1.4.1, 2.1.1 eil.). Keičiama 1.1.2, 1.2.2, 1.3.2, 1.4.2, 1.5, 1.6, 1.7 1.8, 1.9 eilučių numeracija ir papildomos bei koreguojamos paslaugų formuluotės.</w:t>
                  </w:r>
                </w:p>
                <w:p>
                  <w:pPr>
                    <w:ind w:firstLine="709"/>
                    <w:jc w:val="both"/>
                    <w:rPr>
                      <w:rFonts w:eastAsia="Calibri"/>
                      <w:szCs w:val="24"/>
                    </w:rPr>
                  </w:pPr>
                  <w:r>
                    <w:rPr>
                      <w:rFonts w:eastAsia="Calibri"/>
                      <w:szCs w:val="24"/>
                    </w:rPr>
                    <w:t xml:space="preserve">Tikslinamos lyginamojo varianto 10.1, 10.2 paslaugų sąrašo eilutėse esančių paslaugų mato vienetų formuluotės, jose papildomai nurodant paslaugos trukmę (1 para). </w:t>
                  </w:r>
                </w:p>
                <w:p>
                  <w:pPr>
                    <w:ind w:firstLine="709"/>
                    <w:jc w:val="both"/>
                    <w:rPr>
                      <w:rFonts w:eastAsia="Calibri"/>
                      <w:szCs w:val="24"/>
                    </w:rPr>
                  </w:pPr>
                  <w:r>
                    <w:rPr>
                      <w:rFonts w:eastAsia="Calibri"/>
                      <w:szCs w:val="24"/>
                    </w:rPr>
                    <w:t xml:space="preserve">Išbraukiama paslauga „scenos transportavimas“ (lyg. var. 10.3 eil.), ją transformuojant ir perkeliant į lyginamojo varianto 14.11 eilutę bei praplečiant paslaugos pavadinimą „transporto (kolektyvo narių vežimas, techninės įrangos pervežimas) organizavimas“. Ši paslauga aktuali ne tik dėl scenos pervežimo, gavus užsakymus, bet ir teikiant kompleksines paslaugas, apimančias mėgėjų meno kolektyvų programų atlikimą kitame mieste, kai transportas reikalingas ir kolektyvų narių vykimui į renginio vietą ir atgal. </w:t>
                  </w:r>
                </w:p>
                <w:p>
                  <w:pPr>
                    <w:ind w:firstLine="709"/>
                    <w:jc w:val="both"/>
                    <w:rPr>
                      <w:rFonts w:eastAsia="Calibri"/>
                      <w:szCs w:val="24"/>
                    </w:rPr>
                  </w:pPr>
                  <w:r>
                    <w:rPr>
                      <w:rFonts w:eastAsia="Calibri"/>
                      <w:szCs w:val="24"/>
                    </w:rPr>
                    <w:t>Atstatoma paslauga prie bilietų kainos „suaugusiems“, kai „bilieto kaina skaičiuojama pagal formulę</w:t>
                  </w:r>
                  <w:r>
                    <w:rPr>
                      <w:rFonts w:eastAsia="Calibri"/>
                      <w:szCs w:val="24"/>
                      <w:vertAlign w:val="superscript"/>
                    </w:rPr>
                    <w:t>4</w:t>
                  </w:r>
                  <w:r>
                    <w:rPr>
                      <w:rFonts w:eastAsia="Calibri"/>
                      <w:szCs w:val="24"/>
                    </w:rPr>
                    <w:t xml:space="preserve">“ (lyg. var. 11.1 eil.), kuri dėl techninės klaidos dokumentų derinimo metu buvo išbraukta iš Kultūros centro paslaugų sąrašo. Tikslinamas paslaugos įkainis </w:t>
                  </w:r>
                  <w:r>
                    <w:rPr>
                      <w:bCs/>
                      <w:szCs w:val="24"/>
                      <w:lang w:eastAsia="lt-LT"/>
                    </w:rPr>
                    <w:t xml:space="preserve">su nuolaida virtualios „Šiauliečio kortelės“ turėtojams </w:t>
                  </w:r>
                  <w:r>
                    <w:rPr>
                      <w:rFonts w:ascii="Calibri" w:eastAsia="Calibri" w:hAnsi="Calibri"/>
                      <w:sz w:val="22"/>
                      <w:szCs w:val="22"/>
                    </w:rPr>
                    <w:t xml:space="preserve">– </w:t>
                  </w:r>
                  <w:r>
                    <w:rPr>
                      <w:bCs/>
                      <w:szCs w:val="24"/>
                      <w:lang w:eastAsia="lt-LT"/>
                    </w:rPr>
                    <w:t xml:space="preserve">siūloma </w:t>
                  </w:r>
                  <w:r>
                    <w:rPr>
                      <w:rFonts w:eastAsia="Calibri"/>
                      <w:szCs w:val="24"/>
                    </w:rPr>
                    <w:t xml:space="preserve">taikyti 10 proc. nuolaidą bilietui virtualios „Šiauliečio kortelės“ savininkams (lyg. var. 11.2 eil.) bei patikslinti suteikiamos paslaugos kainos formuluotę </w:t>
                  </w:r>
                  <w:r>
                    <w:rPr>
                      <w:rFonts w:ascii="Calibri" w:eastAsia="Calibri" w:hAnsi="Calibri"/>
                      <w:sz w:val="22"/>
                      <w:szCs w:val="22"/>
                    </w:rPr>
                    <w:t xml:space="preserve">– </w:t>
                  </w:r>
                  <w:r>
                    <w:rPr>
                      <w:rFonts w:eastAsia="Calibri"/>
                      <w:szCs w:val="24"/>
                    </w:rPr>
                    <w:t>„10 proc. nuolaida</w:t>
                  </w:r>
                  <w:r>
                    <w:rPr>
                      <w:rFonts w:eastAsia="Calibri"/>
                      <w:szCs w:val="24"/>
                      <w:vertAlign w:val="superscript"/>
                    </w:rPr>
                    <w:t>9</w:t>
                  </w:r>
                  <w:r>
                    <w:rPr>
                      <w:rFonts w:eastAsia="Calibri"/>
                      <w:szCs w:val="24"/>
                    </w:rPr>
                    <w:t xml:space="preserve">“. </w:t>
                  </w:r>
                </w:p>
                <w:p>
                  <w:pPr>
                    <w:ind w:firstLine="709"/>
                    <w:jc w:val="both"/>
                    <w:rPr>
                      <w:rFonts w:eastAsia="Calibri"/>
                      <w:szCs w:val="24"/>
                    </w:rPr>
                  </w:pPr>
                  <w:r>
                    <w:rPr>
                      <w:rFonts w:eastAsia="Calibri"/>
                      <w:szCs w:val="24"/>
                    </w:rPr>
                    <w:t xml:space="preserve">Tikslinama paslaugos „moksleiviui, studentui, pensininkui, pateikusiam LR, ES ar tarptautinį ISIC pažymėjimą, Europos jaunimo kortelę, ikimokyklinio amžiaus vaikui, vaikų globos namų auklėtiniui, šeimos namų gyventojui, neįgaliajam, socialiai remtinų šeimų moksleivių grupei, pateikusiai sąrašą“ formuluotė, išbraukiant neaktualią jos dalį „mokytojui, turinčiam tarptautinį ITIC pažymėjimą“. Šios paslaugos kainos formuluotė keičiama į trumpesnę </w:t>
                  </w:r>
                  <w:r>
                    <w:rPr>
                      <w:rFonts w:ascii="Calibri" w:eastAsia="Calibri" w:hAnsi="Calibri"/>
                      <w:sz w:val="22"/>
                      <w:szCs w:val="22"/>
                    </w:rPr>
                    <w:t xml:space="preserve">– </w:t>
                  </w:r>
                  <w:r>
                    <w:rPr>
                      <w:rFonts w:eastAsia="Calibri"/>
                      <w:szCs w:val="24"/>
                    </w:rPr>
                    <w:t xml:space="preserve">„50 proc. nuolaida“ (lyg. var. 11.3 eil.). </w:t>
                  </w:r>
                </w:p>
                <w:p>
                  <w:pPr>
                    <w:ind w:firstLine="709"/>
                    <w:jc w:val="both"/>
                    <w:rPr>
                      <w:rFonts w:eastAsia="Calibri"/>
                      <w:szCs w:val="24"/>
                    </w:rPr>
                  </w:pPr>
                  <w:r>
                    <w:rPr>
                      <w:rFonts w:eastAsia="Calibri"/>
                      <w:szCs w:val="24"/>
                    </w:rPr>
                    <w:t xml:space="preserve">Keičiami lyginamojo varianto 12.2 ir 12.3 eilutėse esančių paslaugų mato vienetai, vietoje „1 val.“ įrašant „1 programa“. </w:t>
                  </w:r>
                </w:p>
                <w:p>
                  <w:pPr>
                    <w:ind w:firstLine="709"/>
                    <w:jc w:val="both"/>
                    <w:rPr>
                      <w:rFonts w:eastAsia="Calibri"/>
                      <w:szCs w:val="24"/>
                    </w:rPr>
                  </w:pPr>
                  <w:r>
                    <w:rPr>
                      <w:bCs/>
                      <w:szCs w:val="24"/>
                      <w:lang w:eastAsia="lt-LT"/>
                    </w:rPr>
                    <w:t>Keičiami paslaugos „Vaikų ir jaunimo kolektyvų nario mokestis“ įkainiai. Atsižvelgiant į išaugusias transporto nuomos, kostiumų siuvimo, aranžuočių kūrimo paslaugų ir kt. paslaugų bei kolektyvams reikalingo inventoriaus ir kt. prekių įsigijimo kainas, siūloma didinti mokestį vienam kolektyvo nariui ir nustatyti tokį nario mokestį: choreografijos studijai „Aušrelė“ – 40 ir 20 Eur, choreografijos studijai „Impresija“ – 20 ir 10 Eur, vokalo studijai „Rokoko“ – 30 ir 15 Eur (</w:t>
                  </w:r>
                  <w:r>
                    <w:rPr>
                      <w:rFonts w:eastAsia="Calibri"/>
                      <w:szCs w:val="24"/>
                    </w:rPr>
                    <w:t xml:space="preserve">lyg. var. </w:t>
                  </w:r>
                  <w:r>
                    <w:rPr>
                      <w:bCs/>
                      <w:szCs w:val="24"/>
                      <w:lang w:eastAsia="lt-LT"/>
                    </w:rPr>
                    <w:t xml:space="preserve">13.1, 13.2, 13.3 eil.). </w:t>
                  </w:r>
                  <w:r>
                    <w:rPr>
                      <w:rFonts w:eastAsia="Calibri"/>
                      <w:szCs w:val="24"/>
                    </w:rPr>
                    <w:t xml:space="preserve">Kolektyvo nario mokesčio didinamas minėtų kolektyvų vadovų iniciatyva, įvertinus esamą situaciją, kai lyginant su kitų analogiškų būrelių nario mokesčiais, esami Kultūros centro nario mokesčiai yra mažesni, taip pat įvertinti ir kolektyvų ateities veiklos lūkesčiai. </w:t>
                  </w:r>
                </w:p>
                <w:p>
                  <w:pPr>
                    <w:ind w:firstLine="709"/>
                    <w:jc w:val="both"/>
                    <w:rPr>
                      <w:bCs/>
                      <w:szCs w:val="24"/>
                      <w:lang w:eastAsia="lt-LT"/>
                    </w:rPr>
                  </w:pPr>
                  <w:r>
                    <w:rPr>
                      <w:rFonts w:eastAsia="Calibri"/>
                      <w:szCs w:val="24"/>
                    </w:rPr>
                    <w:t xml:space="preserve">Kultūros centras aktyviai dalyvauja NVŠ krepšelio programose, todėl patvirtintas </w:t>
                  </w:r>
                  <w:r>
                    <w:rPr>
                      <w:bCs/>
                      <w:szCs w:val="24"/>
                      <w:lang w:eastAsia="lt-LT"/>
                    </w:rPr>
                    <w:t>nario mokestis mažėja arba visai nemokamas, jei vaikas pretenduoja gauti Šiaulių miesto savivaldybės administracijos nustatytos vertės NVŠ krepšelį. Tokiu atveju iš numatyto nario mokesčio atimama gauto NVŠ krepšelio vertė. Kadangi NVŠ krepšelio vertė kinta, siūloma tikslinti 5 išnašą, vietoje „15 eurų“ įrašant „Šiaulių miesto savivaldybės administracijos (toliau – Savivaldybės) nustatytos vertės“ ir taip išvengiant neatitikimų Kultūros c</w:t>
                  </w:r>
                  <w:r>
                    <w:rPr>
                      <w:rFonts w:eastAsia="Calibri"/>
                      <w:szCs w:val="24"/>
                    </w:rPr>
                    <w:t>entro paslaugų sąraše,</w:t>
                  </w:r>
                  <w:r>
                    <w:rPr>
                      <w:bCs/>
                      <w:szCs w:val="24"/>
                      <w:lang w:eastAsia="lt-LT"/>
                    </w:rPr>
                    <w:t xml:space="preserve"> keičiantis NVŠ krepšelio vertei. </w:t>
                  </w:r>
                </w:p>
                <w:p>
                  <w:pPr>
                    <w:ind w:firstLine="709"/>
                    <w:jc w:val="both"/>
                    <w:rPr>
                      <w:rFonts w:eastAsia="Calibri"/>
                      <w:szCs w:val="24"/>
                    </w:rPr>
                  </w:pPr>
                  <w:r>
                    <w:rPr>
                      <w:rFonts w:eastAsia="Calibri"/>
                      <w:szCs w:val="24"/>
                    </w:rPr>
                    <w:t xml:space="preserve">Siūloma keisti dalyvių startinius mokesčius, paliekant tik vieną įkainį vienam asmeniui. Numatomas įkainio didėjimas 1 Eur, nustatant tokius startinius mokesčius: miesto ir (arba) rajoninis renginys – 2 Eur, regioninis renginys – 3 Eur, respublikinis renginys – 4 Eur, tarptautinis renginys – 5 Eur (lyg. var. 14.6.1, 14.6.2, 14.6.3, 14.6.4, 14.6.5 eil.). Siūloma didinti įkainį, atsižvelgiant į išaugusias kainas, susijusias su prizų, medalių gamyba, maitinimo, apgyvendinimo paslaugomis, skirtomis konkursų dalyviams. Startinis mokestis yra vienas iš konkursų finansinių šaltinių, kuris padengia dalį įsigyjamų paslaugų ar prekių išlaidų, skirtų tiksliniam konkursui organizuoti.  </w:t>
                  </w:r>
                </w:p>
                <w:p>
                  <w:pPr>
                    <w:ind w:firstLine="709"/>
                    <w:jc w:val="both"/>
                    <w:rPr>
                      <w:rFonts w:eastAsia="Calibri"/>
                      <w:szCs w:val="24"/>
                    </w:rPr>
                  </w:pPr>
                  <w:r>
                    <w:rPr>
                      <w:bCs/>
                      <w:szCs w:val="24"/>
                      <w:lang w:eastAsia="lt-LT"/>
                    </w:rPr>
                    <w:t>Tikslinama paslaugos „prekių su Šiaulių kultūros centro simbolika pardavimo paslauga (pieštukų, tušinukų, magnetukų, marškinėlių, padėkliukų, raktų pakabukų, ženkliukų, sagių, molinukų, maišelių, kalendorių, nedidelių leidinių, kompaktinių plokštelių ir pan.)“ formuluotė (lyg. var. 14.11 eil.), įterpiant žodį „marškinėlių“. Papildoma šios paslaugos kaina, numatant naują nuolaidą – „5 proc. momentinė nuolaida, taikoma Šiaulių kultūros centro numatytai prekei Šiaulių kultūros centro numatytu laikotarpiu</w:t>
                  </w:r>
                  <w:r>
                    <w:rPr>
                      <w:bCs/>
                      <w:szCs w:val="24"/>
                      <w:vertAlign w:val="superscript"/>
                      <w:lang w:eastAsia="lt-LT"/>
                    </w:rPr>
                    <w:t>9</w:t>
                  </w:r>
                  <w:r>
                    <w:rPr>
                      <w:bCs/>
                      <w:szCs w:val="24"/>
                      <w:lang w:eastAsia="lt-LT"/>
                    </w:rPr>
                    <w:t>“. Ši nuolaida būtų taikoma virtualios „</w:t>
                  </w:r>
                  <w:r>
                    <w:rPr>
                      <w:rFonts w:eastAsia="Calibri"/>
                      <w:szCs w:val="24"/>
                    </w:rPr>
                    <w:t>Šiauliečio kortelės“ savininkams.</w:t>
                  </w:r>
                </w:p>
                <w:p>
                  <w:pPr>
                    <w:ind w:firstLine="709"/>
                    <w:jc w:val="both"/>
                    <w:rPr>
                      <w:rFonts w:eastAsia="Calibri"/>
                      <w:szCs w:val="24"/>
                    </w:rPr>
                  </w:pPr>
                  <w:r>
                    <w:rPr>
                      <w:rFonts w:eastAsia="Calibri"/>
                      <w:szCs w:val="24"/>
                    </w:rPr>
                    <w:t xml:space="preserve">Atsižvelgiant į augančią paklausą, įvedama nauja paslauga „atlikėjo (aktorius, solistas, grupė, orkestras, choras ir kt.) organizavimas“ (lyg. var. 14.12 eil.), kuri leistų teikti kompleksines paslaugas, siūlant užsakovams galimybę įsigyti Kultūros centro mėgėjų meno kolektyvų programas su kviestiniu atlikėju, pvz. Kultūros centro kolektyvo atliekama choreografinė pasaka ir Kalėdų senelio pasirodymas. </w:t>
                  </w:r>
                </w:p>
                <w:p>
                  <w:pPr>
                    <w:widowControl w:val="0"/>
                    <w:spacing w:line="100" w:lineRule="atLeast"/>
                    <w:ind w:firstLine="720"/>
                    <w:jc w:val="both"/>
                    <w:rPr>
                      <w:b/>
                      <w:szCs w:val="24"/>
                      <w:lang w:eastAsia="lt-LT"/>
                    </w:rPr>
                  </w:pPr>
                  <w:r>
                    <w:rPr>
                      <w:b/>
                      <w:szCs w:val="24"/>
                      <w:lang w:eastAsia="lt-LT"/>
                    </w:rPr>
                    <w:t xml:space="preserve">Priėmus sprendimą, galimos pasekmės. </w:t>
                  </w:r>
                  <w:r>
                    <w:rPr>
                      <w:szCs w:val="24"/>
                      <w:lang w:eastAsia="lt-LT"/>
                    </w:rPr>
                    <w:t xml:space="preserve">Priėmus sprendimą, neigiamų pasekmių nenumatoma. Teigiamos pasekmės – patvirtinus pakeistą </w:t>
                  </w:r>
                  <w:r>
                    <w:rPr>
                      <w:szCs w:val="24"/>
                      <w:lang w:eastAsia="lt-LT" w:bidi="he-IL"/>
                    </w:rPr>
                    <w:t xml:space="preserve">Šiaulių kultūros centro teikiamų atlygintinų paslaugų sąrašą, dėl įvestų naujų paslaugų bus patenkinti paslaugų vartotojų poreikiai, bus išbrauktos nebeaktualios paslaugos, atnaujintos kitų paslaugų kainos, atsižvelgiant į infliaciją ir rinkos situaciją, tuo pačiu bus suteikiamos papildomos nuolaidos </w:t>
                  </w:r>
                  <w:r>
                    <w:rPr>
                      <w:szCs w:val="24"/>
                      <w:lang w:eastAsia="lt-LT"/>
                    </w:rPr>
                    <w:t>Šiaulių miesto gyventojams, naudojantiems virtualią „Šiauliečio kortelę“.</w:t>
                  </w:r>
                  <w:r>
                    <w:rPr>
                      <w:szCs w:val="24"/>
                      <w:lang w:eastAsia="lt-LT" w:bidi="he-IL"/>
                    </w:rPr>
                    <w:t xml:space="preserve"> </w:t>
                  </w:r>
                </w:p>
                <w:p>
                  <w:pPr>
                    <w:ind w:firstLine="720"/>
                    <w:jc w:val="both"/>
                    <w:rPr>
                      <w:b/>
                      <w:szCs w:val="24"/>
                    </w:rPr>
                  </w:pPr>
                  <w:r>
                    <w:rPr>
                      <w:b/>
                      <w:szCs w:val="24"/>
                    </w:rPr>
                    <w:t xml:space="preserve">Priėmus sprendimą, keičiami ar pripažįstami negaliojančiais teisės aktai. </w:t>
                  </w:r>
                  <w:r>
                    <w:rPr>
                      <w:bCs/>
                      <w:szCs w:val="24"/>
                    </w:rPr>
                    <w:t>Priėmus sprendimą, bus pripažintas negaliojančiu Šiaulių miesto savivaldybės tarybos 2016 m. vasario</w:t>
                  </w:r>
                  <w:r>
                    <w:rPr>
                      <w:szCs w:val="24"/>
                    </w:rPr>
                    <w:t xml:space="preserve"> 25 d. sprendimas Nr. T-54 „Dėl Šiaulių kultūros centro teikiamų atlygintinų paslaugų sąrašo patvirtinimo“ su visais papildymais ir pakeitimais.</w:t>
                  </w:r>
                </w:p>
                <w:p>
                  <w:pPr>
                    <w:ind w:firstLine="720"/>
                    <w:jc w:val="both"/>
                    <w:rPr>
                      <w:b/>
                      <w:bCs/>
                      <w:color w:val="000000"/>
                      <w:szCs w:val="24"/>
                    </w:rPr>
                  </w:pPr>
                  <w:r>
                    <w:rPr>
                      <w:b/>
                      <w:bCs/>
                      <w:color w:val="000000"/>
                      <w:szCs w:val="24"/>
                    </w:rPr>
                    <w:t xml:space="preserve">Sprendimui įgyvendinti reikalingi priimti papildomi teisės aktai. </w:t>
                  </w:r>
                  <w:r>
                    <w:rPr>
                      <w:color w:val="000000"/>
                      <w:szCs w:val="24"/>
                    </w:rPr>
                    <w:t>Priėmus sprendimą, keisti ar priimti papildomų teisės aktų nereikės.</w:t>
                  </w:r>
                </w:p>
                <w:p>
                  <w:pPr>
                    <w:ind w:firstLine="720"/>
                    <w:jc w:val="both"/>
                    <w:rPr>
                      <w:rFonts w:eastAsia="Calibri"/>
                      <w:b/>
                      <w:szCs w:val="24"/>
                    </w:rPr>
                  </w:pPr>
                  <w:r>
                    <w:rPr>
                      <w:rFonts w:eastAsia="Calibri"/>
                      <w:b/>
                      <w:szCs w:val="24"/>
                    </w:rPr>
                    <w:t xml:space="preserve">Sprendimui įgyvendinti reikalingos lėšos. </w:t>
                  </w:r>
                  <w:r>
                    <w:rPr>
                      <w:rFonts w:eastAsia="Calibri"/>
                      <w:szCs w:val="24"/>
                    </w:rPr>
                    <w:t xml:space="preserve">Sprendimui įgyvendinti papildomų lėšų </w:t>
                  </w:r>
                  <w:r>
                    <w:rPr>
                      <w:color w:val="262626"/>
                      <w:szCs w:val="24"/>
                      <w:lang w:val="pt-BR"/>
                    </w:rPr>
                    <w:t>nereikės.</w:t>
                  </w:r>
                </w:p>
                <w:p>
                  <w:pPr>
                    <w:shd w:val="clear" w:color="auto" w:fill="FFFFFF"/>
                    <w:ind w:firstLine="720"/>
                    <w:jc w:val="both"/>
                    <w:rPr>
                      <w:color w:val="262626"/>
                      <w:szCs w:val="24"/>
                      <w:shd w:val="clear" w:color="auto" w:fill="FFFFFF"/>
                    </w:rPr>
                  </w:pPr>
                  <w:r>
                    <w:rPr>
                      <w:rFonts w:eastAsia="Calibri"/>
                      <w:b/>
                      <w:szCs w:val="24"/>
                    </w:rPr>
                    <w:t>Sprendimo projekto antikorupcinis vertinimas.</w:t>
                  </w:r>
                  <w:r>
                    <w:rPr>
                      <w:color w:val="262626"/>
                      <w:szCs w:val="24"/>
                      <w:shd w:val="clear" w:color="auto" w:fill="FFFFFF"/>
                    </w:rPr>
                    <w:t xml:space="preserve"> Pridedama antikorupcinio vertinimo pažyma. </w:t>
                  </w:r>
                </w:p>
                <w:p>
                  <w:pPr>
                    <w:suppressAutoHyphens/>
                    <w:ind w:firstLine="720"/>
                    <w:jc w:val="both"/>
                    <w:rPr>
                      <w:b/>
                      <w:kern w:val="2"/>
                      <w:szCs w:val="24"/>
                      <w:shd w:val="clear" w:color="auto" w:fill="FFFFFF"/>
                      <w:lang w:eastAsia="zh-CN"/>
                    </w:rPr>
                  </w:pPr>
                  <w:r>
                    <w:rPr>
                      <w:b/>
                      <w:kern w:val="2"/>
                      <w:szCs w:val="24"/>
                      <w:shd w:val="clear" w:color="auto" w:fill="FFFFFF"/>
                      <w:lang w:eastAsia="zh-CN"/>
                    </w:rPr>
                    <w:t>N</w:t>
                  </w:r>
                  <w:r>
                    <w:rPr>
                      <w:rFonts w:eastAsia="Calibri"/>
                      <w:b/>
                      <w:kern w:val="2"/>
                      <w:szCs w:val="24"/>
                      <w:lang w:eastAsia="zh-CN"/>
                    </w:rPr>
                    <w:t xml:space="preserve">umatomo teisinio reguliavimo poveikio vertinimas. </w:t>
                  </w:r>
                  <w:r>
                    <w:rPr>
                      <w:rFonts w:eastAsia="Calibri"/>
                      <w:bCs/>
                      <w:kern w:val="2"/>
                      <w:szCs w:val="24"/>
                      <w:lang w:eastAsia="zh-CN"/>
                    </w:rPr>
                    <w:t>Neatliekamas.</w:t>
                  </w:r>
                </w:p>
                <w:p>
                  <w:pPr>
                    <w:suppressAutoHyphens/>
                    <w:ind w:firstLine="720"/>
                    <w:jc w:val="both"/>
                    <w:rPr>
                      <w:color w:val="000000"/>
                      <w:kern w:val="2"/>
                      <w:szCs w:val="24"/>
                      <w:lang w:eastAsia="lt-LT"/>
                    </w:rPr>
                  </w:pPr>
                  <w:r>
                    <w:rPr>
                      <w:b/>
                      <w:bCs/>
                      <w:color w:val="000000"/>
                      <w:kern w:val="2"/>
                      <w:szCs w:val="24"/>
                      <w:lang w:eastAsia="lt-LT"/>
                    </w:rPr>
                    <w:t>Sprendimo projektą parengė</w:t>
                  </w:r>
                  <w:r>
                    <w:rPr>
                      <w:color w:val="000000"/>
                      <w:kern w:val="2"/>
                      <w:szCs w:val="24"/>
                      <w:lang w:eastAsia="lt-LT"/>
                    </w:rPr>
                    <w:t xml:space="preserve"> Savivaldybės administracijos Kultūros skyrius. Tiesioginis rengėjas – Kultūros</w:t>
                  </w:r>
                  <w:r>
                    <w:rPr>
                      <w:kern w:val="2"/>
                      <w:szCs w:val="24"/>
                      <w:shd w:val="clear" w:color="auto" w:fill="FFFFFF"/>
                      <w:lang w:eastAsia="zh-CN"/>
                    </w:rPr>
                    <w:t xml:space="preserve"> skyriaus vyr. specialistė Edita Ramanauskienė</w:t>
                  </w:r>
                  <w:r>
                    <w:rPr>
                      <w:kern w:val="2"/>
                      <w:szCs w:val="24"/>
                      <w:lang w:eastAsia="zh-CN"/>
                    </w:rPr>
                    <w:t xml:space="preserve"> tel. (8 41) 500 532</w:t>
                  </w:r>
                  <w:r>
                    <w:rPr>
                      <w:kern w:val="2"/>
                      <w:szCs w:val="24"/>
                      <w:shd w:val="clear" w:color="auto" w:fill="FFFFFF"/>
                      <w:lang w:eastAsia="zh-CN"/>
                    </w:rPr>
                    <w:t>. Projekto iniciatorius – Šiaulių kultūros centro direktorė Deimantė Bačiulė.</w:t>
                  </w:r>
                </w:p>
                <w:p>
                  <w:pPr>
                    <w:tabs>
                      <w:tab w:val="left" w:pos="0"/>
                    </w:tabs>
                    <w:rPr>
                      <w:rFonts w:eastAsia="Calibri"/>
                      <w:szCs w:val="24"/>
                    </w:rPr>
                  </w:pPr>
                </w:p>
                <w:p>
                  <w:pPr>
                    <w:tabs>
                      <w:tab w:val="left" w:pos="0"/>
                    </w:tabs>
                    <w:rPr>
                      <w:rFonts w:eastAsia="Calibri"/>
                      <w:szCs w:val="24"/>
                    </w:rPr>
                  </w:pPr>
                </w:p>
              </w:sdtContent>
            </w:sdt>
          </w:sdtContent>
        </w:sdt>
        <w:sdt>
          <w:sdtPr>
            <w:alias w:val="signatura"/>
            <w:tag w:val="part_c33a0621895343a398fde510e1f75331"/>
            <w:lock w:val="sdtLocked"/>
            <w:richText/>
          </w:sdtPr>
          <w:sdtContent>
            <w:p>
              <w:pPr>
                <w:tabs>
                  <w:tab w:val="left" w:pos="0"/>
                </w:tabs>
                <w:rPr>
                  <w:rFonts w:eastAsia="Calibri"/>
                  <w:szCs w:val="24"/>
                </w:rPr>
              </w:pPr>
              <w:r>
                <w:rPr>
                  <w:rFonts w:eastAsia="Calibri"/>
                  <w:szCs w:val="24"/>
                </w:rPr>
                <w:t xml:space="preserve">Skyriaus vedėja </w:t>
                <w:tab/>
                <w:tab/>
                <w:tab/>
                <w:tab/>
                <w:t xml:space="preserve">                                                        Daina Kinčinaitienė</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rPr>
    </w:pPr>
    <w:r>
      <w:rPr>
        <w:rFonts w:ascii="Calibri" w:eastAsia="Calibri" w:hAnsi="Calibri"/>
        <w:sz w:val="22"/>
        <w:szCs w:val="22"/>
        <w:lang w:val="en-US"/>
      </w:rPr>
      <mc:AlternateContent>
        <mc:Choice Requires="wps">
          <w:drawing>
            <wp:anchor distT="0" distB="0" distL="0" distR="0" simplePos="0" relativeHeight="2" behindDoc="1" locked="0" layoutInCell="1" allowOverlap="1" wp14:anchorId="3A7069D8" wp14:editId="3A7069D9">
              <wp:simplePos x="0" y="0"/>
              <wp:positionH relativeFrom="margin">
                <wp:align>center</wp:align>
              </wp:positionH>
              <wp:positionV relativeFrom="paragraph">
                <wp:posOffset>635</wp:posOffset>
              </wp:positionV>
              <wp:extent cx="76200" cy="170180"/>
              <wp:effectExtent l="0" t="0" r="0" b="0"/>
              <wp:wrapSquare wrapText="largest"/>
              <wp:docPr id="1" name="Frame1"/>
              <wp:cNvGraphicFramePr/>
              <a:graphic xmlns:a="http://schemas.openxmlformats.org/drawingml/2006/main">
                <a:graphicData uri="http://schemas.microsoft.com/office/word/2010/wordprocessingShape">
                  <wps:wsp>
                    <wps:cNvSpPr/>
                    <wps:spPr>
                      <a:xfrm>
                        <a:off x="0" y="0"/>
                        <a:ext cx="75600" cy="169560"/>
                      </a:xfrm>
                      <a:prstGeom prst="rect">
                        <a:avLst/>
                      </a:prstGeom>
                      <a:noFill/>
                      <a:ln>
                        <a:noFill/>
                      </a:ln>
                    </wps:spPr>
                    <wps:style>
                      <a:lnRef idx="0">
                        <a:scrgbClr r="0" g="0" b="0"/>
                      </a:lnRef>
                      <a:fillRef idx="0">
                        <a:scrgbClr r="0" g="0" b="0"/>
                      </a:fillRef>
                      <a:effectRef idx="0">
                        <a:scrgbClr r="0" g="0" b="0"/>
                      </a:effectRef>
                      <a:fontRef idx="minor"/>
                    </wps:style>
                    <wps:txbx>
                      <w:txbxContent>
                        <w:p>
                          <w:pPr>
                            <w:tabs>
                              <w:tab w:val="center" w:pos="4819"/>
                              <w:tab w:val="right" w:pos="9638"/>
                            </w:tabs>
                            <w:spacing w:after="200" w:line="276" w:lineRule="auto"/>
                            <w:rPr>
                              <w:rFonts w:ascii="Calibri" w:eastAsia="Calibri" w:hAnsi="Calibri"/>
                              <w:sz w:val="22"/>
                              <w:szCs w:val="22"/>
                            </w:rPr>
                          </w:pPr>
                          <w:r>
                            <w:rPr>
                              <w:rFonts w:ascii="Calibri" w:eastAsia="Calibri" w:hAnsi="Calibri"/>
                              <w:color w:val="000000"/>
                              <w:sz w:val="22"/>
                              <w:szCs w:val="22"/>
                            </w:rPr>
                            <w:fldChar w:fldCharType="begin"/>
                          </w:r>
                          <w:r>
                            <w:rPr>
                              <w:rFonts w:ascii="Calibri" w:eastAsia="Calibri" w:hAnsi="Calibri"/>
                              <w:sz w:val="22"/>
                              <w:szCs w:val="22"/>
                            </w:rPr>
                            <w:instrText>PAGE</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txbxContent>
                    </wps:txbx>
                    <wps:bodyPr lIns="0" tIns="0" rIns="0" bIns="0">
                      <a:spAutoFit/>
                    </wps:bodyPr>
                  </wps:wsp>
                </a:graphicData>
              </a:graphic>
            </wp:anchor>
          </w:drawing>
        </mc:Choice>
        <mc:Fallback>
          <w:pict>
            <v:rect w14:anchorId="3A7069D8" id="Frame1" o:spid="_x0000_s1026" style="position:absolute;margin-left:0;margin-top:.05pt;width:6pt;height:13.4pt;z-index:-503316478;visibility:visible;mso-wrap-style:squar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4BhvTzgEAAAoEAAAOAAAAZHJzL2Uyb0RvYy54bWysU9tu2zAMfR/QfxD03sgpsGwz4hTFihQF hq1Ytw+QZSkWoBsoNXb+fpTsuO321KEvEkXxHJGH1PZ6tIYcJUTtXUPXq4oS6YTvtDs09Pev/eVn SmLiruPGO9nQk4z0enfxYTuEWl753ptOAkESF+shNLRPKdSMRdFLy+PKB+nwUnmwPOERDqwDPiC7 NeyqqjZs8NAF8ELGiN7b6ZLuCr9SUqQfSkWZiGko5pbKCmVt88p2W14fgIdeizkN/h9ZWK4dPrpQ 3fLEyRPof6isFuCjV2klvGVeKS1kqQGrWVd/VfPY8yBLLShODItM8f1oxffjAxDdYe8ocdxii/aA 2zorM4RYY8BjeID5FNHMZY4KbN6xADIWNU+LmnJMRKDz08dNhZILvFlvvuAhU7JnbICY7qS3JBsN BexVkZAfv8U0hZ5D8lPO77Ux6Oe1ca8cyJk9LKc7JVisdDJyiv4pFZZY8syOKODQfjVApjnAQcU0 z9NQyBCQAxU++EbsDMloWcbvjfgFVN73Li14q52HIuGL6rKZxnac29P67oTtNPcORySP+9mAs9HO RtEh3DwlVLWInZkm+KwkDlxp1/w58kS/PJeo5y+8+wMAAP//AwBQSwMEFAAGAAgAAAAhALP3z43Y AAAAAwEAAA8AAABkcnMvZG93bnJldi54bWxMj8FOwzAQRO9I/IO1SFwQdcihakM2FULqDQk1cIDb Nl7iQLyOYrcJfD3OCY6zs5p5U+5m16szj6HzgnC3ykCxNN500iK8vuxvN6BCJDHUe2GEbw6wqy4v SiqMn+TA5zq2KoVIKAjBxjgUWofGsqOw8gNL8j786CgmObbajDSlcNfrPMvW2lEnqcHSwI+Wm6/6 5BD2z28dy48+3Gw3k/9s8vfaPg2I11fzwz2oyHP8e4YFP6FDlZiO/iQmqB4hDYnLVS1entQRIV9v QVel/s9e/QIAAP//AwBQSwECLQAUAAYACAAAACEAtoM4kv4AAADhAQAAEwAAAAAAAAAAAAAAAAAA AAAAW0NvbnRlbnRfVHlwZXNdLnhtbFBLAQItABQABgAIAAAAIQA4/SH/1gAAAJQBAAALAAAAAAAA AAAAAAAAAC8BAABfcmVscy8ucmVsc1BLAQItABQABgAIAAAAIQC4BhvTzgEAAAoEAAAOAAAAAAAA AAAAAAAAAC4CAABkcnMvZTJvRG9jLnhtbFBLAQItABQABgAIAAAAIQCz98+N2AAAAAMBAAAPAAAA AAAAAAAAAAAAACgEAABkcnMvZG93bnJldi54bWxQSwUGAAAAAAQABADzAAAALQUAAAAA " filled="f" stroked="f">
              <v:textbox style="mso-fit-shape-to-text:t" inset="0,0,0,0">
                <w:txbxContent>
                  <w:p w14:paraId="3A7069DA" w14:textId="77777777">
                    <w:pPr>
                      <w:tabs>
                        <w:tab w:val="center" w:leader="none" w:pos="4819"/>
                        <w:tab w:val="right" w:leader="none" w:pos="9638"/>
                      </w:tabs>
                      <w:spacing w:after="200" w:line="276"/>
                      <w:rPr>
                        <w:rFonts w:ascii="Calibri" w:hAnsi="Calibri" w:eastAsia="Calibri" w:cs="Times New Roman"/>
                        <w:sz w:val="22"/>
                        <w:szCs w:val="22"/>
                      </w:rPr>
                    </w:pPr>
                    <w:r>
                      <w:rPr>
                        <w:rFonts w:ascii="Calibri" w:hAnsi="Calibri" w:eastAsia="Calibri" w:cs="Times New Roman"/>
                        <w:color w:val="000000"/>
                        <w:sz w:val="22"/>
                        <w:szCs w:val="22"/>
                      </w:rPr>
                      <w:fldChar w:fldCharType="begin"/>
                    </w:r>
                    <w:r>
                      <w:rPr>
                        <w:rFonts w:ascii="Calibri" w:hAnsi="Calibri" w:eastAsia="Calibri" w:cs="Times New Roman"/>
                        <w:sz w:val="22"/>
                        <w:szCs w:val="22"/>
                      </w:rPr>
                      <w:instrText>PAGE</w:instrText>
                    </w:r>
                    <w:r>
                      <w:rPr>
                        <w:rFonts w:ascii="Calibri" w:hAnsi="Calibri" w:eastAsia="Calibri" w:cs="Times New Roman"/>
                        <w:sz w:val="22"/>
                        <w:szCs w:val="22"/>
                      </w:rPr>
                      <w:fldChar w:fldCharType="separate"/>
                    </w:r>
                    <w:r>
                      <w:rPr>
                        <w:rFonts w:ascii="Calibri" w:hAnsi="Calibri" w:eastAsia="Calibri" w:cs="Times New Roman"/>
                        <w:sz w:val="22"/>
                        <w:szCs w:val="22"/>
                      </w:rPr>
                      <w:t>2</w:t>
                    </w:r>
                    <w:r>
                      <w:rPr>
                        <w:rFonts w:ascii="Calibri" w:hAnsi="Calibri" w:eastAsia="Calibri" w:cs="Times New Roman"/>
                        <w:sz w:val="22"/>
                        <w:szCs w:val="22"/>
                      </w:rPr>
                      <w:fldChar w:fldCharType="end"/>
                    </w:r>
                  </w:p>
                </w:txbxContent>
              </v:textbox>
              <w10:wrap type="square" side="largest" anchorx="margin"/>
            </v:rect>
          </w:pict>
        </mc:Fallback>
      </mc:AlternateContent>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1F8B"/>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D500DD1-0805-4617-AE53-35DDA3A2F34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74564290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c8f0cf5e9504ba29985d7135adf14c3" PartId="7ba2a06b017f4a76966092a741bfd281">
    <Part Type="skyrius" Nr="999" Title="SPRENDIMO „DĖL ŠIAULIŲ KULTŪROS CENTRO TEIKIAMŲ ATLYGINTINŲ PASLAUGŲ SĄRAŠO PATVIRTINIMO“ PROJEKTO AIŠKINAMASIS RAŠTAS" DocPartId="b230593bf1364ba383babc9f94fc7b73" PartId="e75e6507b7cd49b2aa262919eee11e46">
      <Part Type="poskyris" Title="Parengto sprendimo projekto tikslai ir uždaviniai." DocPartId="5d5d6a82abf541c7b79626056ea033a0" PartId="7c6aad992ef7417caaf09813b01eb239"/>
      <Part Type="poskyris" Title="Dabartinis sprendimo projekte aptariamų klausimų reguliavimas." DocPartId="50c27249fa254d968dcfee05308af2d9" PartId="2d5de0c08dee49ba8399c639de69d946"/>
      <Part Type="poskyris" Title="Sprendimo projekte numatytos naujos teisinio reglamentavimo nuostatos." DocPartId="d18902182f8f4c26bfbecd81b2031f41" PartId="ed20678533ad45029ef2530fdc9df83d"/>
    </Part>
    <Part Type="signatura" DocPartId="a323615ec86e43efb452c051d60ea679" PartId="c33a0621895343a398fde510e1f75331"/>
  </Part>
</Parts>
</file>

<file path=customXml/itemProps1.xml><?xml version="1.0" encoding="utf-8"?>
<ds:datastoreItem xmlns:ds="http://schemas.openxmlformats.org/officeDocument/2006/customXml" ds:itemID="{EDAB2F9E-7BBB-4722-9691-E7AEDD2BEB6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948</Words>
  <Characters>6905</Characters>
  <Application>Microsoft Office Word</Application>
  <DocSecurity>4</DocSecurity>
  <Lines>104</Lines>
  <Paragraphs>35</Paragraphs>
  <ScaleCrop>false</ScaleCrop>
  <HeadingPairs>
    <vt:vector size="2" baseType="variant">
      <vt:variant>
        <vt:lpstr>Pavadinimas</vt:lpstr>
      </vt:variant>
      <vt:variant>
        <vt:i4>1</vt:i4>
      </vt:variant>
    </vt:vector>
  </HeadingPairs>
  <TitlesOfParts>
    <vt:vector size="1" baseType="lpstr">
      <vt:lpstr>ŠIAULIŲ MIESTO SAVIVALDYBĖS ADMINISTRACIJOS</vt:lpstr>
    </vt:vector>
  </TitlesOfParts>
  <Company/>
  <LinksUpToDate>false</LinksUpToDate>
  <CharactersWithSpaces>7818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2024-05-03T06:45:00Z</dcterms:created>
  <dc:creator>Arunas</dc:creator>
  <dc:language>lt-LT</dc:language>
  <lastModifiedBy>adlibuser</lastModifiedBy>
  <lastPrinted>2024-04-17T10:37:00Z</lastPrinted>
  <dcterms:modified xsi:type="dcterms:W3CDTF">2024-05-03T06:45:00Z</dcterms:modified>
  <revision>2</revision>
  <dc:title>ŠIAULIŲ MIESTO SAVIVALDYBĖS ADMINISTRACIJOS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DocumentEncoding">
    <vt:lpwstr>utf-8</vt:lpwstr>
  </property>
  <property fmtid="{D5CDD505-2E9C-101B-9397-08002B2CF9AE}" pid="5" name="HTML">
    <vt:bool>true</vt:bool>
  </property>
  <property fmtid="{D5CDD505-2E9C-101B-9397-08002B2CF9AE}" pid="6" name="HyperlinksChanged">
    <vt:bool>false</vt:bool>
  </property>
  <property fmtid="{D5CDD505-2E9C-101B-9397-08002B2CF9AE}" pid="7" name="LinksUpToDate">
    <vt:bool>false</vt:bool>
  </property>
  <property fmtid="{D5CDD505-2E9C-101B-9397-08002B2CF9AE}" pid="8" name="ScaleCrop">
    <vt:bool>false</vt:bool>
  </property>
  <property fmtid="{D5CDD505-2E9C-101B-9397-08002B2CF9AE}" pid="9" name="ShareDoc">
    <vt:bool>false</vt:bool>
  </property>
</Properties>
</file>