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9904fb3e6994f488628ce61cf7e7883"/>
        <w:lock w:val="sdtLocked"/>
        <w:richText/>
      </w:sdtPr>
      <w:sdtContent>
        <w:p>
          <w:pPr>
            <w:tabs>
              <w:tab w:val="center" w:pos="4819"/>
              <w:tab w:val="right" w:pos="9638"/>
            </w:tabs>
            <w:rPr>
              <w:sz w:val="22"/>
              <w:szCs w:val="22"/>
            </w:rPr>
          </w:pPr>
        </w:p>
        <w:p>
          <w:pPr>
            <w:jc w:val="center"/>
            <w:rPr>
              <w:sz w:val="22"/>
              <w:szCs w:val="22"/>
              <w:lang w:eastAsia="lt-LT"/>
            </w:rPr>
          </w:pPr>
          <w:r>
            <w:rPr>
              <w:sz w:val="22"/>
              <w:szCs w:val="22"/>
              <w:lang w:val="en-US"/>
            </w:rPr>
            <w:drawing>
              <wp:inline distT="0" distB="0" distL="0" distR="0" wp14:anchorId="09BBF546" wp14:editId="0ABD4311">
                <wp:extent cx="1057275" cy="723900"/>
                <wp:effectExtent l="0" t="0" r="952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LOGOnespalv-maz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57275" cy="723900"/>
                        </a:xfrm>
                        <a:prstGeom prst="rect">
                          <a:avLst/>
                        </a:prstGeom>
                        <a:noFill/>
                        <a:ln>
                          <a:noFill/>
                        </a:ln>
                      </pic:spPr>
                    </pic:pic>
                  </a:graphicData>
                </a:graphic>
              </wp:inline>
            </w:drawing>
          </w:r>
        </w:p>
        <w:p>
          <w:pPr>
            <w:rPr>
              <w:sz w:val="20"/>
            </w:rPr>
          </w:pPr>
        </w:p>
        <w:p>
          <w:pPr>
            <w:framePr w:w="9314" w:h="754" w:hSpace="181" w:wrap="notBeside" w:vAnchor="text" w:hAnchor="page" w:x="1959" w:y="1" w:anchorLock="1"/>
            <w:jc w:val="center"/>
            <w:rPr>
              <w:b/>
              <w:sz w:val="26"/>
              <w:szCs w:val="26"/>
              <w:lang w:eastAsia="lt-LT"/>
            </w:rPr>
          </w:pPr>
          <w:r>
            <w:rPr>
              <w:b/>
              <w:sz w:val="26"/>
              <w:szCs w:val="26"/>
              <w:lang w:eastAsia="lt-LT"/>
            </w:rPr>
            <w:t>LIETUVOS RESPUBLIKOS ŽEMĖS ŪKIO MINISTERIJOS</w:t>
          </w:r>
        </w:p>
        <w:sdt>
          <w:sdtPr>
            <w:alias w:val="skyrius"/>
            <w:tag w:val="part_74ba5a23137c4461a1489c097f2cc1ee"/>
            <w:lock w:val="sdtLocked"/>
            <w:richText/>
          </w:sdtPr>
          <w:sdtContent>
            <w:p>
              <w:pPr>
                <w:framePr w:w="9314" w:h="754" w:hSpace="181" w:wrap="notBeside" w:vAnchor="text" w:hAnchor="page" w:x="1959" w:y="1" w:anchorLock="1"/>
                <w:jc w:val="center"/>
                <w:rPr>
                  <w:b/>
                  <w:sz w:val="26"/>
                  <w:szCs w:val="26"/>
                  <w:lang w:eastAsia="lt-LT"/>
                </w:rPr>
              </w:pPr>
              <w:r>
                <w:rPr>
                  <w:b/>
                  <w:sz w:val="26"/>
                  <w:szCs w:val="26"/>
                  <w:lang w:eastAsia="lt-LT"/>
                </w:rPr>
                <w:t>AUGALININKYSTĖS IR ŽALIŲJŲ TECHNOLOGIJŲ SKYRIUS</w:t>
              </w:r>
            </w:p>
            <w:p>
              <w:pPr>
                <w:jc w:val="center"/>
                <w:rPr>
                  <w:b/>
                  <w:szCs w:val="24"/>
                  <w:lang w:eastAsia="lt-LT"/>
                </w:rPr>
              </w:pPr>
            </w:p>
            <w:sdt>
              <w:sdtPr>
                <w:alias w:val="Pavadinimas"/>
                <w:tag w:val="title_74ba5a23137c4461a1489c097f2cc1ee"/>
                <w:lock w:val="sdtLocked"/>
                <w:richText/>
              </w:sdtPr>
              <w:sdtContent>
                <w:p>
                  <w:pPr>
                    <w:jc w:val="center"/>
                    <w:rPr>
                      <w:b/>
                      <w:szCs w:val="24"/>
                      <w:lang w:eastAsia="lt-LT"/>
                    </w:rPr>
                  </w:pPr>
                  <w:r>
                    <w:rPr>
                      <w:b/>
                      <w:szCs w:val="24"/>
                      <w:lang w:eastAsia="lt-LT"/>
                    </w:rPr>
                    <w:t xml:space="preserve">AIŠKINAMASIS RAŠTAS </w:t>
                  </w:r>
                </w:p>
                <w:p>
                  <w:pPr>
                    <w:jc w:val="center"/>
                    <w:rPr>
                      <w:b/>
                      <w:caps/>
                      <w:szCs w:val="24"/>
                      <w:lang w:eastAsia="lt-LT"/>
                    </w:rPr>
                  </w:pPr>
                  <w:r>
                    <w:rPr>
                      <w:b/>
                      <w:caps/>
                      <w:szCs w:val="24"/>
                      <w:lang w:eastAsia="lt-LT"/>
                    </w:rPr>
                    <w:t>DĖL ŽEMĖS ŪKIO MINISTRO ĮSAKYMO „DĖL SANKCIJŲ UŽ paRAMOS SĄLYGŲ REIKALAVIMŲ PAŽEIDIMĄ taikymo metodikos PATVIRTINIMO“ PROJEKTO</w:t>
                  </w:r>
                </w:p>
              </w:sdtContent>
            </w:sdt>
            <w:p>
              <w:pPr>
                <w:jc w:val="center"/>
                <w:rPr>
                  <w:b/>
                  <w:szCs w:val="24"/>
                  <w:lang w:eastAsia="lt-LT"/>
                </w:rPr>
              </w:pPr>
            </w:p>
            <w:p>
              <w:pPr>
                <w:tabs>
                  <w:tab w:val="center" w:pos="4819"/>
                  <w:tab w:val="left" w:pos="8510"/>
                </w:tabs>
                <w:spacing w:line="312" w:lineRule="auto"/>
                <w:ind w:firstLine="2666"/>
                <w:jc w:val="center"/>
                <w:rPr>
                  <w:szCs w:val="24"/>
                  <w:u w:val="single"/>
                  <w:lang w:eastAsia="lt-LT"/>
                </w:rPr>
              </w:pPr>
              <w:r>
                <w:rPr>
                  <w:szCs w:val="24"/>
                  <w:lang w:eastAsia="lt-LT"/>
                </w:rPr>
                <w:t>Nr. ___________</w:t>
              </w:r>
            </w:p>
            <w:p>
              <w:pPr>
                <w:rPr>
                  <w:sz w:val="20"/>
                </w:rPr>
              </w:pPr>
            </w:p>
            <w:p>
              <w:pPr>
                <w:spacing w:line="360" w:lineRule="auto"/>
                <w:jc w:val="center"/>
                <w:rPr>
                  <w:b/>
                  <w:bCs/>
                  <w:szCs w:val="24"/>
                </w:rPr>
              </w:pPr>
            </w:p>
            <w:sdt>
              <w:sdtPr>
                <w:alias w:val="1 p."/>
                <w:tag w:val="part_1d7e553c9eb54eab9bb436562ab17413"/>
                <w:lock w:val="sdtLocked"/>
                <w:richText/>
              </w:sdtPr>
              <w:sdtContent>
                <w:p>
                  <w:pPr>
                    <w:spacing w:line="360" w:lineRule="auto"/>
                    <w:ind w:firstLine="567"/>
                    <w:jc w:val="both"/>
                    <w:rPr>
                      <w:b/>
                      <w:bCs/>
                      <w:color w:val="000000"/>
                      <w:szCs w:val="24"/>
                      <w:lang w:eastAsia="lt-LT"/>
                    </w:rPr>
                  </w:pPr>
                  <w:sdt>
                    <w:sdtPr>
                      <w:alias w:val="Numeris"/>
                      <w:tag w:val="nr_1d7e553c9eb54eab9bb436562ab17413"/>
                      <w:lock w:val="sdtLocked"/>
                      <w:richText/>
                    </w:sdtPr>
                    <w:sdtContent>
                      <w:r>
                        <w:rPr>
                          <w:b/>
                          <w:bCs/>
                          <w:color w:val="000000"/>
                          <w:szCs w:val="24"/>
                          <w:lang w:eastAsia="lt-LT"/>
                        </w:rPr>
                        <w:t>1</w:t>
                      </w:r>
                    </w:sdtContent>
                  </w:sdt>
                  <w:r>
                    <w:rPr>
                      <w:b/>
                      <w:bCs/>
                      <w:color w:val="000000"/>
                      <w:szCs w:val="24"/>
                      <w:lang w:eastAsia="lt-LT"/>
                    </w:rPr>
                    <w:t>. Įsakymo projekto rengimą paskatinusios priežastys, įsakymo projekto tikslai ir uždaviniai</w:t>
                  </w:r>
                </w:p>
                <w:p>
                  <w:pPr>
                    <w:spacing w:line="360" w:lineRule="auto"/>
                    <w:ind w:firstLine="567"/>
                    <w:jc w:val="both"/>
                    <w:rPr>
                      <w:szCs w:val="24"/>
                      <w:lang w:eastAsia="lt-LT"/>
                    </w:rPr>
                  </w:pPr>
                  <w:r>
                    <w:rPr>
                      <w:szCs w:val="24"/>
                      <w:lang w:eastAsia="lt-LT"/>
                    </w:rPr>
                    <w:t xml:space="preserve">Žemės ūkio ministro įsakymo „Dėl Sankcijų už paramos sąlygų reikalavimų pažeidimą taikymo metodikos patvirtinimo“ projektas (toliau – Įsakymo projektas) parengtas vadovaujantis 2021 m. gruodžio 2 d. Europos Parlamento ir Tarybos reglamento </w:t>
                  </w:r>
                  <w:fldSimple w:instr="HYPERLINK http://eur-lex.europa.eu/legal-content/LIT/TXT/?uri=CELEX:32116R2021&amp;locale=lt \t _blank">
                    <w:r>
                      <w:rPr>
                        <w:szCs w:val="24"/>
                        <w:lang w:eastAsia="lt-LT"/>
                        <w:u w:val="single"/>
                        <w:color w:val="0000FF" w:themeColor="hyperlink"/>
                      </w:rPr>
                      <w:t>(ES) 2021/2116</w:t>
                    </w:r>
                  </w:fldSimple>
                  <w:r>
                    <w:rPr>
                      <w:szCs w:val="24"/>
                      <w:lang w:eastAsia="lt-LT"/>
                    </w:rPr>
                    <w:t xml:space="preserve"> dėl bendros žemės ūkio politikos finansavimo, valdymo ir stebėsenos, kuriuo panaikinamas Reglamentas </w:t>
                  </w:r>
                  <w:fldSimple w:instr="HYPERLINK http://eur-lex.europa.eu/legal-content/LIT/TXT/?uri=CELEX:32013R1306&amp;locale=lt \t _blank">
                    <w:r>
                      <w:rPr>
                        <w:szCs w:val="24"/>
                        <w:lang w:eastAsia="lt-LT"/>
                        <w:u w:val="single"/>
                        <w:color w:val="0000FF" w:themeColor="hyperlink"/>
                      </w:rPr>
                      <w:t>(ES) Nr. 1306/2013</w:t>
                    </w:r>
                  </w:fldSimple>
                  <w:r>
                    <w:rPr>
                      <w:szCs w:val="24"/>
                      <w:lang w:eastAsia="lt-LT"/>
                    </w:rPr>
                    <w:t xml:space="preserve">, bei 2022 m. gegužės 4 d. Komisijos deleguotojo reglamento </w:t>
                  </w:r>
                  <w:fldSimple w:instr="HYPERLINK http://eur-lex.europa.eu/legal-content/LIT/TXT/?uri=CELEX:31172R2022&amp;locale=lt \t _blank">
                    <w:r>
                      <w:rPr>
                        <w:szCs w:val="24"/>
                        <w:lang w:eastAsia="lt-LT"/>
                        <w:u w:val="single"/>
                        <w:color w:val="0000FF" w:themeColor="hyperlink"/>
                      </w:rPr>
                      <w:t>(ES) 2022/1172</w:t>
                    </w:r>
                  </w:fldSimple>
                  <w:r>
                    <w:rPr>
                      <w:szCs w:val="24"/>
                      <w:lang w:eastAsia="lt-LT"/>
                    </w:rPr>
                    <w:t xml:space="preserve">, kuriuo papildomos Europos Parlamento ir Tarybos reglamento </w:t>
                  </w:r>
                  <w:fldSimple w:instr="HYPERLINK http://eur-lex.europa.eu/legal-content/LIT/TXT/?uri=CELEX:32116R2021&amp;locale=lt \t _blank">
                    <w:r>
                      <w:rPr>
                        <w:szCs w:val="24"/>
                        <w:lang w:eastAsia="lt-LT"/>
                        <w:u w:val="single"/>
                        <w:color w:val="0000FF" w:themeColor="hyperlink"/>
                      </w:rPr>
                      <w:t>(ES) 2021/2116</w:t>
                    </w:r>
                  </w:fldSimple>
                  <w:r>
                    <w:rPr>
                      <w:szCs w:val="24"/>
                      <w:lang w:eastAsia="lt-LT"/>
                    </w:rPr>
                    <w:t xml:space="preserve"> nuostatos dėl bendros žemės ūkio politikos integruotos administravimo ir kontrolės sistemos ir su paramos sąlygomis susijusių administracinių nuobaudų taikymo ir apskaičiavimo, nuostatomis dėl paramos sąlygų administracinių nuobaudų taikymo sistemos sukūrimo, kuri apima bendruosius sankcijų taikymo principus bei sankcijų apskaičiavimą.</w:t>
                  </w:r>
                </w:p>
                <w:p>
                  <w:pPr>
                    <w:spacing w:line="360" w:lineRule="auto"/>
                    <w:ind w:firstLine="567"/>
                    <w:jc w:val="both"/>
                    <w:rPr>
                      <w:szCs w:val="24"/>
                      <w:lang w:eastAsia="lt-LT"/>
                    </w:rPr>
                  </w:pPr>
                  <w:r>
                    <w:rPr>
                      <w:szCs w:val="24"/>
                      <w:lang w:eastAsia="lt-LT"/>
                    </w:rPr>
                    <w:t xml:space="preserve">Įsakymo projekto tikslas – nustatyti sankcijas dėl </w:t>
                  </w:r>
                  <w:r>
                    <w:rPr>
                      <w:color w:val="000000"/>
                      <w:szCs w:val="24"/>
                    </w:rPr>
                    <w:t xml:space="preserve">paramos sąlygų, t. y. žemės ūkio veiklos valdymo reikalavimų, taikomų nuo 2023 metų, ir geros agrarinės ir aplinkosaugos būklės reikalavimų, taikomų nuo 2023 metų, nesilaikymo. </w:t>
                  </w:r>
                  <w:r>
                    <w:rPr>
                      <w:szCs w:val="24"/>
                      <w:lang w:eastAsia="lt-LT"/>
                    </w:rPr>
                    <w:t>Sankcijos bus taikomos visiems žemės ūkio veiklos subjektams, gaunantiems šias išmokas: bazines tiesiogines, perskirstomąsias, jaunojo ūkininko, klimatui, aplinkai ir gyvūnų gerovei naudingų sistemų (ekologinių sistemų), susietosios paramos bei Lietuvos žemės ūkio ir kaimo plėtros 2023–2027 m. strateginio plano kaimo plėtros intervencinių priemonių: „Ekologinis ūkininkavimas. Ekologinio ūkininkavimo tęstiniai įsipareigojimai“, „Miško priežiūra ir apsauga“, „Nykstančių Lietuvos senųjų veislių gyvulių ir naminių paukščių išsaugojimas“, „Laukinių paukščių apsauga už „Natura 2000“ teritorijos ribų“, „Vietovės su gamtinėmis ar kitomis specifinėmis kliūtimis“, „Parama „Natura 2000“ miškuose“, „Parama „Natura 2000“ žemės ūkio paskirties žemėje“, ir nesilaikantiems nustatytų reikalavimų.</w:t>
                  </w:r>
                </w:p>
                <w:p>
                  <w:pPr>
                    <w:spacing w:line="360" w:lineRule="auto"/>
                    <w:ind w:firstLine="567"/>
                    <w:jc w:val="both"/>
                    <w:rPr>
                      <w:szCs w:val="24"/>
                      <w:lang w:eastAsia="lt-LT"/>
                    </w:rPr>
                  </w:pPr>
                  <w:r>
                    <w:rPr>
                      <w:szCs w:val="24"/>
                      <w:lang w:eastAsia="lt-LT"/>
                    </w:rPr>
                    <w:t xml:space="preserve">Sankcijų dydžiai bus apskaičiuojami įvertinus reikalavimų pažeidimus pagal masto, sunkumo, poveikio trukmės ir pasikartojamumo kriterijus bei tai, ar pažeidimas padarytas tyčia ar ne. </w:t>
                  </w:r>
                </w:p>
                <w:p>
                  <w:pPr>
                    <w:spacing w:line="360" w:lineRule="auto"/>
                    <w:ind w:firstLine="567"/>
                    <w:jc w:val="both"/>
                    <w:rPr>
                      <w:szCs w:val="24"/>
                      <w:lang w:eastAsia="lt-LT"/>
                    </w:rPr>
                  </w:pPr>
                  <w:r>
                    <w:rPr>
                      <w:szCs w:val="24"/>
                      <w:lang w:eastAsia="lt-LT"/>
                    </w:rPr>
                    <w:t>Už sankcijų apskaičiavimą pagal nustatytus reikalavimų pažeidimus bei jų taikymą bus atsakinga Nacionalinė mokėjimo agentūra prie Žemės ūkio ministerijos.</w:t>
                  </w:r>
                </w:p>
              </w:sdtContent>
            </w:sdt>
            <w:sdt>
              <w:sdtPr>
                <w:alias w:val="2 p."/>
                <w:tag w:val="part_99ccd4922b4d4d48910bb52f385a44de"/>
                <w:lock w:val="sdtLocked"/>
                <w:richText/>
              </w:sdtPr>
              <w:sdtContent>
                <w:p>
                  <w:pPr>
                    <w:spacing w:line="360" w:lineRule="auto"/>
                    <w:ind w:firstLine="567"/>
                    <w:jc w:val="both"/>
                    <w:rPr>
                      <w:rFonts w:eastAsia="Calibri"/>
                      <w:b/>
                      <w:bCs/>
                      <w:szCs w:val="24"/>
                    </w:rPr>
                  </w:pPr>
                  <w:sdt>
                    <w:sdtPr>
                      <w:alias w:val="Numeris"/>
                      <w:tag w:val="nr_99ccd4922b4d4d48910bb52f385a44de"/>
                      <w:lock w:val="sdtLocked"/>
                      <w:richText/>
                    </w:sdtPr>
                    <w:sdtContent>
                      <w:r>
                        <w:rPr>
                          <w:b/>
                          <w:bCs/>
                          <w:szCs w:val="24"/>
                          <w:lang w:eastAsia="lt-LT"/>
                        </w:rPr>
                        <w:t>2</w:t>
                      </w:r>
                    </w:sdtContent>
                  </w:sdt>
                  <w:r>
                    <w:rPr>
                      <w:b/>
                      <w:bCs/>
                      <w:szCs w:val="24"/>
                      <w:lang w:eastAsia="lt-LT"/>
                    </w:rPr>
                    <w:t xml:space="preserve">. </w:t>
                  </w:r>
                  <w:r>
                    <w:rPr>
                      <w:rFonts w:eastAsia="Calibri"/>
                      <w:b/>
                      <w:bCs/>
                      <w:szCs w:val="24"/>
                    </w:rPr>
                    <w:t>Įsakymo projektui įgyvendinti reikalingi institucijų ir (ar) įstaigų informacinių sistemų pakeitimai</w:t>
                  </w:r>
                </w:p>
                <w:p>
                  <w:pPr>
                    <w:spacing w:line="360" w:lineRule="auto"/>
                    <w:ind w:firstLine="567"/>
                    <w:jc w:val="both"/>
                    <w:rPr>
                      <w:rFonts w:eastAsia="Calibri"/>
                      <w:szCs w:val="24"/>
                    </w:rPr>
                  </w:pPr>
                  <w:r>
                    <w:rPr>
                      <w:rFonts w:eastAsia="Calibri"/>
                      <w:szCs w:val="24"/>
                    </w:rPr>
                    <w:t>Bus reikalingi Nacionalinės mokėjimo agentūros prie Žemės ūkio ministerijos ir VĮ Žemės ūkio duomenų centro informacinių sistemų pakeitimai, kurie bus atlikti iš įstaigai skirtų asignavimų.</w:t>
                  </w:r>
                </w:p>
              </w:sdtContent>
            </w:sdt>
            <w:sdt>
              <w:sdtPr>
                <w:alias w:val="3 p."/>
                <w:tag w:val="part_91fc8e83cf1640dca3c2dbab3b961ed8"/>
                <w:lock w:val="sdtLocked"/>
                <w:richText/>
              </w:sdtPr>
              <w:sdtContent>
                <w:p>
                  <w:pPr>
                    <w:spacing w:line="360" w:lineRule="auto"/>
                    <w:ind w:firstLine="567"/>
                    <w:jc w:val="both"/>
                    <w:rPr>
                      <w:b/>
                      <w:bCs/>
                      <w:szCs w:val="24"/>
                      <w:lang w:eastAsia="lt-LT"/>
                    </w:rPr>
                  </w:pPr>
                  <w:sdt>
                    <w:sdtPr>
                      <w:alias w:val="Numeris"/>
                      <w:tag w:val="nr_91fc8e83cf1640dca3c2dbab3b961ed8"/>
                      <w:lock w:val="sdtLocked"/>
                      <w:richText/>
                    </w:sdtPr>
                    <w:sdtContent>
                      <w:r>
                        <w:rPr>
                          <w:b/>
                          <w:bCs/>
                          <w:szCs w:val="24"/>
                          <w:lang w:eastAsia="lt-LT"/>
                        </w:rPr>
                        <w:t>3</w:t>
                      </w:r>
                    </w:sdtContent>
                  </w:sdt>
                  <w:r>
                    <w:rPr>
                      <w:b/>
                      <w:bCs/>
                      <w:szCs w:val="24"/>
                      <w:lang w:eastAsia="lt-LT"/>
                    </w:rPr>
                    <w:t xml:space="preserve">. Informacija dėl įsakymo projekto skelbimo Lietuvos Respublikos Seimo kanceliarijos Teisės aktų informacinėje sistemoje (toliau – TAIS) </w:t>
                  </w:r>
                </w:p>
                <w:p>
                  <w:pPr>
                    <w:overflowPunct w:val="0"/>
                    <w:spacing w:line="360" w:lineRule="auto"/>
                    <w:ind w:firstLine="709"/>
                    <w:jc w:val="both"/>
                    <w:textAlignment w:val="baseline"/>
                    <w:rPr>
                      <w:szCs w:val="24"/>
                      <w:lang w:eastAsia="lt-LT"/>
                    </w:rPr>
                  </w:pPr>
                  <w:r>
                    <w:rPr>
                      <w:lang w:eastAsia="lt-LT"/>
                    </w:rPr>
                    <w:t>Įsakymo projektas bus skelbiamas</w:t>
                  </w:r>
                  <w:r>
                    <w:rPr>
                      <w:szCs w:val="24"/>
                      <w:lang w:eastAsia="lt-LT"/>
                    </w:rPr>
                    <w:t xml:space="preserve"> TAIS </w:t>
                  </w:r>
                  <w:r>
                    <w:rPr>
                      <w:szCs w:val="24"/>
                      <w:lang w:val="en-US" w:eastAsia="lt-LT"/>
                    </w:rPr>
                    <w:t>10</w:t>
                  </w:r>
                  <w:r>
                    <w:rPr>
                      <w:szCs w:val="24"/>
                      <w:lang w:eastAsia="lt-LT"/>
                    </w:rPr>
                    <w:t xml:space="preserve"> darbo dienų. </w:t>
                  </w:r>
                </w:p>
              </w:sdtContent>
            </w:sdt>
            <w:sdt>
              <w:sdtPr>
                <w:alias w:val="4 p."/>
                <w:tag w:val="part_33af5706139e44cca21da25e2294ca69"/>
                <w:lock w:val="sdtLocked"/>
                <w:richText/>
              </w:sdtPr>
              <w:sdtContent>
                <w:p>
                  <w:pPr>
                    <w:spacing w:line="360" w:lineRule="auto"/>
                    <w:ind w:firstLine="567"/>
                    <w:jc w:val="both"/>
                    <w:rPr>
                      <w:b/>
                      <w:bCs/>
                      <w:color w:val="000000"/>
                      <w:szCs w:val="24"/>
                      <w:lang w:eastAsia="lt-LT"/>
                    </w:rPr>
                  </w:pPr>
                  <w:sdt>
                    <w:sdtPr>
                      <w:alias w:val="Numeris"/>
                      <w:tag w:val="nr_33af5706139e44cca21da25e2294ca69"/>
                      <w:lock w:val="sdtLocked"/>
                      <w:richText/>
                    </w:sdtPr>
                    <w:sdtContent>
                      <w:r>
                        <w:rPr>
                          <w:b/>
                          <w:bCs/>
                          <w:color w:val="000000"/>
                          <w:szCs w:val="24"/>
                          <w:lang w:eastAsia="lt-LT"/>
                        </w:rPr>
                        <w:t>4</w:t>
                      </w:r>
                    </w:sdtContent>
                  </w:sdt>
                  <w:r>
                    <w:rPr>
                      <w:b/>
                      <w:bCs/>
                      <w:color w:val="000000"/>
                      <w:szCs w:val="24"/>
                      <w:lang w:eastAsia="lt-LT"/>
                    </w:rPr>
                    <w:t xml:space="preserve">. Informacija dėl įsakymo projekto derinimo su suinteresuotomis valstybės institucijomis ir (ar) įstaigomis </w:t>
                  </w:r>
                </w:p>
                <w:p>
                  <w:pPr>
                    <w:overflowPunct w:val="0"/>
                    <w:spacing w:line="360" w:lineRule="auto"/>
                    <w:ind w:firstLine="709"/>
                    <w:jc w:val="both"/>
                    <w:textAlignment w:val="baseline"/>
                    <w:rPr>
                      <w:szCs w:val="24"/>
                      <w:lang w:eastAsia="lt-LT"/>
                    </w:rPr>
                  </w:pPr>
                  <w:r>
                    <w:rPr>
                      <w:szCs w:val="24"/>
                      <w:lang w:eastAsia="lt-LT"/>
                    </w:rPr>
                    <w:t xml:space="preserve">Įsakymo projektas bus derinamas su Valstybine maisto ir veterinarijos tarnyba, Nacionaline mokėjimo agentūra prie Žemės ūkio ministerijos ir VĮ Žemės ūkio duomenų centru. </w:t>
                  </w:r>
                </w:p>
              </w:sdtContent>
            </w:sdt>
            <w:sdt>
              <w:sdtPr>
                <w:alias w:val="5 p."/>
                <w:tag w:val="part_ee5770cef56e4e38a9541dd3b2325acb"/>
                <w:lock w:val="sdtLocked"/>
                <w:richText/>
              </w:sdtPr>
              <w:sdtContent>
                <w:p>
                  <w:pPr>
                    <w:overflowPunct w:val="0"/>
                    <w:spacing w:line="360" w:lineRule="auto"/>
                    <w:ind w:firstLine="567"/>
                    <w:jc w:val="both"/>
                    <w:textAlignment w:val="baseline"/>
                    <w:rPr>
                      <w:b/>
                      <w:bCs/>
                      <w:color w:val="000000"/>
                      <w:szCs w:val="24"/>
                      <w:lang w:eastAsia="lt-LT"/>
                    </w:rPr>
                  </w:pPr>
                  <w:sdt>
                    <w:sdtPr>
                      <w:alias w:val="Numeris"/>
                      <w:tag w:val="nr_ee5770cef56e4e38a9541dd3b2325acb"/>
                      <w:lock w:val="sdtLocked"/>
                      <w:richText/>
                    </w:sdtPr>
                    <w:sdtContent>
                      <w:r>
                        <w:rPr>
                          <w:b/>
                          <w:bCs/>
                          <w:color w:val="000000"/>
                          <w:szCs w:val="24"/>
                          <w:lang w:eastAsia="lt-LT"/>
                        </w:rPr>
                        <w:t>5</w:t>
                      </w:r>
                    </w:sdtContent>
                  </w:sdt>
                  <w:r>
                    <w:rPr>
                      <w:b/>
                      <w:bCs/>
                      <w:color w:val="000000"/>
                      <w:szCs w:val="24"/>
                      <w:lang w:eastAsia="lt-LT"/>
                    </w:rPr>
                    <w:t xml:space="preserve">. Informacija dėl įsakymo projekto antikorupcinio vertinimo </w:t>
                  </w:r>
                </w:p>
                <w:p>
                  <w:pPr>
                    <w:spacing w:line="360" w:lineRule="auto"/>
                    <w:ind w:firstLine="567"/>
                    <w:jc w:val="both"/>
                    <w:rPr>
                      <w:color w:val="000000"/>
                      <w:szCs w:val="24"/>
                      <w:lang w:eastAsia="lt-LT"/>
                    </w:rPr>
                  </w:pPr>
                  <w:r>
                    <w:rPr>
                      <w:color w:val="000000"/>
                      <w:szCs w:val="24"/>
                      <w:lang w:eastAsia="lt-LT"/>
                    </w:rPr>
                    <w:t>Atliktas antikorupcinis vertinimas, pridedama pažyma.</w:t>
                  </w:r>
                </w:p>
              </w:sdtContent>
            </w:sdt>
            <w:sdt>
              <w:sdtPr>
                <w:alias w:val="6 p."/>
                <w:tag w:val="part_7435b622bb9f4509893f0b675f95de6d"/>
                <w:lock w:val="sdtLocked"/>
                <w:richText/>
              </w:sdtPr>
              <w:sdtContent>
                <w:p>
                  <w:pPr>
                    <w:spacing w:line="360" w:lineRule="auto"/>
                    <w:ind w:firstLine="567"/>
                    <w:jc w:val="both"/>
                    <w:rPr>
                      <w:b/>
                      <w:bCs/>
                      <w:color w:val="000000"/>
                      <w:szCs w:val="24"/>
                      <w:lang w:eastAsia="lt-LT"/>
                    </w:rPr>
                  </w:pPr>
                  <w:sdt>
                    <w:sdtPr>
                      <w:alias w:val="Numeris"/>
                      <w:tag w:val="nr_7435b622bb9f4509893f0b675f95de6d"/>
                      <w:lock w:val="sdtLocked"/>
                      <w:richText/>
                    </w:sdtPr>
                    <w:sdtContent>
                      <w:r>
                        <w:rPr>
                          <w:b/>
                          <w:bCs/>
                          <w:color w:val="000000"/>
                          <w:szCs w:val="24"/>
                          <w:lang w:eastAsia="lt-LT"/>
                        </w:rPr>
                        <w:t>6</w:t>
                      </w:r>
                    </w:sdtContent>
                  </w:sdt>
                  <w:r>
                    <w:rPr>
                      <w:b/>
                      <w:bCs/>
                      <w:color w:val="000000"/>
                      <w:szCs w:val="24"/>
                      <w:lang w:eastAsia="lt-LT"/>
                    </w:rPr>
                    <w:t>. Informacija dėl ūkio subjektams sukeliamos administracinės naštos vertinimo, numatomo teisinio reguliavimo poveikio vertinimo, įsakymo projekto, perkeliančio ir (ar) įgyvendinančio Europos Sąjungos direktyvų ar kitų Europos Sąjungos teisės aktų nuostatų atitikties</w:t>
                  </w:r>
                </w:p>
                <w:p>
                  <w:pPr>
                    <w:spacing w:line="360" w:lineRule="auto"/>
                    <w:ind w:firstLine="567"/>
                    <w:jc w:val="both"/>
                    <w:rPr>
                      <w:color w:val="000000"/>
                      <w:szCs w:val="24"/>
                    </w:rPr>
                  </w:pPr>
                  <w:r>
                    <w:rPr>
                      <w:color w:val="000000"/>
                      <w:szCs w:val="24"/>
                    </w:rPr>
                    <w:t xml:space="preserve">Teisės akto projektu yra įgyvendinamos </w:t>
                  </w:r>
                  <w:r>
                    <w:rPr>
                      <w:szCs w:val="24"/>
                      <w:lang w:eastAsia="lt-LT"/>
                    </w:rPr>
                    <w:t xml:space="preserve">Reglamento </w:t>
                  </w:r>
                  <w:fldSimple w:instr="HYPERLINK http://eur-lex.europa.eu/legal-content/LIT/TXT/?uri=CELEX:32116R2021&amp;locale=lt \t _blank">
                    <w:r>
                      <w:rPr>
                        <w:szCs w:val="24"/>
                        <w:lang w:eastAsia="lt-LT"/>
                        <w:u w:val="single"/>
                        <w:color w:val="0000FF" w:themeColor="hyperlink"/>
                      </w:rPr>
                      <w:t>(ES) 2021/2116</w:t>
                    </w:r>
                  </w:fldSimple>
                  <w:r>
                    <w:rPr>
                      <w:szCs w:val="24"/>
                      <w:lang w:eastAsia="lt-LT"/>
                    </w:rPr>
                    <w:t xml:space="preserve"> ir Reglamento </w:t>
                  </w:r>
                  <w:fldSimple w:instr="HYPERLINK http://eur-lex.europa.eu/legal-content/LIT/TXT/?uri=CELEX:31172R2022&amp;locale=lt \t _blank">
                    <w:r>
                      <w:rPr>
                        <w:szCs w:val="24"/>
                        <w:lang w:eastAsia="lt-LT"/>
                        <w:u w:val="single"/>
                        <w:color w:val="0000FF" w:themeColor="hyperlink"/>
                      </w:rPr>
                      <w:t>(ES) 2022/1172</w:t>
                    </w:r>
                  </w:fldSimple>
                  <w:r>
                    <w:rPr>
                      <w:szCs w:val="24"/>
                      <w:lang w:eastAsia="lt-LT"/>
                    </w:rPr>
                    <w:t xml:space="preserve"> </w:t>
                  </w:r>
                  <w:r>
                    <w:rPr>
                      <w:color w:val="000000"/>
                      <w:szCs w:val="24"/>
                    </w:rPr>
                    <w:t>nuostatos.</w:t>
                  </w:r>
                </w:p>
              </w:sdtContent>
            </w:sdt>
            <w:sdt>
              <w:sdtPr>
                <w:alias w:val="7 p."/>
                <w:tag w:val="part_2d440140acd44e30aa8cba00afe9e919"/>
                <w:lock w:val="sdtLocked"/>
                <w:richText/>
              </w:sdtPr>
              <w:sdtContent>
                <w:p>
                  <w:pPr>
                    <w:spacing w:line="360" w:lineRule="auto"/>
                    <w:ind w:firstLine="567"/>
                    <w:jc w:val="both"/>
                    <w:rPr>
                      <w:b/>
                      <w:bCs/>
                      <w:color w:val="000000"/>
                      <w:szCs w:val="24"/>
                      <w:lang w:eastAsia="lt-LT"/>
                    </w:rPr>
                  </w:pPr>
                  <w:sdt>
                    <w:sdtPr>
                      <w:alias w:val="Numeris"/>
                      <w:tag w:val="nr_2d440140acd44e30aa8cba00afe9e919"/>
                      <w:lock w:val="sdtLocked"/>
                      <w:richText/>
                    </w:sdtPr>
                    <w:sdtContent>
                      <w:r>
                        <w:rPr>
                          <w:b/>
                          <w:bCs/>
                          <w:color w:val="000000"/>
                          <w:szCs w:val="24"/>
                          <w:lang w:eastAsia="lt-LT"/>
                        </w:rPr>
                        <w:t>7</w:t>
                      </w:r>
                    </w:sdtContent>
                  </w:sdt>
                  <w:r>
                    <w:rPr>
                      <w:b/>
                      <w:bCs/>
                      <w:color w:val="000000"/>
                      <w:szCs w:val="24"/>
                      <w:lang w:eastAsia="lt-LT"/>
                    </w:rPr>
                    <w:t>. Kita svarbi informacija</w:t>
                  </w:r>
                </w:p>
                <w:p>
                  <w:pPr>
                    <w:spacing w:line="360" w:lineRule="auto"/>
                    <w:ind w:firstLine="567"/>
                    <w:jc w:val="both"/>
                    <w:rPr>
                      <w:color w:val="000000"/>
                      <w:szCs w:val="24"/>
                      <w:lang w:eastAsia="lt-LT"/>
                    </w:rPr>
                  </w:pPr>
                  <w:r>
                    <w:rPr>
                      <w:color w:val="000000"/>
                      <w:szCs w:val="24"/>
                      <w:lang w:eastAsia="lt-LT"/>
                    </w:rPr>
                    <w:t>Nėra.</w:t>
                  </w:r>
                </w:p>
                <w:p>
                  <w:pPr>
                    <w:ind w:firstLine="567"/>
                    <w:rPr>
                      <w:bCs/>
                      <w:color w:val="000000"/>
                      <w:szCs w:val="24"/>
                    </w:rPr>
                  </w:pPr>
                  <w:r>
                    <w:rPr>
                      <w:bCs/>
                      <w:color w:val="000000"/>
                      <w:szCs w:val="24"/>
                    </w:rPr>
                    <w:t xml:space="preserve">PRIDEDAMA: </w:t>
                  </w:r>
                </w:p>
              </w:sdtContent>
            </w:sdt>
            <w:sdt>
              <w:sdtPr>
                <w:alias w:val="1 p."/>
                <w:tag w:val="part_643cc8e10a8f4abd8612b702d32a56d9"/>
                <w:lock w:val="sdtLocked"/>
                <w:richText/>
              </w:sdtPr>
              <w:sdtContent>
                <w:p>
                  <w:pPr>
                    <w:overflowPunct w:val="0"/>
                    <w:spacing w:line="276" w:lineRule="auto"/>
                    <w:ind w:left="927" w:hanging="360"/>
                    <w:jc w:val="both"/>
                    <w:textAlignment w:val="baseline"/>
                    <w:rPr>
                      <w:lang w:eastAsia="lt-LT"/>
                    </w:rPr>
                  </w:pPr>
                  <w:sdt>
                    <w:sdtPr>
                      <w:alias w:val="Numeris"/>
                      <w:tag w:val="nr_643cc8e10a8f4abd8612b702d32a56d9"/>
                      <w:lock w:val="sdtLocked"/>
                      <w:richText/>
                    </w:sdtPr>
                    <w:sdtContent>
                      <w:r>
                        <w:rPr>
                          <w:lang w:eastAsia="lt-LT"/>
                        </w:rPr>
                        <w:t>1</w:t>
                      </w:r>
                    </w:sdtContent>
                  </w:sdt>
                  <w:r>
                    <w:rPr>
                      <w:lang w:eastAsia="lt-LT"/>
                    </w:rPr>
                    <w:t>.</w:t>
                    <w:tab/>
                    <w:t>Įsakymo projektas, iš viso 24 lapai.</w:t>
                  </w:r>
                </w:p>
              </w:sdtContent>
            </w:sdt>
            <w:sdt>
              <w:sdtPr>
                <w:alias w:val="2 p."/>
                <w:tag w:val="part_48e15012048044c18fee355b1b09d8d5"/>
                <w:lock w:val="sdtLocked"/>
                <w:richText/>
              </w:sdtPr>
              <w:sdtContent>
                <w:p>
                  <w:pPr>
                    <w:overflowPunct w:val="0"/>
                    <w:spacing w:line="276" w:lineRule="auto"/>
                    <w:ind w:left="927" w:hanging="360"/>
                    <w:jc w:val="both"/>
                    <w:textAlignment w:val="baseline"/>
                    <w:rPr>
                      <w:lang w:eastAsia="lt-LT"/>
                    </w:rPr>
                  </w:pPr>
                  <w:sdt>
                    <w:sdtPr>
                      <w:alias w:val="Numeris"/>
                      <w:tag w:val="nr_48e15012048044c18fee355b1b09d8d5"/>
                      <w:lock w:val="sdtLocked"/>
                      <w:richText/>
                    </w:sdtPr>
                    <w:sdtContent>
                      <w:r>
                        <w:rPr>
                          <w:lang w:eastAsia="lt-LT"/>
                        </w:rPr>
                        <w:t>2</w:t>
                      </w:r>
                    </w:sdtContent>
                  </w:sdt>
                  <w:r>
                    <w:rPr>
                      <w:lang w:eastAsia="lt-LT"/>
                    </w:rPr>
                    <w:t>.</w:t>
                    <w:tab/>
                    <w:t xml:space="preserve">Antikorupcinio vertinimo pažyma, </w:t>
                  </w:r>
                  <w:r>
                    <w:rPr>
                      <w:lang w:val="en-US" w:eastAsia="lt-LT"/>
                    </w:rPr>
                    <w:t>5 lapai.</w:t>
                  </w:r>
                </w:p>
                <w:p>
                  <w:pPr>
                    <w:overflowPunct w:val="0"/>
                    <w:spacing w:line="276" w:lineRule="auto"/>
                    <w:ind w:firstLine="709"/>
                    <w:jc w:val="both"/>
                    <w:textAlignment w:val="baseline"/>
                    <w:rPr>
                      <w:lang w:eastAsia="lt-LT"/>
                    </w:rPr>
                  </w:pPr>
                </w:p>
                <w:p>
                  <w:pPr>
                    <w:overflowPunct w:val="0"/>
                    <w:spacing w:line="360" w:lineRule="auto"/>
                    <w:textAlignment w:val="baseline"/>
                    <w:rPr>
                      <w:szCs w:val="24"/>
                      <w:lang w:eastAsia="lt-LT"/>
                    </w:rPr>
                  </w:pPr>
                </w:p>
                <w:p>
                  <w:pPr>
                    <w:overflowPunct w:val="0"/>
                    <w:spacing w:line="360" w:lineRule="auto"/>
                    <w:textAlignment w:val="baseline"/>
                    <w:rPr>
                      <w:szCs w:val="24"/>
                      <w:lang w:eastAsia="lt-LT"/>
                    </w:rPr>
                  </w:pPr>
                  <w:r>
                    <w:rPr>
                      <w:szCs w:val="24"/>
                      <w:lang w:eastAsia="lt-LT"/>
                    </w:rPr>
                    <w:t xml:space="preserve">Vedėjas                                                                                                                  Vidmantas Ašmonas</w:t>
                  </w:r>
                </w:p>
                <w:p>
                  <w:pPr>
                    <w:overflowPunct w:val="0"/>
                    <w:spacing w:line="360" w:lineRule="auto"/>
                    <w:textAlignment w:val="baseline"/>
                    <w:rPr>
                      <w:szCs w:val="24"/>
                      <w:lang w:eastAsia="lt-LT"/>
                    </w:rPr>
                  </w:pPr>
                </w:p>
                <w:p>
                  <w:pPr>
                    <w:overflowPunct w:val="0"/>
                    <w:spacing w:line="360" w:lineRule="auto"/>
                    <w:textAlignment w:val="baseline"/>
                    <w:rPr>
                      <w:szCs w:val="24"/>
                      <w:lang w:eastAsia="lt-LT"/>
                    </w:rPr>
                  </w:pPr>
                </w:p>
                <w:p>
                  <w:pPr>
                    <w:overflowPunct w:val="0"/>
                    <w:spacing w:line="360" w:lineRule="auto"/>
                    <w:textAlignment w:val="baseline"/>
                    <w:rPr>
                      <w:szCs w:val="24"/>
                      <w:lang w:eastAsia="lt-LT"/>
                    </w:rPr>
                  </w:pPr>
                </w:p>
                <w:p>
                  <w:pPr>
                    <w:overflowPunct w:val="0"/>
                    <w:spacing w:line="360" w:lineRule="auto"/>
                    <w:textAlignment w:val="baseline"/>
                    <w:rPr>
                      <w:szCs w:val="24"/>
                      <w:lang w:eastAsia="lt-LT"/>
                    </w:rPr>
                  </w:pPr>
                </w:p>
                <w:p>
                  <w:pPr>
                    <w:overflowPunct w:val="0"/>
                    <w:spacing w:line="360" w:lineRule="auto"/>
                    <w:textAlignment w:val="baseline"/>
                    <w:rPr>
                      <w:sz w:val="22"/>
                      <w:szCs w:val="22"/>
                    </w:rPr>
                  </w:pPr>
                  <w:r>
                    <w:rPr>
                      <w:szCs w:val="24"/>
                      <w:lang w:eastAsia="lt-LT"/>
                    </w:rPr>
                    <w:t xml:space="preserve">Jurgita Čiučkienė, tel. 239 1247, el. paštas jurgita.ciuckiene@zum.lt  </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 xml:space="preserve"> PAGE   \* MERGEFORMAT </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20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C7A9DB-BDB1-4E53-8109-BDA64C9945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ca33f53d1e8467d8d9b744d0e22fefe" PartId="09904fb3e6994f488628ce61cf7e7883">
    <Part Type="skyrius" Nr="999" Title="AIŠKINAMASIS RAŠTAS DĖL ŽEMĖS ŪKIO MINISTRO ĮSAKYMO „DĖL SANKCIJŲ UŽ PARAMOS SĄLYGŲ REIKALAVIMŲ PAŽEIDIMĄ TAIKYMO METODIKOS PATVIRTINIMO“ PROJEKTO" DocPartId="968b74d623364e649da31b98524f6525" PartId="74ba5a23137c4461a1489c097f2cc1ee">
      <Part Type="punktas" Nr="1" Abbr="1 p." DocPartId="f4b1761719b442f6a50ad210a904d375" PartId="1d7e553c9eb54eab9bb436562ab17413"/>
      <Part Type="punktas" Nr="2" Abbr="2 p." DocPartId="f30966c0ef1d40b1ae66ad2981f22d5d" PartId="99ccd4922b4d4d48910bb52f385a44de"/>
      <Part Type="punktas" Nr="3" Abbr="3 p." DocPartId="8be2aefdc7534864834383f94063ac51" PartId="91fc8e83cf1640dca3c2dbab3b961ed8"/>
      <Part Type="punktas" Nr="4" Abbr="4 p." DocPartId="b7e3fae968874bdd9140caa23364268c" PartId="33af5706139e44cca21da25e2294ca69"/>
      <Part Type="punktas" Nr="5" Abbr="5 p." DocPartId="0f57f209b29f4ce8b051abcf5078b3a2" PartId="ee5770cef56e4e38a9541dd3b2325acb"/>
      <Part Type="punktas" Nr="6" Abbr="6 p." DocPartId="f34f96eef4714607a16172d88e59bce5" PartId="7435b622bb9f4509893f0b675f95de6d"/>
      <Part Type="punktas" Nr="7" Abbr="7 p." DocPartId="3389f7e37c92418ba81951f6fb1edf83" PartId="2d440140acd44e30aa8cba00afe9e919"/>
      <Part Type="punktas" Nr="1" Abbr="1 p." Notes="Numeris ne iš eilės. Trūksta dalių? [DocDalys]" DocPartId="cf52fb4cbb3b403d8394ec2394b7f84e" PartId="643cc8e10a8f4abd8612b702d32a56d9"/>
      <Part Type="punktas" Nr="2" Abbr="2 p." DocPartId="8b38970748724caf8f966fda9a92688c" PartId="48e15012048044c18fee355b1b09d8d5"/>
    </Part>
  </Part>
</Parts>
</file>

<file path=customXml/itemProps1.xml><?xml version="1.0" encoding="utf-8"?>
<ds:datastoreItem xmlns:ds="http://schemas.openxmlformats.org/officeDocument/2006/customXml" ds:itemID="{94FF04B2-EE93-4F9C-9CA2-F6736EA623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512</Words>
  <Characters>3673</Characters>
  <Application>Microsoft Office Word</Application>
  <DocSecurity>4</DocSecurity>
  <Lines>72</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2023-03-16T12:27:00Z</dcterms:created>
  <dc:creator>Jurgita Čiučkienė</dc:creator>
  <lastModifiedBy>adlibuser</lastModifiedBy>
  <dcterms:modified xsi:type="dcterms:W3CDTF">2023-03-16T12:27:00Z</dcterms:modified>
  <revision>2</revision>
</coreProperties>
</file>