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8fe222b06e4298a07d6bcfae49296b"/>
        <w:lock w:val="sdtLocked"/>
        <w:richText/>
      </w:sdtPr>
      <w:sdtContent>
        <w:p w14:paraId="68618087" w14:textId="77777777">
          <w:pPr>
            <w:tabs>
              <w:tab w:val="center" w:pos="4819"/>
              <w:tab w:val="right" w:pos="9638"/>
            </w:tabs>
            <w:jc w:val="center"/>
            <w:rPr>
              <w:szCs w:val="24"/>
              <w:lang w:val="en-US" w:eastAsia="lt-LT"/>
            </w:rPr>
          </w:pPr>
        </w:p>
        <w:p w14:paraId="7F8C9FE5" w14:textId="77777777">
          <w:pPr>
            <w:tabs>
              <w:tab w:val="center" w:pos="4819"/>
            </w:tabs>
            <w:rPr>
              <w:b/>
              <w:szCs w:val="24"/>
              <w:lang w:val="en-US" w:eastAsia="lt-LT"/>
            </w:rPr>
          </w:pPr>
        </w:p>
        <w:p w14:paraId="11E865FF" w14:textId="77777777">
          <w:pPr>
            <w:jc w:val="center"/>
            <w:rPr>
              <w:szCs w:val="24"/>
              <w:shd w:val="clear" w:color="auto" w:fill="FFFFFF"/>
              <w:lang w:eastAsia="lt-LT"/>
            </w:rPr>
          </w:pPr>
          <w:r>
            <w:rPr>
              <w:b/>
              <w:bCs/>
              <w:szCs w:val="24"/>
              <w:shd w:val="clear" w:color="auto" w:fill="FFFFFF"/>
              <w:lang w:eastAsia="lt-LT"/>
            </w:rPr>
            <w:t>ŠIAULIŲ MIESTO SAVIVALDYBĖS ADMINISTRACIJOS</w:t>
          </w:r>
        </w:p>
        <w:sdt>
          <w:sdtPr>
            <w:alias w:val="skyrius"/>
            <w:tag w:val="part_1f04d0535f994b1e8f74f67ac55669f3"/>
            <w:lock w:val="sdtLocked"/>
            <w:richText/>
          </w:sdtPr>
          <w:sdtContent>
            <w:p w14:paraId="1B9DA53B" w14:textId="77777777">
              <w:pPr>
                <w:jc w:val="center"/>
                <w:rPr>
                  <w:b/>
                  <w:bCs/>
                  <w:szCs w:val="24"/>
                  <w:shd w:val="clear" w:color="auto" w:fill="FFFFFF"/>
                  <w:lang w:eastAsia="lt-LT"/>
                </w:rPr>
              </w:pPr>
              <w:r>
                <w:rPr>
                  <w:b/>
                  <w:bCs/>
                  <w:szCs w:val="24"/>
                  <w:shd w:val="clear" w:color="auto" w:fill="FFFFFF"/>
                  <w:lang w:eastAsia="lt-LT"/>
                </w:rPr>
                <w:t>PROJEKTŲ VALDYMO SKYRIUS</w:t>
              </w:r>
            </w:p>
            <w:p w14:paraId="09D887C0" w14:textId="77777777">
              <w:pPr>
                <w:jc w:val="center"/>
                <w:rPr>
                  <w:b/>
                  <w:bCs/>
                  <w:szCs w:val="24"/>
                  <w:shd w:val="clear" w:color="auto" w:fill="FFFFFF"/>
                  <w:lang w:eastAsia="lt-LT"/>
                </w:rPr>
              </w:pPr>
            </w:p>
            <w:p w14:paraId="52DC96E2" w14:textId="62899127">
              <w:pPr>
                <w:jc w:val="center"/>
                <w:rPr>
                  <w:b/>
                  <w:szCs w:val="24"/>
                  <w:lang w:val="en-US" w:eastAsia="lt-LT"/>
                </w:rPr>
              </w:pPr>
              <w:sdt>
                <w:sdtPr>
                  <w:alias w:val="Pavadinimas"/>
                  <w:tag w:val="title_1f04d0535f994b1e8f74f67ac55669f3"/>
                  <w:lock w:val="sdtLocked"/>
                  <w:richText/>
                </w:sdtPr>
                <w:sdtContent>
                  <w:r>
                    <w:rPr>
                      <w:b/>
                      <w:szCs w:val="24"/>
                      <w:lang w:val="en-US" w:eastAsia="lt-LT"/>
                    </w:rPr>
                    <w:t>TARYBOS SPRENDIMO „DĖL</w:t>
                  </w:r>
                  <w:r>
                    <w:rPr>
                      <w:b/>
                      <w:bCs/>
                      <w:color w:val="000000"/>
                      <w:szCs w:val="24"/>
                      <w:lang w:val="en-US" w:eastAsia="lt-LT"/>
                    </w:rPr>
                    <w:t> 202</w:t>
                  </w:r>
                  <w:r>
                    <w:rPr>
                      <w:b/>
                      <w:bCs/>
                      <w:szCs w:val="24"/>
                      <w:lang w:val="en-US" w:eastAsia="lt-LT"/>
                    </w:rPr>
                    <w:t>4</w:t>
                  </w:r>
                  <w:r>
                    <w:rPr>
                      <w:b/>
                      <w:bCs/>
                      <w:color w:val="000000"/>
                      <w:szCs w:val="24"/>
                      <w:lang w:val="en-US" w:eastAsia="lt-LT"/>
                    </w:rPr>
                    <w:t xml:space="preserve">–2029 M. </w:t>
                  </w:r>
                  <w:r>
                    <w:rPr>
                      <w:b/>
                      <w:bCs/>
                      <w:szCs w:val="24"/>
                      <w:lang w:val="en-US" w:eastAsia="lt-LT"/>
                    </w:rPr>
                    <w:t>ŠIAULIŲ</w:t>
                  </w:r>
                  <w:r>
                    <w:rPr>
                      <w:b/>
                      <w:bCs/>
                      <w:color w:val="000000"/>
                      <w:szCs w:val="24"/>
                      <w:lang w:val="en-US" w:eastAsia="lt-LT"/>
                    </w:rPr>
                    <w:t xml:space="preserve"> MIESTO TVARIOS PLĖTROS STRATEGIJOS PATVIRTINIMO</w:t>
                  </w:r>
                  <w:r>
                    <w:rPr>
                      <w:b/>
                      <w:szCs w:val="24"/>
                      <w:lang w:val="en-US" w:eastAsia="lt-LT"/>
                    </w:rPr>
                    <w:t xml:space="preserve">“ PROJEKTO </w:t>
                  </w:r>
                  <w:r>
                    <w:rPr>
                      <w:b/>
                      <w:szCs w:val="24"/>
                      <w:shd w:val="clear" w:color="auto" w:fill="FFFFFF"/>
                      <w:lang w:val="en-US" w:eastAsia="lt-LT"/>
                    </w:rPr>
                    <w:t>AIŠKINAMASIS RAŠTAS</w:t>
                  </w:r>
                </w:sdtContent>
              </w:sdt>
            </w:p>
            <w:p w14:paraId="7395368A" w14:textId="77777777">
              <w:pPr>
                <w:jc w:val="center"/>
                <w:rPr>
                  <w:b/>
                  <w:szCs w:val="24"/>
                  <w:lang w:eastAsia="lt-LT"/>
                </w:rPr>
              </w:pPr>
            </w:p>
            <w:p w14:paraId="3E5A2F30" w14:textId="523B25F3">
              <w:pPr>
                <w:jc w:val="center"/>
                <w:rPr>
                  <w:szCs w:val="24"/>
                  <w:lang w:eastAsia="lt-LT"/>
                </w:rPr>
              </w:pPr>
              <w:r>
                <w:rPr>
                  <w:szCs w:val="24"/>
                  <w:shd w:val="clear" w:color="auto" w:fill="FFFFFF"/>
                  <w:lang w:eastAsia="lt-LT"/>
                </w:rPr>
                <w:t>2024 m. sausio 30 d.</w:t>
              </w:r>
            </w:p>
            <w:p w14:paraId="24D12360" w14:textId="77777777">
              <w:pPr>
                <w:jc w:val="center"/>
                <w:rPr>
                  <w:szCs w:val="24"/>
                  <w:shd w:val="clear" w:color="auto" w:fill="FFFFFF"/>
                  <w:lang w:eastAsia="lt-LT"/>
                </w:rPr>
              </w:pPr>
              <w:r>
                <w:rPr>
                  <w:szCs w:val="24"/>
                  <w:shd w:val="clear" w:color="auto" w:fill="FFFFFF"/>
                  <w:lang w:eastAsia="lt-LT"/>
                </w:rPr>
                <w:t>Šiauliai</w:t>
              </w:r>
            </w:p>
            <w:p w14:paraId="0646D2AD" w14:textId="77777777">
              <w:pPr>
                <w:jc w:val="center"/>
                <w:rPr>
                  <w:szCs w:val="24"/>
                  <w:lang w:eastAsia="lt-LT"/>
                </w:rPr>
              </w:pPr>
            </w:p>
            <w:p w14:paraId="660CDE2F" w14:textId="77777777">
              <w:pPr>
                <w:jc w:val="both"/>
                <w:rPr>
                  <w:szCs w:val="24"/>
                  <w:lang w:eastAsia="lt-LT"/>
                </w:rPr>
              </w:pPr>
            </w:p>
            <w:sdt>
              <w:sdtPr>
                <w:alias w:val="poskyris"/>
                <w:tag w:val="part_539a22ce6bc34c3280f4ee3fb695b4d5"/>
                <w:lock w:val="sdtLocked"/>
                <w:richText/>
              </w:sdtPr>
              <w:sdtContent>
                <w:p w14:paraId="16B498C7" w14:textId="77777777">
                  <w:pPr>
                    <w:jc w:val="both"/>
                    <w:rPr>
                      <w:b/>
                      <w:bCs/>
                      <w:szCs w:val="24"/>
                      <w:shd w:val="clear" w:color="auto" w:fill="FFFFFF"/>
                      <w:lang w:eastAsia="lt-LT"/>
                    </w:rPr>
                  </w:pPr>
                  <w:sdt>
                    <w:sdtPr>
                      <w:alias w:val="Pavadinimas"/>
                      <w:tag w:val="title_539a22ce6bc34c3280f4ee3fb695b4d5"/>
                      <w:lock w:val="sdtLocked"/>
                      <w:richText/>
                    </w:sdtPr>
                    <w:sdtContent>
                      <w:r>
                        <w:rPr>
                          <w:b/>
                          <w:bCs/>
                          <w:szCs w:val="24"/>
                          <w:shd w:val="clear" w:color="auto" w:fill="FFFFFF"/>
                          <w:lang w:eastAsia="lt-LT"/>
                        </w:rPr>
                        <w:t>Parengto sprendimo projekto tikslai ir uždaviniai.</w:t>
                      </w:r>
                    </w:sdtContent>
                  </w:sdt>
                </w:p>
                <w:p w14:paraId="6BDE8191" w14:textId="67035455">
                  <w:pPr>
                    <w:tabs>
                      <w:tab w:val="left" w:pos="426"/>
                    </w:tabs>
                    <w:ind w:firstLine="720"/>
                    <w:jc w:val="both"/>
                    <w:rPr>
                      <w:szCs w:val="24"/>
                      <w:lang w:val="en-US" w:eastAsia="lt-LT"/>
                    </w:rPr>
                  </w:pPr>
                  <w:r>
                    <w:rPr>
                      <w:bCs/>
                      <w:szCs w:val="24"/>
                      <w:lang w:val="en-US" w:eastAsia="lt-LT"/>
                    </w:rPr>
                    <w:t xml:space="preserve">Teikiamo Sprendimo projekto tikslas – patvirtinti </w:t>
                  </w:r>
                  <w:r>
                    <w:rPr>
                      <w:szCs w:val="24"/>
                      <w:lang w:val="en-US" w:eastAsia="lt-LT"/>
                    </w:rPr>
                    <w:t>2024–2029 metų Šiaulių miesto tvarios plėtros strategiją (toliau – Strategija).</w:t>
                  </w:r>
                </w:p>
                <w:p w14:paraId="5B9CE65F" w14:textId="77777777">
                  <w:pPr>
                    <w:tabs>
                      <w:tab w:val="left" w:pos="851"/>
                      <w:tab w:val="left" w:pos="1418"/>
                    </w:tabs>
                    <w:jc w:val="both"/>
                    <w:rPr>
                      <w:szCs w:val="24"/>
                      <w:lang w:eastAsia="lt-LT"/>
                    </w:rPr>
                  </w:pPr>
                </w:p>
                <w:p w14:paraId="2D3EB7AF" w14:textId="77777777">
                  <w:pPr>
                    <w:jc w:val="both"/>
                    <w:rPr>
                      <w:b/>
                      <w:bCs/>
                      <w:szCs w:val="24"/>
                      <w:shd w:val="clear" w:color="auto" w:fill="FFFFFF"/>
                      <w:lang w:eastAsia="lt-LT"/>
                    </w:rPr>
                  </w:pPr>
                  <w:r>
                    <w:rPr>
                      <w:b/>
                      <w:bCs/>
                      <w:szCs w:val="24"/>
                      <w:shd w:val="clear" w:color="auto" w:fill="FFFFFF"/>
                      <w:lang w:eastAsia="lt-LT"/>
                    </w:rPr>
                    <w:t>Dabartinis spr</w:t>
                  </w:r>
                  <w:r>
                    <w:rPr>
                      <w:bCs/>
                      <w:szCs w:val="24"/>
                      <w:shd w:val="clear" w:color="auto" w:fill="FFFFFF"/>
                      <w:lang w:eastAsia="lt-LT"/>
                    </w:rPr>
                    <w:t>e</w:t>
                  </w:r>
                  <w:r>
                    <w:rPr>
                      <w:b/>
                      <w:bCs/>
                      <w:szCs w:val="24"/>
                      <w:shd w:val="clear" w:color="auto" w:fill="FFFFFF"/>
                      <w:lang w:eastAsia="lt-LT"/>
                    </w:rPr>
                    <w:t>ndimo projekte aptariamų klausimų reguliavimas.</w:t>
                  </w:r>
                </w:p>
                <w:p w14:paraId="5A198100" w14:textId="77777777">
                  <w:pPr>
                    <w:jc w:val="both"/>
                    <w:rPr>
                      <w:szCs w:val="24"/>
                      <w:lang w:eastAsia="lt-LT"/>
                    </w:rPr>
                  </w:pPr>
                  <w:r>
                    <w:rPr>
                      <w:szCs w:val="24"/>
                      <w:lang w:eastAsia="lt-LT"/>
                    </w:rPr>
                    <w:t>Tarybos sprendimas parengtas vadovaujantis:</w:t>
                  </w:r>
                </w:p>
                <w:sdt>
                  <w:sdtPr>
                    <w:alias w:val="1 p."/>
                    <w:tag w:val="part_2c552d6bf33c415481cc6b3a7eb4eaa0"/>
                    <w:lock w:val="sdtLocked"/>
                    <w:richText/>
                  </w:sdtPr>
                  <w:sdtContent>
                    <w:p w14:paraId="1F76C155" w14:textId="4D6C859C">
                      <w:pPr>
                        <w:tabs>
                          <w:tab w:val="left" w:pos="284"/>
                          <w:tab w:val="left" w:pos="851"/>
                        </w:tabs>
                        <w:ind w:firstLine="567"/>
                        <w:jc w:val="both"/>
                        <w:rPr>
                          <w:szCs w:val="24"/>
                          <w:lang w:val="en-US" w:eastAsia="lt-LT"/>
                        </w:rPr>
                      </w:pPr>
                      <w:sdt>
                        <w:sdtPr>
                          <w:alias w:val="Numeris"/>
                          <w:tag w:val="nr_2c552d6bf33c415481cc6b3a7eb4eaa0"/>
                          <w:lock w:val="sdtLocked"/>
                          <w:richText/>
                        </w:sdtPr>
                        <w:sdtContent>
                          <w:r>
                            <w:rPr>
                              <w:rFonts w:eastAsia="Calibri"/>
                              <w:szCs w:val="24"/>
                            </w:rPr>
                            <w:t>1</w:t>
                          </w:r>
                        </w:sdtContent>
                      </w:sdt>
                      <w:r>
                        <w:rPr>
                          <w:rFonts w:eastAsia="Calibri"/>
                          <w:szCs w:val="24"/>
                        </w:rPr>
                        <w:t>.</w:t>
                        <w:tab/>
                      </w:r>
                      <w:r>
                        <w:rPr>
                          <w:szCs w:val="24"/>
                          <w:lang w:val="en-US" w:eastAsia="lt-LT"/>
                        </w:rPr>
                        <w:t>Lietuvos Respublikos vietos savivaldos įstatymo 15 straipsnio 2 dalies 32 punktu;</w:t>
                      </w:r>
                    </w:p>
                  </w:sdtContent>
                </w:sdt>
                <w:sdt>
                  <w:sdtPr>
                    <w:alias w:val="2 p."/>
                    <w:tag w:val="part_a023a8abe4234798b6e4e3082784984d"/>
                    <w:lock w:val="sdtLocked"/>
                    <w:richText/>
                  </w:sdtPr>
                  <w:sdtContent>
                    <w:p w14:paraId="7978639F" w14:textId="2F4D9D34">
                      <w:pPr>
                        <w:tabs>
                          <w:tab w:val="left" w:pos="284"/>
                          <w:tab w:val="left" w:pos="851"/>
                        </w:tabs>
                        <w:ind w:firstLine="567"/>
                        <w:jc w:val="both"/>
                        <w:rPr>
                          <w:szCs w:val="24"/>
                          <w:lang w:val="en-US" w:eastAsia="lt-LT"/>
                        </w:rPr>
                      </w:pPr>
                      <w:sdt>
                        <w:sdtPr>
                          <w:alias w:val="Numeris"/>
                          <w:tag w:val="nr_a023a8abe4234798b6e4e3082784984d"/>
                          <w:lock w:val="sdtLocked"/>
                          <w:richText/>
                        </w:sdtPr>
                        <w:sdtContent>
                          <w:r>
                            <w:rPr>
                              <w:rFonts w:eastAsia="Calibri"/>
                              <w:szCs w:val="24"/>
                            </w:rPr>
                            <w:t>2</w:t>
                          </w:r>
                        </w:sdtContent>
                      </w:sdt>
                      <w:r>
                        <w:rPr>
                          <w:rFonts w:eastAsia="Calibri"/>
                          <w:szCs w:val="24"/>
                        </w:rPr>
                        <w:t>.</w:t>
                        <w:tab/>
                      </w:r>
                      <w:r>
                        <w:rPr>
                          <w:szCs w:val="24"/>
                          <w:lang w:val="en-US" w:eastAsia="lt-LT"/>
                        </w:rPr>
                        <w:t>Lietuvos Respublikos vidaus reikalų ministro 2023 m. sausio 19 d. įsakymu Nr. 1V-30 „Dėl Tvarios miesto plėtros strategijų ir funkcinių zonų strategijų rengimo ir įgyvendinimo stebėsenos tvarkos aprašo patvirtinimo“ (toliau – Aprašas).</w:t>
                      </w:r>
                    </w:p>
                  </w:sdtContent>
                </w:sdt>
              </w:sdtContent>
            </w:sdt>
            <w:sdt>
              <w:sdtPr>
                <w:alias w:val="poskyris"/>
                <w:tag w:val="part_24ba55ba021e46bbb3b04582d8c7e88d"/>
                <w:lock w:val="sdtLocked"/>
                <w:richText/>
              </w:sdtPr>
              <w:sdtContent>
                <w:p w14:paraId="4747A230" w14:textId="77777777">
                  <w:pPr>
                    <w:tabs>
                      <w:tab w:val="left" w:pos="855"/>
                    </w:tabs>
                    <w:suppressAutoHyphens/>
                    <w:jc w:val="both"/>
                    <w:rPr>
                      <w:rFonts w:cs="Calibri"/>
                      <w:b/>
                      <w:szCs w:val="24"/>
                      <w:lang w:eastAsia="ar-SA"/>
                    </w:rPr>
                  </w:pPr>
                  <w:sdt>
                    <w:sdtPr>
                      <w:alias w:val="Pavadinimas"/>
                      <w:tag w:val="title_24ba55ba021e46bbb3b04582d8c7e88d"/>
                      <w:lock w:val="sdtLocked"/>
                      <w:richText/>
                    </w:sdtPr>
                    <w:sdtContent>
                      <w:r>
                        <w:rPr>
                          <w:rFonts w:cs="Calibri"/>
                          <w:b/>
                          <w:szCs w:val="24"/>
                          <w:shd w:val="clear" w:color="auto" w:fill="FFFFFF"/>
                          <w:lang w:eastAsia="ar-SA"/>
                        </w:rPr>
                        <w:t>Sprendimo projekte numatytos naujos teisinio reglamentavimo nuostatos</w:t>
                      </w:r>
                      <w:r>
                        <w:rPr>
                          <w:rFonts w:cs="Calibri"/>
                          <w:b/>
                          <w:szCs w:val="24"/>
                          <w:lang w:eastAsia="ar-SA"/>
                        </w:rPr>
                        <w:t>.</w:t>
                      </w:r>
                    </w:sdtContent>
                  </w:sdt>
                </w:p>
                <w:p w14:paraId="2225DCE3" w14:textId="77777777">
                  <w:pPr>
                    <w:tabs>
                      <w:tab w:val="left" w:pos="855"/>
                    </w:tabs>
                    <w:suppressAutoHyphens/>
                    <w:jc w:val="both"/>
                    <w:rPr>
                      <w:rFonts w:cs="Calibri"/>
                      <w:szCs w:val="24"/>
                      <w:shd w:val="clear" w:color="auto" w:fill="FFFFFF"/>
                      <w:lang w:eastAsia="ar-SA"/>
                    </w:rPr>
                  </w:pPr>
                  <w:r>
                    <w:rPr>
                      <w:rFonts w:cs="Calibri"/>
                      <w:szCs w:val="24"/>
                      <w:shd w:val="clear" w:color="auto" w:fill="FFFFFF"/>
                      <w:lang w:eastAsia="ar-SA"/>
                    </w:rPr>
                    <w:t>Naujos teisinio reguliavimo nuostatos nenumatomos.</w:t>
                  </w:r>
                </w:p>
                <w:p w14:paraId="2197B4F4" w14:textId="77777777">
                  <w:pPr>
                    <w:jc w:val="both"/>
                    <w:rPr>
                      <w:szCs w:val="24"/>
                      <w:lang w:eastAsia="lt-LT"/>
                    </w:rPr>
                  </w:pPr>
                </w:p>
              </w:sdtContent>
            </w:sdt>
            <w:sdt>
              <w:sdtPr>
                <w:alias w:val="poskyris"/>
                <w:tag w:val="part_a6bba8e64c0a4683a334fc6b8f083686"/>
                <w:lock w:val="sdtLocked"/>
                <w:richText/>
              </w:sdtPr>
              <w:sdtContent>
                <w:p w14:paraId="5405A8DD" w14:textId="77777777">
                  <w:pPr>
                    <w:jc w:val="both"/>
                    <w:rPr>
                      <w:b/>
                      <w:bCs/>
                      <w:szCs w:val="24"/>
                      <w:shd w:val="clear" w:color="auto" w:fill="FFFFFF"/>
                      <w:lang w:eastAsia="lt-LT"/>
                    </w:rPr>
                  </w:pPr>
                  <w:sdt>
                    <w:sdtPr>
                      <w:alias w:val="Pavadinimas"/>
                      <w:tag w:val="title_a6bba8e64c0a4683a334fc6b8f083686"/>
                      <w:lock w:val="sdtLocked"/>
                      <w:richText/>
                    </w:sdtPr>
                    <w:sdtContent>
                      <w:r>
                        <w:rPr>
                          <w:b/>
                          <w:bCs/>
                          <w:szCs w:val="24"/>
                          <w:shd w:val="clear" w:color="auto" w:fill="FFFFFF"/>
                          <w:lang w:eastAsia="lt-LT"/>
                        </w:rPr>
                        <w:t>Priėmus sprendimą, galimos pasekmės.</w:t>
                      </w:r>
                    </w:sdtContent>
                  </w:sdt>
                </w:p>
                <w:p w14:paraId="6C926FC7" w14:textId="12D87ADE">
                  <w:pPr>
                    <w:tabs>
                      <w:tab w:val="left" w:pos="0"/>
                      <w:tab w:val="left" w:pos="709"/>
                      <w:tab w:val="left" w:pos="851"/>
                    </w:tabs>
                    <w:ind w:firstLine="720"/>
                    <w:jc w:val="both"/>
                    <w:rPr>
                      <w:szCs w:val="24"/>
                      <w:lang w:val="en-US" w:eastAsia="lt-LT"/>
                    </w:rPr>
                  </w:pPr>
                  <w:r>
                    <w:rPr>
                      <w:szCs w:val="24"/>
                      <w:lang w:val="en-US" w:eastAsia="lt-LT"/>
                    </w:rPr>
                    <w:t>Patvirtinta Strategija yra privaloma išankstinė sąlyga siekiant Europos Sąjungos struktūrinių fondų finansavimo pagal regioninę pažangos priemonę 01-004-07-02-01 (RE) „Pagerinti viešųjų paslaugų prieinamumą, darbo vietų pasiekiamumą ir tam reikalingų išteklių naudojimo efektyvumą“. Ši sąlyga nustatyta 2023 m. balandžio 7 d. LR vidaus reikalų ministro įsakymu Nr. 1V-199 patvirtintose Regioninės pažangos priemonės 01-004-07-02-01 (RE) „Pagerinti viešųjų paslaugų prieinamumą, darbo vietų pasiekiamumą ir tam reikalingų išteklių naudojimo efektyvumą“ finansavimo gairėse (toliau – Finansavimo gairės).</w:t>
                  </w:r>
                </w:p>
                <w:p w14:paraId="209202C4" w14:textId="3D05FC42">
                  <w:pPr>
                    <w:tabs>
                      <w:tab w:val="left" w:pos="0"/>
                      <w:tab w:val="left" w:pos="709"/>
                      <w:tab w:val="left" w:pos="851"/>
                    </w:tabs>
                    <w:ind w:firstLine="720"/>
                    <w:jc w:val="both"/>
                    <w:rPr>
                      <w:szCs w:val="24"/>
                      <w:lang w:val="en-US" w:eastAsia="lt-LT"/>
                    </w:rPr>
                  </w:pPr>
                  <w:r>
                    <w:rPr>
                      <w:szCs w:val="24"/>
                      <w:lang w:val="en-US" w:eastAsia="lt-LT"/>
                    </w:rPr>
                    <w:t>Strategijos projekte iškeltas tikslas: Didinti Šiaulių miesto patrauklumą gyventi ir kurtis.</w:t>
                  </w:r>
                </w:p>
                <w:p w14:paraId="48D721D3" w14:textId="0C8FB238">
                  <w:pPr>
                    <w:tabs>
                      <w:tab w:val="left" w:pos="426"/>
                    </w:tabs>
                    <w:ind w:firstLine="720"/>
                    <w:jc w:val="both"/>
                    <w:rPr>
                      <w:szCs w:val="24"/>
                      <w:lang w:val="en-US" w:eastAsia="lt-LT"/>
                    </w:rPr>
                  </w:pPr>
                  <w:r>
                    <w:rPr>
                      <w:szCs w:val="24"/>
                      <w:lang w:val="en-US" w:eastAsia="lt-LT"/>
                    </w:rPr>
                    <w:t xml:space="preserve">Strategijos projekte išskirti 2 uždaviniai: </w:t>
                  </w:r>
                </w:p>
                <w:sdt>
                  <w:sdtPr>
                    <w:alias w:val="1 p."/>
                    <w:tag w:val="part_d3e7fbb574f94a3488d53ff6c436df33"/>
                    <w:lock w:val="sdtLocked"/>
                    <w:richText/>
                  </w:sdtPr>
                  <w:sdtContent>
                    <w:p w14:paraId="00397CB0" w14:textId="73188D07">
                      <w:pPr>
                        <w:tabs>
                          <w:tab w:val="left" w:pos="0"/>
                          <w:tab w:val="left" w:pos="709"/>
                          <w:tab w:val="left" w:pos="851"/>
                        </w:tabs>
                        <w:ind w:firstLine="720"/>
                        <w:jc w:val="both"/>
                        <w:rPr>
                          <w:kern w:val="2"/>
                          <w:szCs w:val="24"/>
                          <w:lang w:val="en-US" w:eastAsia="lt-LT"/>
                          <w14:ligatures w14:val="standardContextual"/>
                        </w:rPr>
                      </w:pPr>
                      <w:sdt>
                        <w:sdtPr>
                          <w:alias w:val="Numeris"/>
                          <w:tag w:val="nr_d3e7fbb574f94a3488d53ff6c436df33"/>
                          <w:lock w:val="sdtLocked"/>
                          <w:richText/>
                        </w:sdtPr>
                        <w:sdtContent>
                          <w:r>
                            <w:rPr>
                              <w:rFonts w:eastAsia="Calibri"/>
                              <w:kern w:val="2"/>
                              <w:szCs w:val="24"/>
                              <w14:ligatures w14:val="standardContextual"/>
                            </w:rPr>
                            <w:t>1</w:t>
                          </w:r>
                        </w:sdtContent>
                      </w:sdt>
                      <w:r>
                        <w:rPr>
                          <w:rFonts w:eastAsia="Calibri"/>
                          <w:kern w:val="2"/>
                          <w:szCs w:val="24"/>
                          <w14:ligatures w14:val="standardContextual"/>
                        </w:rPr>
                        <w:t>.</w:t>
                        <w:tab/>
                      </w:r>
                      <w:r>
                        <w:rPr>
                          <w:w w:val="99"/>
                          <w:szCs w:val="24"/>
                          <w:lang w:val="en-US" w:eastAsia="lt-LT"/>
                        </w:rPr>
                        <w:t xml:space="preserve">Pagerinti viešųjų </w:t>
                      </w:r>
                      <w:r>
                        <w:rPr>
                          <w:szCs w:val="24"/>
                          <w:lang w:val="en-US" w:eastAsia="lt-LT"/>
                        </w:rPr>
                        <w:t>paslaugų prieinamumą ir jų įvairovę bei padidinti socialinio būsto prieinamumą Šiaulių mieste</w:t>
                      </w:r>
                      <w:r>
                        <w:rPr>
                          <w:kern w:val="2"/>
                          <w:szCs w:val="24"/>
                          <w:lang w:val="en-US" w:eastAsia="lt-LT"/>
                          <w14:ligatures w14:val="standardContextual"/>
                        </w:rPr>
                        <w:t>.</w:t>
                      </w:r>
                    </w:p>
                  </w:sdtContent>
                </w:sdt>
                <w:sdt>
                  <w:sdtPr>
                    <w:alias w:val="2 p."/>
                    <w:tag w:val="part_9a12e47148024394ba58698cfe8cdc98"/>
                    <w:lock w:val="sdtLocked"/>
                    <w:richText/>
                  </w:sdtPr>
                  <w:sdtContent>
                    <w:p w14:paraId="38712808" w14:textId="159EED9C">
                      <w:pPr>
                        <w:tabs>
                          <w:tab w:val="left" w:pos="0"/>
                          <w:tab w:val="left" w:pos="709"/>
                          <w:tab w:val="left" w:pos="851"/>
                        </w:tabs>
                        <w:ind w:firstLine="720"/>
                        <w:jc w:val="both"/>
                        <w:rPr>
                          <w:kern w:val="2"/>
                          <w:szCs w:val="24"/>
                          <w:lang w:val="en-US" w:eastAsia="lt-LT"/>
                          <w14:ligatures w14:val="standardContextual"/>
                        </w:rPr>
                      </w:pPr>
                      <w:sdt>
                        <w:sdtPr>
                          <w:alias w:val="Numeris"/>
                          <w:tag w:val="nr_9a12e47148024394ba58698cfe8cdc98"/>
                          <w:lock w:val="sdtLocked"/>
                          <w:richText/>
                        </w:sdtPr>
                        <w:sdtContent>
                          <w:r>
                            <w:rPr>
                              <w:rFonts w:eastAsia="Calibri"/>
                              <w:kern w:val="2"/>
                              <w:szCs w:val="24"/>
                              <w14:ligatures w14:val="standardContextual"/>
                            </w:rPr>
                            <w:t>2</w:t>
                          </w:r>
                        </w:sdtContent>
                      </w:sdt>
                      <w:r>
                        <w:rPr>
                          <w:rFonts w:eastAsia="Calibri"/>
                          <w:kern w:val="2"/>
                          <w:szCs w:val="24"/>
                          <w14:ligatures w14:val="standardContextual"/>
                        </w:rPr>
                        <w:t>.</w:t>
                        <w:tab/>
                      </w:r>
                      <w:r>
                        <w:rPr>
                          <w:szCs w:val="24"/>
                          <w:lang w:val="en-US" w:eastAsia="lt-LT"/>
                        </w:rPr>
                        <w:t>Sukurti tvarią, sveiką, įtraukią bei patogią gyventi miesto aplinką</w:t>
                      </w:r>
                      <w:r>
                        <w:rPr>
                          <w:kern w:val="2"/>
                          <w:szCs w:val="24"/>
                          <w:lang w:val="en-US" w:eastAsia="lt-LT"/>
                          <w14:ligatures w14:val="standardContextual"/>
                        </w:rPr>
                        <w:t>.</w:t>
                      </w:r>
                    </w:p>
                    <w:p w14:paraId="20E7A19C" w14:textId="7B3F33E7">
                      <w:pPr>
                        <w:tabs>
                          <w:tab w:val="left" w:pos="426"/>
                        </w:tabs>
                        <w:ind w:firstLine="720"/>
                        <w:jc w:val="both"/>
                        <w:rPr>
                          <w:rFonts w:eastAsia="Calibri"/>
                          <w:iCs/>
                          <w:szCs w:val="24"/>
                          <w:lang w:val="en-US" w:eastAsia="lt-LT"/>
                        </w:rPr>
                      </w:pPr>
                      <w:r>
                        <w:rPr>
                          <w:szCs w:val="24"/>
                          <w:lang w:val="en-US" w:eastAsia="lt-LT"/>
                        </w:rPr>
                        <w:t xml:space="preserve">Šiems uždaviniams įgyvendinti yra suplanuota 12 veiksmų, kurie pateikti Strategijos priede „Planuojamų 2024–2029 metų Šiaulių miesto tvarios plėtros strategijos įgyvendinimo veiksmų planas“. </w:t>
                      </w:r>
                    </w:p>
                    <w:p w14:paraId="24A1EAC1" w14:textId="722E989B">
                      <w:pPr>
                        <w:tabs>
                          <w:tab w:val="left" w:pos="0"/>
                        </w:tabs>
                        <w:ind w:firstLine="720"/>
                        <w:jc w:val="both"/>
                        <w:rPr>
                          <w:szCs w:val="24"/>
                          <w:lang w:val="en-US" w:eastAsia="lt-LT"/>
                        </w:rPr>
                      </w:pPr>
                      <w:r>
                        <w:rPr>
                          <w:szCs w:val="24"/>
                          <w:lang w:val="en-US" w:eastAsia="lt-LT"/>
                        </w:rPr>
                        <w:t>Strategijos patvirtinimui reikalinga Lietuvos Respublikos vidaus reikalų ministerijos išvada, kad Strategijos projektas atitinka 2021-2027 m. Europos Sąjungos fondų investicijų programos (</w:t>
                      </w:r>
                      <w:r>
                        <w:rPr>
                          <w:color w:val="0000FF"/>
                          <w:szCs w:val="24"/>
                          <w:u w:val="single"/>
                          <w:lang w:val="en-US" w:eastAsia="lt-LT"/>
                        </w:rPr>
                        <w:t>https://2014.esinvesticijos.lt/lt/dokumentai/2021-2027-investiciju-programa</w:t>
                      </w:r>
                      <w:r>
                        <w:rPr>
                          <w:szCs w:val="24"/>
                          <w:lang w:val="en-US" w:eastAsia="lt-LT"/>
                        </w:rPr>
                        <w:t>) 5.1 uždavinio „</w:t>
                      </w:r>
                      <w:r>
                        <w:rPr>
                          <w:iCs/>
                          <w:szCs w:val="24"/>
                          <w:lang w:val="en-US" w:eastAsia="lt-LT" w:bidi="lt-LT"/>
                        </w:rPr>
                        <w:t>Skatinti integruotą ir įtraukią socialinę, ekonominę ir aplinkosaugos plėtrą, puoselėti kultūrą, gamtos paveldą, darnų turizmą ir saugumą miestų teritorijose”</w:t>
                      </w:r>
                      <w:r>
                        <w:rPr>
                          <w:szCs w:val="24"/>
                          <w:lang w:val="en-US" w:eastAsia="lt-LT"/>
                        </w:rPr>
                        <w:t xml:space="preserve"> aprašyme ir Apraše nustatytus reikalavimus. Strategijos projektas pateiktas Lietuvos Respublikos vidaus reikalų ministerijai vertinimui 2024 m. sausio 15 d. raštu Nr. S-182. Patikslintas Strategijos projektas pateiktas derinimui 2024 m. sausio 30 d. raštu Nr. S-409. Lietuvos Respublikos vidaus reikalų ministerijos išvada gauta 2024 m. sausio 30 d. raštu Nr. 1D-500 (pridedama). </w:t>
                      </w:r>
                    </w:p>
                    <w:tbl>
                      <w:tblPr>
                        <w:tblW w:w="9767" w:type="dxa"/>
                        <w:tblCellMar>
                          <w:left w:w="0" w:type="dxa"/>
                          <w:right w:w="0" w:type="dxa"/>
                        </w:tblCellMar>
                        <w:tblLook w:val="04A0" w:firstRow="1" w:lastRow="0" w:firstColumn="1" w:lastColumn="0" w:noHBand="0" w:noVBand="1"/>
                      </w:tblPr>
                      <w:tblGrid>
                        <w:gridCol w:w="9767"/>
                      </w:tblGrid>
                      <w:tr w14:paraId="62866C52" w14:textId="77777777">
                        <w:trPr>
                          <w:cantSplit/>
                        </w:trPr>
                        <w:tc>
                          <w:tcPr>
                            <w:tcW w:w="9767" w:type="dxa"/>
                            <w:hideMark/>
                          </w:tcPr>
                          <w:p w14:paraId="72B7A7E1" w14:textId="77777777">
                            <w:pPr>
                              <w:jc w:val="both"/>
                              <w:rPr>
                                <w:b/>
                                <w:bCs/>
                                <w:szCs w:val="24"/>
                                <w:shd w:val="clear" w:color="auto" w:fill="FFFFFF"/>
                                <w:lang w:eastAsia="lt-LT"/>
                              </w:rPr>
                            </w:pPr>
                            <w:r>
                              <w:rPr>
                                <w:b/>
                                <w:bCs/>
                                <w:szCs w:val="24"/>
                                <w:shd w:val="clear" w:color="auto" w:fill="FFFFFF"/>
                                <w:lang w:eastAsia="lt-LT"/>
                              </w:rPr>
                              <w:t>Priėmus sprendimą, keičiami ar pripažįstami negaliojančiais teisės aktai.</w:t>
                            </w:r>
                          </w:p>
                          <w:p w14:paraId="0AB064AB" w14:textId="77777777">
                            <w:pPr>
                              <w:jc w:val="both"/>
                              <w:rPr>
                                <w:szCs w:val="24"/>
                                <w:lang w:eastAsia="lt-LT"/>
                              </w:rPr>
                            </w:pPr>
                            <w:r>
                              <w:rPr>
                                <w:szCs w:val="24"/>
                                <w:lang w:eastAsia="lt-LT"/>
                              </w:rPr>
                              <w:t>Priėmus sprendimą, teisės aktai nekeičiami ir nepripažįstami negaliojančiais.</w:t>
                            </w:r>
                          </w:p>
                          <w:p w14:paraId="2C12A666" w14:textId="77777777">
                            <w:pPr>
                              <w:jc w:val="both"/>
                              <w:rPr>
                                <w:szCs w:val="24"/>
                                <w:lang w:eastAsia="lt-LT"/>
                              </w:rPr>
                            </w:pPr>
                          </w:p>
                        </w:tc>
                      </w:tr>
                      <w:tr w14:paraId="5FD00658" w14:textId="77777777">
                        <w:trPr>
                          <w:cantSplit/>
                        </w:trPr>
                        <w:tc>
                          <w:tcPr>
                            <w:tcW w:w="9767" w:type="dxa"/>
                            <w:hideMark/>
                          </w:tcPr>
                          <w:p w14:paraId="59F67AC0" w14:textId="77777777">
                            <w:pPr>
                              <w:ind w:right="83"/>
                              <w:jc w:val="both"/>
                              <w:rPr>
                                <w:szCs w:val="24"/>
                                <w:lang w:eastAsia="lt-LT"/>
                              </w:rPr>
                            </w:pPr>
                          </w:p>
                        </w:tc>
                      </w:tr>
                      <w:tr w14:paraId="2891E6E2" w14:textId="77777777">
                        <w:trPr>
                          <w:cantSplit/>
                        </w:trPr>
                        <w:tc>
                          <w:tcPr>
                            <w:tcW w:w="9767" w:type="dxa"/>
                            <w:hideMark/>
                          </w:tcPr>
                          <w:p w14:paraId="4A903BB4" w14:textId="77777777">
                            <w:pPr>
                              <w:ind w:right="83"/>
                              <w:jc w:val="both"/>
                              <w:rPr>
                                <w:b/>
                                <w:bCs/>
                                <w:szCs w:val="24"/>
                                <w:shd w:val="clear" w:color="auto" w:fill="FFFFFF"/>
                                <w:lang w:eastAsia="lt-LT"/>
                              </w:rPr>
                            </w:pPr>
                          </w:p>
                          <w:p w14:paraId="1A4F4B26" w14:textId="77777777">
                            <w:pPr>
                              <w:ind w:right="83"/>
                              <w:jc w:val="both"/>
                              <w:rPr>
                                <w:b/>
                                <w:bCs/>
                                <w:szCs w:val="24"/>
                                <w:shd w:val="clear" w:color="auto" w:fill="FFFFFF"/>
                                <w:lang w:eastAsia="lt-LT"/>
                              </w:rPr>
                            </w:pPr>
                            <w:r>
                              <w:rPr>
                                <w:b/>
                                <w:bCs/>
                                <w:szCs w:val="24"/>
                                <w:shd w:val="clear" w:color="auto" w:fill="FFFFFF"/>
                                <w:lang w:eastAsia="lt-LT"/>
                              </w:rPr>
                              <w:t>Sprendimui įgyvendinti reikalingi priimti papildomi teisės aktai.</w:t>
                            </w:r>
                          </w:p>
                          <w:p w14:paraId="6F02B3B7" w14:textId="77777777">
                            <w:pPr>
                              <w:ind w:right="83"/>
                              <w:jc w:val="both"/>
                              <w:rPr>
                                <w:szCs w:val="24"/>
                                <w:lang w:eastAsia="lt-LT"/>
                              </w:rPr>
                            </w:pPr>
                            <w:r>
                              <w:rPr>
                                <w:szCs w:val="24"/>
                                <w:lang w:eastAsia="lt-LT"/>
                              </w:rPr>
                              <w:t>Sprendimui įgyvendinti papildomi teisės aktai nebus reikalingi.</w:t>
                            </w:r>
                          </w:p>
                          <w:p w14:paraId="55B55530" w14:textId="77777777">
                            <w:pPr>
                              <w:ind w:right="83"/>
                              <w:jc w:val="both"/>
                              <w:rPr>
                                <w:szCs w:val="24"/>
                                <w:lang w:eastAsia="lt-LT"/>
                              </w:rPr>
                            </w:pPr>
                          </w:p>
                        </w:tc>
                      </w:tr>
                      <w:tr w14:paraId="1402B37F" w14:textId="77777777">
                        <w:trPr>
                          <w:cantSplit/>
                        </w:trPr>
                        <w:tc>
                          <w:tcPr>
                            <w:tcW w:w="9767" w:type="dxa"/>
                            <w:hideMark/>
                          </w:tcPr>
                          <w:p w14:paraId="00533AC8" w14:textId="77777777">
                            <w:pPr>
                              <w:ind w:right="83"/>
                              <w:jc w:val="both"/>
                              <w:rPr>
                                <w:szCs w:val="24"/>
                                <w:lang w:eastAsia="lt-LT"/>
                              </w:rPr>
                            </w:pPr>
                          </w:p>
                        </w:tc>
                      </w:tr>
                      <w:tr w14:paraId="0FE762FE" w14:textId="77777777">
                        <w:trPr>
                          <w:cantSplit/>
                        </w:trPr>
                        <w:tc>
                          <w:tcPr>
                            <w:tcW w:w="9767" w:type="dxa"/>
                            <w:hideMark/>
                          </w:tcPr>
                          <w:p w14:paraId="46ACC264" w14:textId="77777777">
                            <w:pPr>
                              <w:jc w:val="both"/>
                              <w:rPr>
                                <w:b/>
                                <w:bCs/>
                                <w:szCs w:val="24"/>
                                <w:shd w:val="clear" w:color="auto" w:fill="FFFFFF"/>
                                <w:lang w:eastAsia="lt-LT"/>
                              </w:rPr>
                            </w:pPr>
                          </w:p>
                          <w:p w14:paraId="6CAA4176" w14:textId="77777777">
                            <w:pPr>
                              <w:jc w:val="both"/>
                              <w:rPr>
                                <w:szCs w:val="24"/>
                                <w:lang w:eastAsia="lt-LT"/>
                              </w:rPr>
                            </w:pPr>
                            <w:r>
                              <w:rPr>
                                <w:b/>
                                <w:bCs/>
                                <w:szCs w:val="24"/>
                                <w:shd w:val="clear" w:color="auto" w:fill="FFFFFF"/>
                                <w:lang w:eastAsia="lt-LT"/>
                              </w:rPr>
                              <w:t>Sprendimui įgyvendinti reikalingos lėšos.</w:t>
                            </w:r>
                          </w:p>
                          <w:p w14:paraId="1ADE23EA" w14:textId="38F9A542">
                            <w:pPr>
                              <w:ind w:firstLine="720"/>
                              <w:jc w:val="both"/>
                              <w:rPr>
                                <w:szCs w:val="24"/>
                              </w:rPr>
                            </w:pPr>
                            <w:r>
                              <w:rPr>
                                <w:szCs w:val="24"/>
                              </w:rPr>
                              <w:t xml:space="preserve">Planuojamų Strategijos veiksmų (projektų) bendra preliminari vertė – </w:t>
                            </w:r>
                            <w:r>
                              <w:rPr>
                                <w:rFonts w:eastAsia="Calibri"/>
                                <w:color w:val="000000"/>
                                <w:szCs w:val="24"/>
                              </w:rPr>
                              <w:t xml:space="preserve">83 247 313,00 </w:t>
                            </w:r>
                            <w:r>
                              <w:rPr>
                                <w:color w:val="000000"/>
                                <w:szCs w:val="24"/>
                              </w:rPr>
                              <w:t>Eur</w:t>
                            </w:r>
                            <w:r>
                              <w:rPr>
                                <w:szCs w:val="24"/>
                              </w:rPr>
                              <w:t xml:space="preserve">, iš jų </w:t>
                            </w:r>
                          </w:p>
                          <w:p w14:paraId="2B8EFC1C" w14:textId="54065A8D">
                            <w:pPr>
                              <w:jc w:val="both"/>
                              <w:rPr>
                                <w:szCs w:val="24"/>
                                <w:lang w:val="en-US" w:eastAsia="lt-LT"/>
                              </w:rPr>
                            </w:pPr>
                            <w:r>
                              <w:rPr>
                                <w:color w:val="000000"/>
                                <w:szCs w:val="24"/>
                                <w:lang w:val="en-US" w:eastAsia="lt-LT"/>
                              </w:rPr>
                              <w:t xml:space="preserve">62 270 655,00 </w:t>
                            </w:r>
                            <w:r>
                              <w:rPr>
                                <w:szCs w:val="24"/>
                                <w:lang w:val="en-US" w:eastAsia="lt-LT"/>
                              </w:rPr>
                              <w:t xml:space="preserve">Eur Europos Sąjungos fondų lėšos, 2 000 000,00 Valstybės lėšos ir </w:t>
                            </w:r>
                            <w:r>
                              <w:rPr>
                                <w:color w:val="000000"/>
                                <w:szCs w:val="24"/>
                                <w:lang w:val="en-US" w:eastAsia="lt-LT"/>
                              </w:rPr>
                              <w:t xml:space="preserve">18 976 658,00 </w:t>
                            </w:r>
                            <w:r>
                              <w:rPr>
                                <w:szCs w:val="24"/>
                                <w:lang w:val="en-US" w:eastAsia="lt-LT"/>
                              </w:rPr>
                              <w:t xml:space="preserve">Eur Šiaulių miesto savivaldybės lėšos. </w:t>
                            </w:r>
                          </w:p>
                          <w:p w14:paraId="025848A4" w14:textId="77777777">
                            <w:pPr>
                              <w:jc w:val="both"/>
                              <w:rPr>
                                <w:color w:val="FF0000"/>
                                <w:szCs w:val="24"/>
                                <w:lang w:eastAsia="lt-LT"/>
                              </w:rPr>
                            </w:pPr>
                          </w:p>
                        </w:tc>
                      </w:tr>
                      <w:tr w14:paraId="055081D0" w14:textId="77777777">
                        <w:trPr>
                          <w:cantSplit/>
                        </w:trPr>
                        <w:tc>
                          <w:tcPr>
                            <w:tcW w:w="9767" w:type="dxa"/>
                            <w:hideMark/>
                          </w:tcPr>
                          <w:p w14:paraId="76B19378" w14:textId="77777777">
                            <w:pPr>
                              <w:jc w:val="both"/>
                              <w:rPr>
                                <w:b/>
                                <w:szCs w:val="24"/>
                                <w:lang w:eastAsia="lt-LT"/>
                              </w:rPr>
                            </w:pPr>
                            <w:r>
                              <w:rPr>
                                <w:b/>
                                <w:szCs w:val="24"/>
                                <w:lang w:eastAsia="lt-LT"/>
                              </w:rPr>
                              <w:t>Sprendimo projekto antikorupcinis vertinimas.</w:t>
                            </w:r>
                          </w:p>
                          <w:p w14:paraId="15735E87" w14:textId="77777777">
                            <w:pPr>
                              <w:jc w:val="both"/>
                              <w:rPr>
                                <w:szCs w:val="24"/>
                                <w:shd w:val="clear" w:color="auto" w:fill="FFFFFF"/>
                                <w:lang w:eastAsia="lt-LT"/>
                              </w:rPr>
                            </w:pPr>
                            <w:r>
                              <w:rPr>
                                <w:color w:val="000000"/>
                                <w:szCs w:val="24"/>
                                <w:shd w:val="clear" w:color="auto" w:fill="FFFFFF"/>
                                <w:lang w:eastAsia="lt-LT"/>
                              </w:rPr>
                              <w:t xml:space="preserve">Lietuvos Respublikos korupcijos prevencijos įstatymo 8 str. 1 d. 3 p. nustato, kad teisės akto rengėjas atlieka teisės akto projekto antikorupcinį vertinimą, jeigu rengiamame teisės akte numatoma reguliuoti visuomeninius santykius, susijusius su finansinės paramos teikimu ir naudojimu, įskaitant Europos Sąjungos ar kitų fondų finansinę paramą. </w:t>
                            </w:r>
                          </w:p>
                          <w:p w14:paraId="05FE254E" w14:textId="77777777">
                            <w:pPr>
                              <w:jc w:val="both"/>
                              <w:rPr>
                                <w:szCs w:val="24"/>
                                <w:shd w:val="clear" w:color="auto" w:fill="FFFFFF"/>
                                <w:lang w:eastAsia="lt-LT"/>
                              </w:rPr>
                            </w:pPr>
                            <w:r>
                              <w:rPr>
                                <w:color w:val="000000"/>
                                <w:szCs w:val="24"/>
                                <w:shd w:val="clear" w:color="auto" w:fill="FFFFFF"/>
                                <w:lang w:eastAsia="lt-LT"/>
                              </w:rPr>
                              <w:t>Projekto veiklos ir rezultatai nereguliuos visuomeninių santykių, taip pat Šiaulių miesto savivaldybės administracija nėra Europos Sąjungos struktūrinių fondų paramos teikėja, todėl sprendimo projekto antikorupcinis vertinimas nėra taikytinas.</w:t>
                            </w:r>
                          </w:p>
                          <w:p w14:paraId="01E9E706" w14:textId="77777777">
                            <w:pPr>
                              <w:jc w:val="both"/>
                              <w:rPr>
                                <w:szCs w:val="24"/>
                                <w:lang w:eastAsia="lt-LT"/>
                              </w:rPr>
                            </w:pPr>
                          </w:p>
                        </w:tc>
                      </w:tr>
                      <w:tr w14:paraId="56E11BED" w14:textId="77777777">
                        <w:trPr>
                          <w:cantSplit/>
                        </w:trPr>
                        <w:tc>
                          <w:tcPr>
                            <w:tcW w:w="9767" w:type="dxa"/>
                            <w:hideMark/>
                          </w:tcPr>
                          <w:p w14:paraId="7C90B79E" w14:textId="77777777">
                            <w:pPr>
                              <w:ind w:right="85"/>
                              <w:jc w:val="both"/>
                              <w:rPr>
                                <w:szCs w:val="24"/>
                                <w:lang w:eastAsia="lt-LT"/>
                              </w:rPr>
                            </w:pPr>
                          </w:p>
                        </w:tc>
                      </w:tr>
                      <w:tr w14:paraId="6D4CF755" w14:textId="77777777">
                        <w:trPr>
                          <w:cantSplit/>
                          <w:trHeight w:val="127"/>
                        </w:trPr>
                        <w:tc>
                          <w:tcPr>
                            <w:tcW w:w="9767" w:type="dxa"/>
                            <w:hideMark/>
                          </w:tcPr>
                          <w:p w14:paraId="14F9479D" w14:textId="77777777">
                            <w:pPr>
                              <w:jc w:val="both"/>
                              <w:rPr>
                                <w:b/>
                                <w:szCs w:val="24"/>
                                <w:shd w:val="clear" w:color="auto" w:fill="FFFFFF"/>
                                <w:lang w:eastAsia="lt-LT"/>
                              </w:rPr>
                            </w:pPr>
                          </w:p>
                          <w:p w14:paraId="3A3D16D2" w14:textId="29230927">
                            <w:pPr>
                              <w:jc w:val="both"/>
                              <w:rPr>
                                <w:szCs w:val="24"/>
                                <w:shd w:val="clear" w:color="auto" w:fill="FFFFFF"/>
                                <w:lang w:eastAsia="lt-LT"/>
                              </w:rPr>
                            </w:pPr>
                            <w:r>
                              <w:rPr>
                                <w:b/>
                                <w:szCs w:val="24"/>
                                <w:shd w:val="clear" w:color="auto" w:fill="FFFFFF"/>
                                <w:lang w:eastAsia="lt-LT"/>
                              </w:rPr>
                              <w:t xml:space="preserve">Sprendimo projektą parengė. </w:t>
                            </w:r>
                            <w:r>
                              <w:rPr>
                                <w:szCs w:val="24"/>
                                <w:shd w:val="clear" w:color="auto" w:fill="FFFFFF"/>
                                <w:lang w:eastAsia="lt-LT"/>
                              </w:rPr>
                              <w:t>Šiaulių miesto meras Artūras Visockas. Tiesioginis rengėjas Šiaulių miesto savivaldybės administracijos Projekto valdymo skyriaus vedėja Ieva Džiaugienė, tel. 8 41 383 420.</w:t>
                            </w:r>
                          </w:p>
                          <w:p w14:paraId="54A14663" w14:textId="77777777">
                            <w:pPr>
                              <w:jc w:val="both"/>
                              <w:rPr>
                                <w:szCs w:val="24"/>
                                <w:shd w:val="clear" w:color="auto" w:fill="FFFFFF"/>
                                <w:lang w:eastAsia="lt-LT"/>
                              </w:rPr>
                            </w:pPr>
                          </w:p>
                          <w:p w14:paraId="4A162479" w14:textId="77777777">
                            <w:pPr>
                              <w:jc w:val="both"/>
                              <w:rPr>
                                <w:szCs w:val="24"/>
                                <w:shd w:val="clear" w:color="auto" w:fill="FFFFFF"/>
                                <w:lang w:eastAsia="lt-LT"/>
                              </w:rPr>
                            </w:pPr>
                            <w:r>
                              <w:rPr>
                                <w:b/>
                                <w:szCs w:val="24"/>
                                <w:shd w:val="clear" w:color="auto" w:fill="FFFFFF"/>
                                <w:lang w:eastAsia="lt-LT"/>
                              </w:rPr>
                              <w:t>Numatomo teisinio reguliavimo poveikio vertinimo rezultatai.</w:t>
                            </w:r>
                          </w:p>
                          <w:p w14:paraId="4E820DFF" w14:textId="77777777">
                            <w:pPr>
                              <w:jc w:val="both"/>
                              <w:rPr>
                                <w:szCs w:val="24"/>
                                <w:shd w:val="clear" w:color="auto" w:fill="FFFFFF"/>
                                <w:lang w:eastAsia="lt-LT"/>
                              </w:rPr>
                            </w:pPr>
                            <w:r>
                              <w:rPr>
                                <w:szCs w:val="24"/>
                                <w:shd w:val="clear" w:color="auto" w:fill="FFFFFF"/>
                                <w:lang w:eastAsia="lt-LT"/>
                              </w:rPr>
                              <w:t>Teisinio reguliavimo poveikio vertinimas neatliekamas.</w:t>
                            </w:r>
                          </w:p>
                          <w:p w14:paraId="6E5FD9E2" w14:textId="77777777">
                            <w:pPr>
                              <w:spacing w:line="127" w:lineRule="atLeast"/>
                              <w:ind w:right="85"/>
                              <w:jc w:val="both"/>
                              <w:rPr>
                                <w:szCs w:val="24"/>
                                <w:shd w:val="clear" w:color="auto" w:fill="FFFFFF"/>
                                <w:lang w:eastAsia="lt-LT"/>
                              </w:rPr>
                            </w:pPr>
                          </w:p>
                          <w:p w14:paraId="6E36A2AB" w14:textId="77777777">
                            <w:pPr>
                              <w:spacing w:line="127" w:lineRule="atLeast"/>
                              <w:ind w:right="85"/>
                              <w:jc w:val="both"/>
                              <w:rPr>
                                <w:szCs w:val="24"/>
                                <w:shd w:val="clear" w:color="auto" w:fill="FFFFFF"/>
                                <w:lang w:eastAsia="lt-LT"/>
                              </w:rPr>
                            </w:pPr>
                          </w:p>
                          <w:p w14:paraId="410B65CB" w14:textId="77777777">
                            <w:pPr>
                              <w:spacing w:line="127" w:lineRule="atLeast"/>
                              <w:ind w:right="85"/>
                              <w:jc w:val="both"/>
                              <w:rPr>
                                <w:szCs w:val="24"/>
                                <w:shd w:val="clear" w:color="auto" w:fill="FFFFFF"/>
                                <w:lang w:eastAsia="lt-LT"/>
                              </w:rPr>
                            </w:pPr>
                          </w:p>
                        </w:tc>
                      </w:tr>
                      <w:tr w14:paraId="2FF9098E" w14:textId="77777777">
                        <w:trPr>
                          <w:cantSplit/>
                          <w:trHeight w:val="155"/>
                        </w:trPr>
                        <w:tc>
                          <w:tcPr>
                            <w:tcW w:w="9767" w:type="dxa"/>
                            <w:hideMark/>
                          </w:tcPr>
                          <w:p w14:paraId="3CB968DF" w14:textId="77777777">
                            <w:pPr>
                              <w:jc w:val="both"/>
                              <w:rPr>
                                <w:szCs w:val="24"/>
                                <w:lang w:eastAsia="lt-LT"/>
                              </w:rPr>
                            </w:pPr>
                          </w:p>
                        </w:tc>
                      </w:tr>
                    </w:tbl>
                    <w:p/>
                  </w:sdtContent>
                </w:sdt>
              </w:sdtContent>
            </w:sdt>
          </w:sdtContent>
        </w:sdt>
        <w:sdt>
          <w:sdtPr>
            <w:alias w:val="signatura"/>
            <w:tag w:val="part_aadcf8c0882d4ec3b9275e43de6a97ec"/>
            <w:lock w:val="sdtLocked"/>
            <w:richText/>
          </w:sdtPr>
          <w:sdtContent>
            <w:p w14:paraId="7FF05E8E" w14:textId="77777777">
              <w:pPr>
                <w:jc w:val="both"/>
                <w:rPr>
                  <w:szCs w:val="24"/>
                  <w:lang w:eastAsia="lt-LT"/>
                </w:rPr>
              </w:pPr>
              <w:r>
                <w:rPr>
                  <w:szCs w:val="24"/>
                  <w:lang w:eastAsia="lt-LT"/>
                </w:rPr>
                <w:t xml:space="preserve">Skyriaus vedėja </w:t>
                <w:tab/>
                <w:tab/>
                <w:tab/>
                <w:tab/>
                <w:tab/>
                <w:t>Ieva Džiaugienė</w:t>
              </w:r>
            </w:p>
            <w:p w14:paraId="436862D9" w14:textId="77777777">
              <w:pPr>
                <w:rPr>
                  <w:szCs w:val="24"/>
                  <w:lang w:eastAsia="lt-LT"/>
                </w:rPr>
              </w:pPr>
            </w:p>
            <w:p w14:paraId="16A50304" w14:textId="77777777">
              <w:pPr>
                <w:rPr>
                  <w:szCs w:val="24"/>
                  <w:lang w:eastAsia="lt-LT"/>
                </w:rPr>
              </w:pPr>
            </w:p>
            <w:p w14:paraId="53715E4F" w14:textId="77777777">
              <w:pPr>
                <w:rPr>
                  <w:szCs w:val="24"/>
                  <w:lang w:eastAsia="lt-LT"/>
                </w:rPr>
              </w:pPr>
            </w:p>
            <w:p w14:paraId="3F3BDCD5" w14:textId="77777777">
              <w:pPr>
                <w:rPr>
                  <w:szCs w:val="24"/>
                  <w:lang w:eastAsia="lt-LT"/>
                </w:rPr>
              </w:pPr>
            </w:p>
            <w:p w14:paraId="7693B2F0" w14:textId="77777777">
              <w:pPr>
                <w:rPr>
                  <w:szCs w:val="24"/>
                  <w:lang w:eastAsia="lt-LT"/>
                </w:rPr>
              </w:pPr>
            </w:p>
            <w:p w14:paraId="1B44A00B" w14:textId="77777777">
              <w:pPr>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A4EA70" w14:textId="77777777">
      <w:pPr>
        <w:rPr>
          <w:szCs w:val="24"/>
          <w:lang w:val="en-US" w:eastAsia="lt-LT"/>
        </w:rPr>
      </w:pPr>
      <w:r>
        <w:rPr>
          <w:szCs w:val="24"/>
          <w:lang w:val="en-US" w:eastAsia="lt-LT"/>
        </w:rPr>
        <w:separator/>
      </w:r>
    </w:p>
  </w:endnote>
  <w:endnote w:type="continuationSeparator" w:id="0">
    <w:p w14:paraId="04E7F486"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A5B5A9" w14:textId="77777777">
    <w:pPr>
      <w:tabs>
        <w:tab w:val="center" w:pos="4819"/>
        <w:tab w:val="right" w:pos="9638"/>
      </w:tabs>
      <w:rPr>
        <w:szCs w:val="24"/>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C9A5BD" w14:textId="77777777">
    <w:pPr>
      <w:tabs>
        <w:tab w:val="center" w:pos="4819"/>
        <w:tab w:val="right" w:pos="9638"/>
      </w:tabs>
      <w:rPr>
        <w:szCs w:val="24"/>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B0E00" w14:textId="77777777">
    <w:pPr>
      <w:tabs>
        <w:tab w:val="center" w:pos="4819"/>
        <w:tab w:val="right" w:pos="9638"/>
      </w:tabs>
      <w:rPr>
        <w:szCs w:val="24"/>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811C42" w14:textId="77777777">
      <w:pPr>
        <w:rPr>
          <w:szCs w:val="24"/>
          <w:lang w:val="en-US" w:eastAsia="lt-LT"/>
        </w:rPr>
      </w:pPr>
      <w:r>
        <w:rPr>
          <w:szCs w:val="24"/>
          <w:lang w:val="en-US" w:eastAsia="lt-LT"/>
        </w:rPr>
        <w:separator/>
      </w:r>
    </w:p>
  </w:footnote>
  <w:footnote w:type="continuationSeparator" w:id="0">
    <w:p w14:paraId="54A58C5D"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0970B" w14:textId="77777777">
    <w:pPr>
      <w:tabs>
        <w:tab w:val="center" w:pos="4819"/>
        <w:tab w:val="right" w:pos="9638"/>
      </w:tabs>
      <w:rPr>
        <w:szCs w:val="24"/>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AF337" w14:textId="77777777">
    <w:pPr>
      <w:tabs>
        <w:tab w:val="center" w:pos="4819"/>
        <w:tab w:val="right" w:pos="9638"/>
      </w:tabs>
      <w:jc w:val="center"/>
      <w:rPr>
        <w:szCs w:val="24"/>
        <w:lang w:val="en-US" w:eastAsia="lt-LT"/>
      </w:rPr>
    </w:pPr>
    <w:r>
      <w:rPr>
        <w:szCs w:val="24"/>
        <w:lang w:val="en-US" w:eastAsia="lt-LT"/>
      </w:rPr>
      <w:fldChar w:fldCharType="begin"/>
    </w:r>
    <w:r>
      <w:rPr>
        <w:szCs w:val="24"/>
        <w:lang w:val="en-US" w:eastAsia="lt-LT"/>
      </w:rPr>
      <w:instrText xml:space="preserve"> PAGE   \* MERGEFORMAT </w:instrText>
    </w:r>
    <w:r>
      <w:rPr>
        <w:szCs w:val="24"/>
        <w:lang w:val="en-US" w:eastAsia="lt-LT"/>
      </w:rPr>
      <w:fldChar w:fldCharType="separate"/>
    </w:r>
    <w:r>
      <w:rPr>
        <w:szCs w:val="24"/>
        <w:lang w:val="en-US" w:eastAsia="lt-LT"/>
      </w:rPr>
      <w:t>2</w:t>
    </w:r>
    <w:r>
      <w:rPr>
        <w:szCs w:val="24"/>
        <w:lang w:val="en-US" w:eastAsia="lt-LT"/>
      </w:rPr>
      <w:fldChar w:fldCharType="end"/>
    </w:r>
  </w:p>
  <w:p w14:paraId="6D717419" w14:textId="77777777">
    <w:pPr>
      <w:tabs>
        <w:tab w:val="center" w:pos="4819"/>
        <w:tab w:val="right" w:pos="9638"/>
      </w:tabs>
      <w:jc w:val="center"/>
      <w:rPr>
        <w:szCs w:val="24"/>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3CDF08" w14:textId="77777777">
    <w:pPr>
      <w:tabs>
        <w:tab w:val="center" w:pos="4819"/>
        <w:tab w:val="right" w:pos="9638"/>
      </w:tabs>
      <w:rPr>
        <w:szCs w:val="24"/>
        <w:lang w:val="en-US"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996"/>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B01E9C"/>
  <w15:docId w15:val="{B719DACD-0DD5-4089-9C47-DBD8C002309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693955">
      <w:bodyDiv w:val="1"/>
      <w:marLeft w:val="0"/>
      <w:marRight w:val="0"/>
      <w:marTop w:val="0"/>
      <w:marBottom w:val="0"/>
      <w:divBdr>
        <w:top w:val="none" w:sz="0" w:space="0" w:color="auto"/>
        <w:left w:val="none" w:sz="0" w:space="0" w:color="auto"/>
        <w:bottom w:val="none" w:sz="0" w:space="0" w:color="auto"/>
        <w:right w:val="none" w:sz="0" w:space="0" w:color="auto"/>
      </w:divBdr>
    </w:div>
    <w:div w:id="106043742">
      <w:bodyDiv w:val="1"/>
      <w:marLeft w:val="0"/>
      <w:marRight w:val="0"/>
      <w:marTop w:val="0"/>
      <w:marBottom w:val="0"/>
      <w:divBdr>
        <w:top w:val="none" w:sz="0" w:space="0" w:color="auto"/>
        <w:left w:val="none" w:sz="0" w:space="0" w:color="auto"/>
        <w:bottom w:val="none" w:sz="0" w:space="0" w:color="auto"/>
        <w:right w:val="none" w:sz="0" w:space="0" w:color="auto"/>
      </w:divBdr>
    </w:div>
    <w:div w:id="383600941">
      <w:bodyDiv w:val="1"/>
      <w:marLeft w:val="0"/>
      <w:marRight w:val="0"/>
      <w:marTop w:val="0"/>
      <w:marBottom w:val="0"/>
      <w:divBdr>
        <w:top w:val="none" w:sz="0" w:space="0" w:color="auto"/>
        <w:left w:val="none" w:sz="0" w:space="0" w:color="auto"/>
        <w:bottom w:val="none" w:sz="0" w:space="0" w:color="auto"/>
        <w:right w:val="none" w:sz="0" w:space="0" w:color="auto"/>
      </w:divBdr>
    </w:div>
    <w:div w:id="1022780239">
      <w:bodyDiv w:val="1"/>
      <w:marLeft w:val="0"/>
      <w:marRight w:val="0"/>
      <w:marTop w:val="0"/>
      <w:marBottom w:val="0"/>
      <w:divBdr>
        <w:top w:val="none" w:sz="0" w:space="0" w:color="auto"/>
        <w:left w:val="none" w:sz="0" w:space="0" w:color="auto"/>
        <w:bottom w:val="none" w:sz="0" w:space="0" w:color="auto"/>
        <w:right w:val="none" w:sz="0" w:space="0" w:color="auto"/>
      </w:divBdr>
    </w:div>
    <w:div w:id="1144547197">
      <w:bodyDiv w:val="1"/>
      <w:marLeft w:val="0"/>
      <w:marRight w:val="0"/>
      <w:marTop w:val="0"/>
      <w:marBottom w:val="0"/>
      <w:divBdr>
        <w:top w:val="none" w:sz="0" w:space="0" w:color="auto"/>
        <w:left w:val="none" w:sz="0" w:space="0" w:color="auto"/>
        <w:bottom w:val="none" w:sz="0" w:space="0" w:color="auto"/>
        <w:right w:val="none" w:sz="0" w:space="0" w:color="auto"/>
      </w:divBdr>
    </w:div>
    <w:div w:id="1152798490">
      <w:bodyDiv w:val="1"/>
      <w:marLeft w:val="0"/>
      <w:marRight w:val="0"/>
      <w:marTop w:val="0"/>
      <w:marBottom w:val="0"/>
      <w:divBdr>
        <w:top w:val="none" w:sz="0" w:space="0" w:color="auto"/>
        <w:left w:val="none" w:sz="0" w:space="0" w:color="auto"/>
        <w:bottom w:val="none" w:sz="0" w:space="0" w:color="auto"/>
        <w:right w:val="none" w:sz="0" w:space="0" w:color="auto"/>
      </w:divBdr>
    </w:div>
    <w:div w:id="1170829816">
      <w:bodyDiv w:val="1"/>
      <w:marLeft w:val="0"/>
      <w:marRight w:val="0"/>
      <w:marTop w:val="0"/>
      <w:marBottom w:val="0"/>
      <w:divBdr>
        <w:top w:val="none" w:sz="0" w:space="0" w:color="auto"/>
        <w:left w:val="none" w:sz="0" w:space="0" w:color="auto"/>
        <w:bottom w:val="none" w:sz="0" w:space="0" w:color="auto"/>
        <w:right w:val="none" w:sz="0" w:space="0" w:color="auto"/>
      </w:divBdr>
    </w:div>
    <w:div w:id="1346788494">
      <w:bodyDiv w:val="1"/>
      <w:marLeft w:val="0"/>
      <w:marRight w:val="0"/>
      <w:marTop w:val="0"/>
      <w:marBottom w:val="0"/>
      <w:divBdr>
        <w:top w:val="none" w:sz="0" w:space="0" w:color="auto"/>
        <w:left w:val="none" w:sz="0" w:space="0" w:color="auto"/>
        <w:bottom w:val="none" w:sz="0" w:space="0" w:color="auto"/>
        <w:right w:val="none" w:sz="0" w:space="0" w:color="auto"/>
      </w:divBdr>
    </w:div>
    <w:div w:id="1377122418">
      <w:bodyDiv w:val="1"/>
      <w:marLeft w:val="0"/>
      <w:marRight w:val="0"/>
      <w:marTop w:val="0"/>
      <w:marBottom w:val="0"/>
      <w:divBdr>
        <w:top w:val="none" w:sz="0" w:space="0" w:color="auto"/>
        <w:left w:val="none" w:sz="0" w:space="0" w:color="auto"/>
        <w:bottom w:val="none" w:sz="0" w:space="0" w:color="auto"/>
        <w:right w:val="none" w:sz="0" w:space="0" w:color="auto"/>
      </w:divBdr>
    </w:div>
    <w:div w:id="1542400814">
      <w:bodyDiv w:val="1"/>
      <w:marLeft w:val="0"/>
      <w:marRight w:val="0"/>
      <w:marTop w:val="0"/>
      <w:marBottom w:val="0"/>
      <w:divBdr>
        <w:top w:val="none" w:sz="0" w:space="0" w:color="auto"/>
        <w:left w:val="none" w:sz="0" w:space="0" w:color="auto"/>
        <w:bottom w:val="none" w:sz="0" w:space="0" w:color="auto"/>
        <w:right w:val="none" w:sz="0" w:space="0" w:color="auto"/>
      </w:divBdr>
    </w:div>
    <w:div w:id="1682970091">
      <w:bodyDiv w:val="1"/>
      <w:marLeft w:val="0"/>
      <w:marRight w:val="0"/>
      <w:marTop w:val="0"/>
      <w:marBottom w:val="0"/>
      <w:divBdr>
        <w:top w:val="none" w:sz="0" w:space="0" w:color="auto"/>
        <w:left w:val="none" w:sz="0" w:space="0" w:color="auto"/>
        <w:bottom w:val="none" w:sz="0" w:space="0" w:color="auto"/>
        <w:right w:val="none" w:sz="0" w:space="0" w:color="auto"/>
      </w:divBdr>
    </w:div>
    <w:div w:id="1901212246">
      <w:bodyDiv w:val="1"/>
      <w:marLeft w:val="0"/>
      <w:marRight w:val="0"/>
      <w:marTop w:val="0"/>
      <w:marBottom w:val="0"/>
      <w:divBdr>
        <w:top w:val="none" w:sz="0" w:space="0" w:color="auto"/>
        <w:left w:val="none" w:sz="0" w:space="0" w:color="auto"/>
        <w:bottom w:val="none" w:sz="0" w:space="0" w:color="auto"/>
        <w:right w:val="none" w:sz="0" w:space="0" w:color="auto"/>
      </w:divBdr>
    </w:div>
    <w:div w:id="1928419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7225f8d879d40e093cdbe1019934ecb" PartId="f48fe222b06e4298a07d6bcfae49296b">
    <Part Type="skyrius" Nr="999" Title="TARYBOS SPRENDIMO „DĖL 2024–2029 M. ŠIAULIŲ MIESTO TVARIOS PLĖTROS STRATEGIJOS PATVIRTINIMO“ PROJEKTO AIŠKINAMASIS RAŠTAS" DocPartId="8211c6dd4b854150a79154401b0390b0" PartId="1f04d0535f994b1e8f74f67ac55669f3">
      <Part Type="poskyris" Title="Parengto sprendimo projekto tikslai ir uždaviniai." DocPartId="b0a058b16570459dadd3bef176326b26" PartId="539a22ce6bc34c3280f4ee3fb695b4d5">
        <Part Type="punktas" Nr="1" Abbr="1 p." DocPartId="b37fea4416a941d4bef8a26d7955176c" PartId="2c552d6bf33c415481cc6b3a7eb4eaa0"/>
        <Part Type="punktas" Nr="2" Abbr="2 p." DocPartId="affea5e1660b430a9fd15384660fa406" PartId="a023a8abe4234798b6e4e3082784984d"/>
      </Part>
      <Part Type="poskyris" Title="Sprendimo projekte numatytos naujos teisinio reglamentavimo nuostatos." DocPartId="c9729e3766c74b01b0c562ca01aa8d3c" PartId="24ba55ba021e46bbb3b04582d8c7e88d"/>
      <Part Type="poskyris" Title="Priėmus sprendimą, galimos pasekmės." DocPartId="cb31fd0aff6e41d3a9ff3240ec9e14eb" PartId="a6bba8e64c0a4683a334fc6b8f083686">
        <Part Type="punktas" Nr="1" Abbr="1 p." DocPartId="4724c967de0e440cbdd5d533f4d314c6" PartId="d3e7fbb574f94a3488d53ff6c436df33"/>
        <Part Type="punktas" Nr="2" Abbr="2 p." DocPartId="8fd299e6af384be1a837cba3a7be2f32" PartId="9a12e47148024394ba58698cfe8cdc98"/>
      </Part>
    </Part>
    <Part Type="signatura" DocPartId="486205684c454c6f912d260e1e82fe5c" PartId="aadcf8c0882d4ec3b9275e43de6a97ec"/>
  </Part>
</Parts>
</file>

<file path=customXml/itemProps1.xml><?xml version="1.0" encoding="utf-8"?>
<ds:datastoreItem xmlns:ds="http://schemas.openxmlformats.org/officeDocument/2006/customXml" ds:itemID="{40EEF704-F362-482A-9760-22B95C205823}">
  <ds:schemaRefs>
    <ds:schemaRef ds:uri="http://schemas.openxmlformats.org/officeDocument/2006/bibliography"/>
  </ds:schemaRefs>
</ds:datastoreItem>
</file>

<file path=customXml/itemProps2.xml><?xml version="1.0" encoding="utf-8"?>
<ds:datastoreItem xmlns:ds="http://schemas.openxmlformats.org/officeDocument/2006/customXml" ds:itemID="{450E8BDC-965A-4B21-8684-9D24A3C1A39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548</Words>
  <Characters>4059</Characters>
  <Application>Microsoft Office Word</Application>
  <DocSecurity>4</DocSecurity>
  <Lines>94</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savivaldybes administracija</Company>
  <LinksUpToDate>false</LinksUpToDate>
  <CharactersWithSpaces>4567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2024-01-31T07:38:00Z</dcterms:created>
  <dc:creator>i.jenciene</dc:creator>
  <lastModifiedBy>adlibuser</lastModifiedBy>
  <lastPrinted>2016-04-14T09:10:00Z</lastPrinted>
  <dcterms:modified xsi:type="dcterms:W3CDTF">2024-01-31T07:38:00Z</dcterms:modified>
  <revision>2</revision>
  <dc:title>Projektas</dc:title>
</coreProperties>
</file>