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411db0f752fa4c3699df2c7a8a5e0aba"/>
        <w:lock w:val="sdtLocked"/>
        <w:richText/>
      </w:sdtPr>
      <w:sdtContent>
        <w:tbl>
          <w:tblPr>
            <w:tblW w:w="9638" w:type="dxa"/>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cBorders>
              </w:tcPr>
              <w:p>
                <w:pPr>
                  <w:suppressLineNumbers/>
                  <w:tabs>
                    <w:tab w:val="center" w:pos="4800"/>
                    <w:tab w:val="right" w:pos="9601"/>
                  </w:tabs>
                  <w:jc w:val="both"/>
                  <w:rPr>
                    <w:rFonts w:eastAsia="Andale Sans UI" w:cs="Tahoma"/>
                    <w:szCs w:val="24"/>
                    <w:lang w:bidi="en-US"/>
                  </w:rPr>
                </w:pPr>
              </w:p>
              <w:p>
                <w:pPr>
                  <w:suppressLineNumbers/>
                  <w:tabs>
                    <w:tab w:val="center" w:pos="4800"/>
                    <w:tab w:val="right" w:pos="9601"/>
                  </w:tabs>
                  <w:jc w:val="both"/>
                  <w:rPr>
                    <w:rFonts w:eastAsia="Andale Sans UI" w:cs="Tahoma"/>
                    <w:szCs w:val="24"/>
                    <w:lang w:bidi="en-US"/>
                  </w:rPr>
                </w:pPr>
              </w:p>
              <w:p>
                <w:pPr>
                  <w:suppressLineNumbers/>
                  <w:jc w:val="center"/>
                  <w:rPr>
                    <w:rFonts w:eastAsia="Andale Sans UI" w:cs="Tahoma"/>
                    <w:b/>
                    <w:bCs/>
                    <w:spacing w:val="20"/>
                    <w:szCs w:val="24"/>
                    <w:lang w:bidi="en-US"/>
                  </w:rPr>
                </w:pPr>
                <w:r>
                  <w:rPr>
                    <w:rFonts w:eastAsia="Andale Sans UI" w:cs="Tahoma"/>
                    <w:b/>
                    <w:spacing w:val="20"/>
                    <w:sz w:val="26"/>
                    <w:szCs w:val="26"/>
                    <w:lang w:val="en-US"/>
                  </w:rPr>
                  <w:drawing>
                    <wp:inline distT="0" distB="0" distL="0" distR="0" wp14:anchorId="4E29AACE" wp14:editId="2F8A8145">
                      <wp:extent cx="523875" cy="619125"/>
                      <wp:effectExtent l="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solidFill>
                                <a:srgbClr val="FFFFFF">
                                  <a:alpha val="0"/>
                                </a:srgbClr>
                              </a:solidFill>
                              <a:ln>
                                <a:noFill/>
                              </a:ln>
                            </pic:spPr>
                          </pic:pic>
                        </a:graphicData>
                      </a:graphic>
                    </wp:inline>
                  </w:drawing>
                </w:r>
              </w:p>
              <w:p>
                <w:pPr>
                  <w:rPr>
                    <w:sz w:val="10"/>
                    <w:szCs w:val="10"/>
                  </w:rPr>
                </w:pPr>
              </w:p>
              <w:p>
                <w:pPr>
                  <w:suppressLineNumbers/>
                  <w:jc w:val="center"/>
                  <w:rPr>
                    <w:rFonts w:eastAsia="Andale Sans UI" w:cs="Tahoma"/>
                    <w:b/>
                    <w:bCs/>
                    <w:spacing w:val="20"/>
                    <w:szCs w:val="24"/>
                    <w:lang w:bidi="en-US"/>
                  </w:rPr>
                </w:pPr>
                <w:r>
                  <w:rPr>
                    <w:rFonts w:eastAsia="Andale Sans UI" w:cs="Tahoma"/>
                    <w:b/>
                    <w:bCs/>
                    <w:spacing w:val="20"/>
                    <w:szCs w:val="24"/>
                    <w:lang w:bidi="en-US"/>
                  </w:rPr>
                  <w:t>LIETUVOS RESPUBLIKOS APLINKOS MINISTERIJA</w:t>
                </w:r>
              </w:p>
              <w:p>
                <w:pPr>
                  <w:rPr>
                    <w:sz w:val="10"/>
                    <w:szCs w:val="10"/>
                  </w:rPr>
                </w:pPr>
              </w:p>
              <w:p>
                <w:pPr>
                  <w:suppressLineNumbers/>
                  <w:jc w:val="center"/>
                  <w:rPr>
                    <w:rFonts w:eastAsia="Andale Sans UI"/>
                    <w:spacing w:val="12"/>
                    <w:sz w:val="16"/>
                    <w:szCs w:val="16"/>
                    <w:lang w:bidi="en-US"/>
                  </w:rPr>
                </w:pPr>
                <w:r>
                  <w:rPr>
                    <w:rFonts w:eastAsia="Andale Sans UI"/>
                    <w:spacing w:val="12"/>
                    <w:sz w:val="16"/>
                    <w:szCs w:val="16"/>
                    <w:lang w:bidi="en-US"/>
                  </w:rPr>
                  <w:t>Biudžetinė įstaiga, A. Jakšto g. 4, LT-01105 Vilnius,</w:t>
                </w:r>
              </w:p>
              <w:p>
                <w:pPr>
                  <w:suppressLineNumbers/>
                  <w:jc w:val="center"/>
                  <w:rPr>
                    <w:rFonts w:eastAsia="Andale Sans UI"/>
                    <w:spacing w:val="12"/>
                    <w:sz w:val="16"/>
                    <w:szCs w:val="16"/>
                    <w:lang w:bidi="en-US"/>
                  </w:rPr>
                </w:pPr>
                <w:r>
                  <w:rPr>
                    <w:rFonts w:eastAsia="Andale Sans UI"/>
                    <w:spacing w:val="12"/>
                    <w:sz w:val="16"/>
                    <w:szCs w:val="16"/>
                    <w:lang w:bidi="en-US"/>
                  </w:rPr>
                  <w:t>tel. +370 626 22 252, el. p. info@am.lt, https://am.lrv.lt.</w:t>
                </w:r>
              </w:p>
              <w:p>
                <w:pPr>
                  <w:suppressLineNumbers/>
                  <w:jc w:val="center"/>
                  <w:rPr>
                    <w:rFonts w:ascii="Arial" w:eastAsia="Andale Sans UI" w:hAnsi="Arial" w:cs="Tahoma"/>
                    <w:b/>
                    <w:bCs/>
                    <w:spacing w:val="12"/>
                    <w:sz w:val="14"/>
                    <w:szCs w:val="14"/>
                    <w:lang w:bidi="en-US"/>
                  </w:rPr>
                </w:pPr>
                <w:r>
                  <w:rPr>
                    <w:rFonts w:eastAsia="Andale Sans UI"/>
                    <w:spacing w:val="12"/>
                    <w:sz w:val="16"/>
                    <w:szCs w:val="16"/>
                    <w:lang w:bidi="en-US"/>
                  </w:rPr>
                  <w:t>Duomenys kaupiami ir saugomi Juridinių asmenų registre, kodas 188602370</w:t>
                </w:r>
              </w:p>
            </w:tc>
          </w:tr>
          <w:tr>
            <w:tc>
              <w:tcPr>
                <w:tcW w:w="9638" w:type="dxa"/>
                <w:gridSpan w:val="5"/>
                <w:tcMar>
                  <w:top w:w="0" w:type="dxa"/>
                  <w:left w:w="0" w:type="dxa"/>
                  <w:bottom w:w="0" w:type="dxa"/>
                  <w:right w:w="0" w:type="dxa"/>
                </w:tcMar>
              </w:tcPr>
              <w:p>
                <w:pPr>
                  <w:suppressLineNumbers/>
                  <w:jc w:val="both"/>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suppressLineNumbers/>
                  <w:jc w:val="both"/>
                  <w:rPr>
                    <w:rFonts w:eastAsia="Andale Sans UI" w:cs="Tahoma"/>
                    <w:szCs w:val="24"/>
                    <w:lang w:bidi="en-US"/>
                  </w:rPr>
                </w:pPr>
                <w:r>
                  <w:rPr>
                    <w:rFonts w:eastAsia="Andale Sans UI" w:cs="Tahoma"/>
                    <w:szCs w:val="24"/>
                    <w:lang w:bidi="en-US"/>
                  </w:rPr>
                  <w:t>Pagal adresatų sąrašą</w:t>
                </w:r>
              </w:p>
              <w:p>
                <w:pPr>
                  <w:suppressLineNumbers/>
                  <w:jc w:val="both"/>
                  <w:rPr>
                    <w:rFonts w:eastAsia="Andale Sans UI" w:cs="Tahoma"/>
                    <w:szCs w:val="24"/>
                    <w:lang w:bidi="en-US"/>
                  </w:rPr>
                </w:pPr>
              </w:p>
              <w:p>
                <w:pPr>
                  <w:suppressLineNumbers/>
                  <w:jc w:val="both"/>
                  <w:rPr>
                    <w:rFonts w:eastAsia="Andale Sans UI" w:cs="Tahoma"/>
                    <w:spacing w:val="10"/>
                    <w:szCs w:val="24"/>
                    <w:lang w:bidi="en-US"/>
                  </w:rPr>
                </w:pPr>
              </w:p>
              <w:p>
                <w:pPr>
                  <w:suppressLineNumbers/>
                  <w:jc w:val="both"/>
                  <w:rPr>
                    <w:rFonts w:eastAsia="Andale Sans UI" w:cs="Tahoma"/>
                    <w:spacing w:val="10"/>
                    <w:szCs w:val="24"/>
                    <w:lang w:bidi="en-US"/>
                  </w:rPr>
                </w:pPr>
              </w:p>
            </w:tc>
            <w:tc>
              <w:tcPr>
                <w:tcW w:w="282" w:type="dxa"/>
                <w:tcMar>
                  <w:top w:w="0" w:type="dxa"/>
                  <w:left w:w="0" w:type="dxa"/>
                  <w:bottom w:w="0" w:type="dxa"/>
                  <w:right w:w="0" w:type="dxa"/>
                </w:tcMar>
              </w:tcPr>
              <w:p>
                <w:pPr>
                  <w:ind w:right="67"/>
                  <w:jc w:val="right"/>
                  <w:rPr>
                    <w:rFonts w:eastAsia="Andale Sans UI" w:cs="Tahoma"/>
                    <w:spacing w:val="10"/>
                    <w:szCs w:val="24"/>
                    <w:lang w:bidi="en-US"/>
                  </w:rPr>
                </w:pP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p>
            </w:tc>
            <w:tc>
              <w:tcPr>
                <w:tcW w:w="565" w:type="dxa"/>
              </w:tcPr>
              <w:p>
                <w:pPr>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p>
            </w:tc>
          </w:tr>
          <w:tr>
            <w:trPr>
              <w:cantSplit/>
              <w:trHeight w:val="340"/>
            </w:trPr>
            <w:tc>
              <w:tcPr>
                <w:tcW w:w="4817" w:type="dxa"/>
                <w:vMerge/>
                <w:tcMar>
                  <w:top w:w="0" w:type="dxa"/>
                  <w:left w:w="0" w:type="dxa"/>
                  <w:bottom w:w="0" w:type="dxa"/>
                  <w:right w:w="0" w:type="dxa"/>
                </w:tcMar>
              </w:tcPr>
              <w:p/>
            </w:tc>
            <w:tc>
              <w:tcPr>
                <w:tcW w:w="282" w:type="dxa"/>
                <w:tcMar>
                  <w:top w:w="0" w:type="dxa"/>
                  <w:left w:w="0" w:type="dxa"/>
                  <w:bottom w:w="0" w:type="dxa"/>
                  <w:right w:w="0" w:type="dxa"/>
                </w:tcMar>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Į</w:t>
                </w: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p>
            </w:tc>
            <w:tc>
              <w:tcPr>
                <w:tcW w:w="565" w:type="dxa"/>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p>
            </w:tc>
          </w:tr>
          <w:tr>
            <w:trPr>
              <w:cantSplit/>
            </w:trPr>
            <w:tc>
              <w:tcPr>
                <w:tcW w:w="4817" w:type="dxa"/>
                <w:vMerge/>
                <w:tcMar>
                  <w:top w:w="0" w:type="dxa"/>
                  <w:left w:w="0" w:type="dxa"/>
                  <w:bottom w:w="0" w:type="dxa"/>
                  <w:right w:w="0" w:type="dxa"/>
                </w:tcMar>
              </w:tcPr>
              <w:p/>
            </w:tc>
            <w:tc>
              <w:tcPr>
                <w:tcW w:w="4821" w:type="dxa"/>
                <w:gridSpan w:val="4"/>
                <w:tcMar>
                  <w:top w:w="0" w:type="dxa"/>
                  <w:left w:w="0" w:type="dxa"/>
                  <w:bottom w:w="0" w:type="dxa"/>
                  <w:right w:w="0" w:type="dxa"/>
                </w:tcMar>
              </w:tcPr>
              <w:p>
                <w:pPr>
                  <w:tabs>
                    <w:tab w:val="left" w:pos="2869"/>
                  </w:tabs>
                  <w:ind w:right="67"/>
                  <w:jc w:val="both"/>
                  <w:rPr>
                    <w:rFonts w:eastAsia="Andale Sans UI" w:cs="Tahoma"/>
                    <w:spacing w:val="10"/>
                    <w:szCs w:val="24"/>
                    <w:lang w:bidi="en-US"/>
                  </w:rPr>
                </w:pPr>
              </w:p>
            </w:tc>
          </w:tr>
          <w:tr>
            <w:trPr>
              <w:trHeight w:val="340"/>
            </w:trPr>
            <w:tc>
              <w:tcPr>
                <w:tcW w:w="9638" w:type="dxa"/>
                <w:gridSpan w:val="5"/>
                <w:tcMar>
                  <w:top w:w="0" w:type="dxa"/>
                  <w:left w:w="0" w:type="dxa"/>
                  <w:bottom w:w="0" w:type="dxa"/>
                  <w:right w:w="0" w:type="dxa"/>
                </w:tcMar>
              </w:tcPr>
              <w:p>
                <w:pPr>
                  <w:suppressLineNumbers/>
                  <w:spacing w:line="276" w:lineRule="auto"/>
                  <w:jc w:val="both"/>
                  <w:rPr>
                    <w:rFonts w:eastAsia="Andale Sans UI" w:cs="Tahoma"/>
                    <w:b/>
                    <w:szCs w:val="24"/>
                    <w:lang w:eastAsia="lt-LT" w:bidi="en-US"/>
                  </w:rPr>
                </w:pPr>
                <w:r>
                  <w:rPr>
                    <w:rFonts w:eastAsia="Andale Sans UI" w:cs="Tahoma"/>
                    <w:b/>
                    <w:caps/>
                    <w:szCs w:val="24"/>
                    <w:lang w:bidi="en-US"/>
                  </w:rPr>
                  <w:t xml:space="preserve">DĖL </w:t>
                </w:r>
                <w:r>
                  <w:rPr>
                    <w:rFonts w:eastAsia="Andale Sans UI" w:cs="Tahoma"/>
                    <w:b/>
                    <w:szCs w:val="24"/>
                    <w:lang w:eastAsia="lt-LT" w:bidi="en-US"/>
                  </w:rPr>
                  <w:t>APLINKOS MINISTRO ĮSAKYMO PROJEKTO</w:t>
                </w:r>
              </w:p>
              <w:p>
                <w:pPr>
                  <w:suppressLineNumbers/>
                  <w:spacing w:line="276" w:lineRule="auto"/>
                  <w:jc w:val="both"/>
                  <w:rPr>
                    <w:rFonts w:eastAsia="Andale Sans UI" w:cs="Tahoma"/>
                    <w:b/>
                    <w:bCs/>
                    <w:szCs w:val="24"/>
                    <w:lang w:bidi="en-US"/>
                  </w:rPr>
                </w:pPr>
              </w:p>
            </w:tc>
          </w:tr>
        </w:tbl>
        <w:p/>
      </w:sdtContent>
    </w:sdt>
    <w:sdt>
      <w:sdtPr>
        <w:alias w:val="pastraipa"/>
        <w:tag w:val="part_740f8f302d094cc8b29d4cc07fcfe58e"/>
        <w:lock w:val="sdtLocked"/>
        <w:richText/>
      </w:sdtPr>
      <w:sdtContent>
        <w:p>
          <w:pPr>
            <w:shd w:val="clear" w:color="auto" w:fill="FFFFFF"/>
            <w:ind w:firstLine="567"/>
            <w:jc w:val="both"/>
            <w:textAlignment w:val="center"/>
            <w:rPr>
              <w:rFonts w:eastAsia="Andale Sans UI"/>
              <w:szCs w:val="24"/>
              <w:lang w:bidi="en-US"/>
            </w:rPr>
          </w:pPr>
          <w:r>
            <w:rPr>
              <w:rFonts w:eastAsia="Andale Sans UI"/>
              <w:szCs w:val="24"/>
              <w:lang w:bidi="en-US"/>
            </w:rPr>
            <w:t>Aplinkos ministerija teikia derinti „Lietuvos Respublikos aplinkos ministerijos  aplinkos apsaugos ir klimato kaitos valdymo plėtros programos pažangos priemonės Nr. 02-001-06-04-02 „Didinti klimato kaitos politikos veiksmingumą“ veiklos</w:t>
          </w:r>
          <w:r>
            <w:rPr>
              <w:rFonts w:eastAsia="Andale Sans UI"/>
              <w:b/>
              <w:bCs/>
              <w:szCs w:val="24"/>
              <w:lang w:bidi="en-US"/>
            </w:rPr>
            <w:t xml:space="preserve"> </w:t>
          </w:r>
          <w:r>
            <w:rPr>
              <w:rFonts w:eastAsia="Andale Sans UI"/>
              <w:szCs w:val="24"/>
              <w:lang w:bidi="en-US"/>
            </w:rPr>
            <w:t>„</w:t>
          </w:r>
          <w:r>
            <w:rPr>
              <w:iCs/>
              <w:szCs w:val="24"/>
            </w:rPr>
            <w:t>Antros kartos biodegalais ir elektra varomos žemės ūkio technikos skatinimas</w:t>
          </w:r>
          <w:r>
            <w:rPr>
              <w:rFonts w:eastAsia="Andale Sans UI"/>
              <w:szCs w:val="24"/>
              <w:lang w:bidi="en-US"/>
            </w:rPr>
            <w:t>“</w:t>
          </w:r>
          <w:r>
            <w:rPr>
              <w:rFonts w:eastAsia="Andale Sans UI"/>
              <w:b/>
              <w:bCs/>
              <w:szCs w:val="24"/>
              <w:lang w:bidi="en-US"/>
            </w:rPr>
            <w:t xml:space="preserve"> </w:t>
          </w:r>
          <w:r>
            <w:rPr>
              <w:rFonts w:eastAsia="Andale Sans UI"/>
              <w:szCs w:val="24"/>
              <w:lang w:bidi="en-US"/>
            </w:rPr>
            <w:t>projektų finansavimo sąlygų aprašą (toliau – Projektas).</w:t>
          </w:r>
        </w:p>
        <w:sdt>
          <w:sdtPr>
            <w:alias w:val="1 p."/>
            <w:tag w:val="part_961e03950d21432bbb28132b9fb0488d"/>
            <w:lock w:val="sdtLocked"/>
            <w:richText/>
          </w:sdtPr>
          <w:sdtContent>
            <w:p>
              <w:pPr>
                <w:ind w:firstLine="567"/>
                <w:jc w:val="both"/>
                <w:rPr>
                  <w:rFonts w:eastAsia="Andale Sans UI"/>
                  <w:szCs w:val="24"/>
                  <w:lang w:bidi="en-US"/>
                </w:rPr>
              </w:pPr>
              <w:sdt>
                <w:sdtPr>
                  <w:alias w:val="Numeris"/>
                  <w:tag w:val="nr_961e03950d21432bbb28132b9fb0488d"/>
                  <w:lock w:val="sdtLocked"/>
                  <w:richText/>
                </w:sdtPr>
                <w:sdtContent>
                  <w:r>
                    <w:rPr>
                      <w:rFonts w:eastAsia="Andale Sans UI"/>
                      <w:b/>
                      <w:bCs/>
                      <w:szCs w:val="24"/>
                      <w:lang w:bidi="en-US"/>
                    </w:rPr>
                    <w:t>1</w:t>
                  </w:r>
                </w:sdtContent>
              </w:sdt>
              <w:r>
                <w:rPr>
                  <w:rFonts w:eastAsia="Andale Sans UI"/>
                  <w:b/>
                  <w:bCs/>
                  <w:szCs w:val="24"/>
                  <w:lang w:bidi="en-US"/>
                </w:rPr>
                <w:t>. Projektu sprendžiama problema ir Projektą rengti paskatinusios priežastys</w:t>
              </w:r>
            </w:p>
            <w:p>
              <w:pPr>
                <w:ind w:firstLine="567"/>
                <w:jc w:val="both"/>
                <w:rPr>
                  <w:rFonts w:eastAsia="Andale Sans UI"/>
                  <w:szCs w:val="24"/>
                  <w:lang w:bidi="en-US"/>
                </w:rPr>
              </w:pPr>
              <w:r>
                <w:rPr>
                  <w:rFonts w:eastAsia="Andale Sans UI"/>
                  <w:szCs w:val="24"/>
                  <w:lang w:bidi="en-US"/>
                </w:rPr>
                <w:t xml:space="preserve">Siekiant sumažinti šiltnamio efektą sukeliančių dujų (toliau – ŠESD) kiekį, planuojama patvirtinti </w:t>
              </w:r>
              <w:r>
                <w:rPr>
                  <w:shd w:val="clear" w:color="auto" w:fill="FFFFFF"/>
                </w:rPr>
                <w:t>naujų elektra, biodujomis, biometanu varomos žemės ūkio technikos ir (ar) savaeigių mašinų įsigijimo</w:t>
              </w:r>
              <w:r>
                <w:rPr>
                  <w:rFonts w:eastAsia="Andale Sans UI"/>
                  <w:szCs w:val="24"/>
                  <w:lang w:bidi="en-US"/>
                </w:rPr>
                <w:t xml:space="preserve"> iš Klimato kaitos programos finansavimo tvarkos aprašą. </w:t>
              </w:r>
            </w:p>
          </w:sdtContent>
        </w:sdt>
        <w:sdt>
          <w:sdtPr>
            <w:alias w:val="2 p."/>
            <w:tag w:val="part_290340d4221c45dc96219b526bc00fa4"/>
            <w:lock w:val="sdtLocked"/>
            <w:richText/>
          </w:sdtPr>
          <w:sdtContent>
            <w:p>
              <w:pPr>
                <w:ind w:firstLine="567"/>
                <w:jc w:val="both"/>
                <w:rPr>
                  <w:rFonts w:eastAsia="Andale Sans UI"/>
                  <w:szCs w:val="24"/>
                  <w:lang w:bidi="en-US"/>
                </w:rPr>
              </w:pPr>
              <w:sdt>
                <w:sdtPr>
                  <w:alias w:val="Numeris"/>
                  <w:tag w:val="nr_290340d4221c45dc96219b526bc00fa4"/>
                  <w:lock w:val="sdtLocked"/>
                  <w:richText/>
                </w:sdtPr>
                <w:sdtContent>
                  <w:r>
                    <w:rPr>
                      <w:rFonts w:eastAsia="Andale Sans UI"/>
                      <w:b/>
                      <w:bCs/>
                      <w:szCs w:val="24"/>
                      <w:lang w:bidi="en-US"/>
                    </w:rPr>
                    <w:t>2</w:t>
                  </w:r>
                </w:sdtContent>
              </w:sdt>
              <w:r>
                <w:rPr>
                  <w:rFonts w:eastAsia="Andale Sans UI"/>
                  <w:b/>
                  <w:bCs/>
                  <w:szCs w:val="24"/>
                  <w:lang w:bidi="en-US"/>
                </w:rPr>
                <w:t>. Projektu siūlomo teisinio reguliavimo esmė – problemos sprendimas</w:t>
              </w:r>
            </w:p>
            <w:p>
              <w:pPr>
                <w:ind w:firstLine="567"/>
                <w:jc w:val="both"/>
                <w:rPr>
                  <w:rFonts w:eastAsia="Andale Sans UI"/>
                  <w:szCs w:val="24"/>
                  <w:lang w:bidi="en-US"/>
                </w:rPr>
              </w:pPr>
              <w:r>
                <w:rPr>
                  <w:rFonts w:eastAsia="Andale Sans UI"/>
                  <w:szCs w:val="24"/>
                  <w:lang w:bidi="en-US"/>
                </w:rPr>
                <w:t xml:space="preserve">Planuojama, kad siekiant mažinti ŠESD kiekį žemės ūkio sektoriuje, </w:t>
              </w:r>
              <w:r>
                <w:rPr>
                  <w:rFonts w:eastAsia="Andale Sans UI"/>
                  <w:iCs/>
                  <w:szCs w:val="24"/>
                  <w:lang w:bidi="en-US"/>
                </w:rPr>
                <w:t xml:space="preserve">pirminę žemės ūkio gamybos veiklą vykdantys subjektai; pripažinti žemės ūkio kooperatyvai (kaip nurodyta Lietuvos Respublikos kooperatyvinių bendrovių (kooperatyvų) įstatymo 31 straipsnyje), kurie vadovaujantis Reglamento </w:t>
              </w:r>
              <w:fldSimple w:instr="HYPERLINK http://eur-lex.europa.eu/legal-content/LIT/TXT/?uri=CELEX:32022R2472&amp;locale=lt \t _blank">
                <w:r>
                  <w:rPr>
                    <w:rFonts w:eastAsia="Andale Sans UI"/>
                    <w:iCs/>
                    <w:szCs w:val="24"/>
                    <w:lang w:bidi="en-US"/>
                    <w:u w:val="single"/>
                    <w:color w:val="0000FF" w:themeColor="hyperlink"/>
                  </w:rPr>
                  <w:t>2022/2472</w:t>
                </w:r>
              </w:fldSimple>
              <w:r>
                <w:rPr>
                  <w:rFonts w:eastAsia="Andale Sans UI"/>
                  <w:iCs/>
                  <w:szCs w:val="24"/>
                  <w:lang w:bidi="en-US"/>
                </w:rPr>
                <w:t xml:space="preserve"> I priedu priskiriami labai mažų, mažųjų ir vidutinių įmonių kategorijai; labai mažos, mažos ir vidutinės įmonės, vykdančios pirminės žemės ūkio  gamybos veiklą, galės rinktis elektra, biodujomis, biometanu varomą žemės ūkio techniką ir (ar) savaeigių mašinas.</w:t>
              </w:r>
            </w:p>
          </w:sdtContent>
        </w:sdt>
        <w:sdt>
          <w:sdtPr>
            <w:alias w:val="3 p."/>
            <w:tag w:val="part_b7e090bd73fb4bdeac9d90df39c54e70"/>
            <w:lock w:val="sdtLocked"/>
            <w:richText/>
          </w:sdtPr>
          <w:sdtContent>
            <w:p>
              <w:pPr>
                <w:ind w:firstLine="567"/>
                <w:jc w:val="both"/>
                <w:rPr>
                  <w:rFonts w:eastAsia="Andale Sans UI"/>
                  <w:b/>
                  <w:bCs/>
                  <w:szCs w:val="24"/>
                  <w:lang w:bidi="en-US"/>
                </w:rPr>
              </w:pPr>
              <w:sdt>
                <w:sdtPr>
                  <w:alias w:val="Numeris"/>
                  <w:tag w:val="nr_b7e090bd73fb4bdeac9d90df39c54e70"/>
                  <w:lock w:val="sdtLocked"/>
                  <w:richText/>
                </w:sdtPr>
                <w:sdtContent>
                  <w:r>
                    <w:rPr>
                      <w:rFonts w:eastAsia="Andale Sans UI"/>
                      <w:b/>
                      <w:bCs/>
                      <w:szCs w:val="24"/>
                      <w:lang w:bidi="en-US"/>
                    </w:rPr>
                    <w:t>3</w:t>
                  </w:r>
                </w:sdtContent>
              </w:sdt>
              <w:r>
                <w:rPr>
                  <w:rFonts w:eastAsia="Andale Sans UI"/>
                  <w:b/>
                  <w:bCs/>
                  <w:szCs w:val="24"/>
                  <w:lang w:bidi="en-US"/>
                </w:rPr>
                <w:t>. Pasiūlymų įgyvendinimo mechanizmas, kaštai ir nauda</w:t>
              </w:r>
            </w:p>
            <w:p>
              <w:pPr>
                <w:ind w:firstLine="567"/>
                <w:jc w:val="both"/>
                <w:rPr>
                  <w:rFonts w:eastAsia="Andale Sans UI"/>
                  <w:i/>
                  <w:szCs w:val="24"/>
                  <w:lang w:bidi="en-US"/>
                </w:rPr>
              </w:pPr>
              <w:r>
                <w:rPr>
                  <w:rFonts w:eastAsia="Andale Sans UI"/>
                  <w:iCs/>
                  <w:szCs w:val="24"/>
                  <w:lang w:bidi="en-US"/>
                </w:rPr>
                <w:t xml:space="preserve">Projektams finansuoti skirta 7 mln. eurų iš Klimato kaitos programos. </w:t>
              </w:r>
              <w:r>
                <w:rPr>
                  <w:rFonts w:eastAsia="Andale Sans UI"/>
                  <w:i/>
                  <w:szCs w:val="24"/>
                  <w:lang w:bidi="en-US"/>
                </w:rPr>
                <w:t xml:space="preserve"> </w:t>
              </w:r>
            </w:p>
          </w:sdtContent>
        </w:sdt>
        <w:sdt>
          <w:sdtPr>
            <w:alias w:val="4 p."/>
            <w:tag w:val="part_d904139928a440d08a292461ba6ba4e0"/>
            <w:lock w:val="sdtLocked"/>
            <w:richText/>
          </w:sdtPr>
          <w:sdtContent>
            <w:p>
              <w:pPr>
                <w:ind w:firstLine="567"/>
                <w:jc w:val="both"/>
                <w:rPr>
                  <w:b/>
                  <w:bCs/>
                  <w:szCs w:val="24"/>
                  <w:lang w:eastAsia="lt-LT" w:bidi="en-US"/>
                </w:rPr>
              </w:pPr>
              <w:sdt>
                <w:sdtPr>
                  <w:alias w:val="Numeris"/>
                  <w:tag w:val="nr_d904139928a440d08a292461ba6ba4e0"/>
                  <w:lock w:val="sdtLocked"/>
                  <w:richText/>
                </w:sdtPr>
                <w:sdtContent>
                  <w:r>
                    <w:rPr>
                      <w:b/>
                      <w:bCs/>
                      <w:szCs w:val="24"/>
                      <w:lang w:eastAsia="lt-LT" w:bidi="en-US"/>
                    </w:rPr>
                    <w:t>4</w:t>
                  </w:r>
                </w:sdtContent>
              </w:sdt>
              <w:r>
                <w:rPr>
                  <w:b/>
                  <w:bCs/>
                  <w:szCs w:val="24"/>
                  <w:lang w:eastAsia="lt-LT" w:bidi="en-US"/>
                </w:rPr>
                <w:t>. Lietuvos Respublikos Vyriausybės programos</w:t>
              </w:r>
              <w:r>
                <w:rPr>
                  <w:b/>
                  <w:bCs/>
                  <w:szCs w:val="24"/>
                  <w:vertAlign w:val="superscript"/>
                  <w:lang w:eastAsia="lt-LT" w:bidi="en-US"/>
                </w:rPr>
                <w:footnoteReference w:id="2"/>
              </w:r>
              <w:r>
                <w:rPr>
                  <w:b/>
                  <w:bCs/>
                  <w:szCs w:val="24"/>
                  <w:lang w:eastAsia="lt-LT" w:bidi="en-US"/>
                </w:rPr>
                <w:t xml:space="preserve"> nuostatų įgyvendinimas </w:t>
              </w:r>
              <w:r>
                <w:rPr>
                  <w:szCs w:val="24"/>
                  <w:lang w:eastAsia="lt-LT" w:bidi="en-US"/>
                </w:rPr>
                <w:t>(pažymimas tinkamas variantas)</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Projektu įgyvendinamos šios Lietuvos Respublikos Vyriausybės programos nuostatos: (</w:t>
              </w:r>
              <w:r>
                <w:rPr>
                  <w:rFonts w:eastAsia="Andale Sans UI"/>
                  <w:i/>
                  <w:iCs/>
                  <w:szCs w:val="24"/>
                  <w:lang w:bidi="en-US"/>
                </w:rPr>
                <w:t>nurodomos programos nuostatos ir punktas ar papunktis, kuriame jos nurodytos</w:t>
              </w:r>
              <w:r>
                <w:rPr>
                  <w:rFonts w:eastAsia="Andale Sans UI"/>
                  <w:szCs w:val="24"/>
                  <w:lang w:bidi="en-US"/>
                </w:rPr>
                <w:t>).</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Projektas neprieštarauja Aštuonioliktosios Lietuvos Respublikos Vyriausybės programai.</w:t>
              </w:r>
            </w:p>
          </w:sdtContent>
        </w:sdt>
        <w:sdt>
          <w:sdtPr>
            <w:alias w:val="5 p."/>
            <w:tag w:val="part_a1b6280990444684bba6c7f8cacd4499"/>
            <w:lock w:val="sdtLocked"/>
            <w:richText/>
          </w:sdtPr>
          <w:sdtContent>
            <w:p>
              <w:pPr>
                <w:ind w:firstLine="567"/>
                <w:jc w:val="both"/>
                <w:rPr>
                  <w:rFonts w:eastAsia="Andale Sans UI" w:cs="Tahoma"/>
                  <w:szCs w:val="24"/>
                  <w:lang w:bidi="en-US"/>
                </w:rPr>
              </w:pPr>
              <w:sdt>
                <w:sdtPr>
                  <w:alias w:val="Numeris"/>
                  <w:tag w:val="nr_a1b6280990444684bba6c7f8cacd4499"/>
                  <w:lock w:val="sdtLocked"/>
                  <w:richText/>
                </w:sdtPr>
                <w:sdtContent>
                  <w:r>
                    <w:rPr>
                      <w:rFonts w:eastAsia="Andale Sans UI"/>
                      <w:b/>
                      <w:bCs/>
                      <w:szCs w:val="24"/>
                      <w:lang w:bidi="en-US"/>
                    </w:rPr>
                    <w:t>5</w:t>
                  </w:r>
                </w:sdtContent>
              </w:sdt>
              <w:r>
                <w:rPr>
                  <w:rFonts w:eastAsia="Andale Sans UI"/>
                  <w:b/>
                  <w:bCs/>
                  <w:szCs w:val="24"/>
                  <w:lang w:bidi="en-US"/>
                </w:rPr>
                <w:t>.</w:t>
              </w:r>
              <w:r>
                <w:rPr>
                  <w:rFonts w:eastAsia="Andale Sans UI"/>
                  <w:szCs w:val="24"/>
                  <w:lang w:bidi="en-US"/>
                </w:rPr>
                <w:t xml:space="preserve"> </w:t>
              </w:r>
              <w:r>
                <w:rPr>
                  <w:rFonts w:eastAsia="Andale Sans UI"/>
                  <w:b/>
                  <w:bCs/>
                  <w:szCs w:val="24"/>
                  <w:lang w:bidi="en-US"/>
                </w:rPr>
                <w:t>Numatomo teisinio reguliavimo poveikio vertinimas</w:t>
              </w:r>
              <w:r>
                <w:rPr>
                  <w:rFonts w:eastAsia="Andale Sans UI"/>
                  <w:b/>
                  <w:bCs/>
                  <w:szCs w:val="24"/>
                  <w:vertAlign w:val="superscript"/>
                  <w:lang w:bidi="en-US"/>
                </w:rPr>
                <w:footnoteReference w:id="3"/>
              </w:r>
              <w:r>
                <w:rPr>
                  <w:rFonts w:eastAsia="Andale Sans UI"/>
                  <w:b/>
                  <w:bCs/>
                  <w:szCs w:val="24"/>
                  <w:lang w:bidi="en-US"/>
                </w:rPr>
                <w:t xml:space="preserve"> </w:t>
              </w:r>
              <w:r>
                <w:rPr>
                  <w:szCs w:val="24"/>
                  <w:lang w:eastAsia="lt-LT" w:bidi="en-US"/>
                </w:rPr>
                <w:t>(pažymimas tinkamas variantas)</w:t>
              </w:r>
            </w:p>
            <w:p>
              <w:pPr>
                <w:widowControl w:val="0"/>
                <w:ind w:firstLine="567"/>
                <w:jc w:val="both"/>
                <w:rPr>
                  <w:b/>
                  <w:bCs/>
                  <w:i/>
                  <w:iCs/>
                  <w:szCs w:val="24"/>
                  <w:lang w:eastAsia="lt-LT"/>
                </w:rPr>
              </w:pPr>
              <w:r>
                <w:rPr>
                  <w:rFonts w:ascii="Segoe UI Symbol" w:eastAsia="MS Gothic" w:hAnsi="Segoe UI Symbol" w:cs="Segoe UI Symbol"/>
                  <w:szCs w:val="24"/>
                  <w:lang w:bidi="en-US"/>
                </w:rPr>
                <w:t>☐</w:t>
              </w:r>
              <w:r>
                <w:rPr>
                  <w:rFonts w:eastAsia="Andale Sans UI"/>
                  <w:szCs w:val="24"/>
                  <w:lang w:bidi="en-US"/>
                </w:rPr>
                <w:t xml:space="preserve"> Atliktas Projekto numatomo teisinio reguliavimo poveikio vertinimas (</w:t>
              </w:r>
              <w:r>
                <w:rPr>
                  <w:rFonts w:eastAsia="Andale Sans UI"/>
                  <w:i/>
                  <w:iCs/>
                  <w:color w:val="000000"/>
                  <w:szCs w:val="24"/>
                  <w:lang w:bidi="en-US"/>
                </w:rPr>
                <w:t>pateikiamos Projekto poveikio vertinimo rezultatų išvados – apibendrinta informacija, kurioje nurodomas numatomo teisinio reguliavimo tikslas, galimas teigiamas ir (ar) neigiamas Projekto poveikis kiekvienu vertinimo aspektu, kur įmanoma, pagrįstas atliktais skaičiavimais; jeigu atliekamas Projekto poveikio aplinkai ir klimato kaitai vertinimas</w:t>
              </w:r>
              <w:r>
                <w:rPr>
                  <w:rFonts w:eastAsia="Andale Sans UI"/>
                  <w:i/>
                  <w:iCs/>
                  <w:color w:val="000000"/>
                  <w:szCs w:val="24"/>
                  <w:vertAlign w:val="superscript"/>
                  <w:lang w:bidi="en-US"/>
                </w:rPr>
                <w:footnoteReference w:id="4"/>
              </w:r>
              <w:r>
                <w:rPr>
                  <w:rFonts w:eastAsia="Andale Sans UI"/>
                  <w:i/>
                  <w:iCs/>
                  <w:color w:val="000000"/>
                  <w:szCs w:val="24"/>
                  <w:lang w:bidi="en-US"/>
                </w:rPr>
                <w:t>, kokybiškai ir (ar) kiekybiškai įvertinamas ir aprašomas galimas poveikis aplinkai ir klimato kaitai</w:t>
              </w:r>
              <w:r>
                <w:rPr>
                  <w:rFonts w:eastAsia="Andale Sans UI"/>
                  <w:i/>
                  <w:iCs/>
                  <w:color w:val="000000"/>
                  <w:szCs w:val="24"/>
                  <w:vertAlign w:val="superscript"/>
                  <w:lang w:bidi="en-US"/>
                </w:rPr>
                <w:footnoteReference w:id="5"/>
              </w:r>
              <w:r>
                <w:rPr>
                  <w:rFonts w:eastAsia="Andale Sans UI"/>
                  <w:i/>
                  <w:iCs/>
                  <w:color w:val="000000"/>
                  <w:szCs w:val="24"/>
                  <w:lang w:bidi="en-US"/>
                </w:rPr>
                <w:t>; d</w:t>
              </w:r>
              <w:r>
                <w:rPr>
                  <w:rFonts w:eastAsia="Andale Sans UI"/>
                  <w:i/>
                  <w:iCs/>
                  <w:szCs w:val="24"/>
                  <w:lang w:bidi="en-US"/>
                </w:rPr>
                <w:t>ėl poveikio aplinkai ir klimato kaitai vertinimo konsultuoja Aplinkos apsaugos agentūra</w:t>
              </w:r>
              <w:r>
                <w:rPr>
                  <w:rFonts w:eastAsia="Andale Sans UI"/>
                  <w:i/>
                  <w:iCs/>
                  <w:szCs w:val="24"/>
                  <w:vertAlign w:val="superscript"/>
                  <w:lang w:bidi="en-US"/>
                </w:rPr>
                <w:footnoteReference w:id="6"/>
              </w:r>
              <w:r>
                <w:rPr>
                  <w:rFonts w:eastAsia="Andale Sans UI"/>
                  <w:color w:val="000000"/>
                  <w:szCs w:val="24"/>
                  <w:lang w:bidi="en-US"/>
                </w:rPr>
                <w:t>)</w:t>
              </w:r>
              <w:r>
                <w:rPr>
                  <w:rFonts w:eastAsia="Andale Sans UI"/>
                  <w:i/>
                  <w:iCs/>
                  <w:color w:val="000000"/>
                  <w:szCs w:val="24"/>
                  <w:lang w:bidi="en-US"/>
                </w:rPr>
                <w:t xml:space="preserve">. </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Projekto numatomo teisinio reguliavimo poveikio vertinimas neatliekamas.</w:t>
              </w:r>
            </w:p>
          </w:sdtContent>
        </w:sdt>
        <w:sdt>
          <w:sdtPr>
            <w:alias w:val="6 p."/>
            <w:tag w:val="part_75e3aa44b398443387227bfbc7bccbe9"/>
            <w:lock w:val="sdtLocked"/>
            <w:richText/>
          </w:sdtPr>
          <w:sdtContent>
            <w:p>
              <w:pPr>
                <w:ind w:firstLine="567"/>
                <w:jc w:val="both"/>
                <w:rPr>
                  <w:rFonts w:eastAsia="Andale Sans UI" w:cs="Tahoma"/>
                  <w:szCs w:val="24"/>
                  <w:lang w:bidi="en-US"/>
                </w:rPr>
              </w:pPr>
              <w:sdt>
                <w:sdtPr>
                  <w:alias w:val="Numeris"/>
                  <w:tag w:val="nr_75e3aa44b398443387227bfbc7bccbe9"/>
                  <w:lock w:val="sdtLocked"/>
                  <w:richText/>
                </w:sdtPr>
                <w:sdtContent>
                  <w:r>
                    <w:rPr>
                      <w:b/>
                      <w:bCs/>
                      <w:szCs w:val="24"/>
                      <w:lang w:eastAsia="lt-LT" w:bidi="en-US"/>
                    </w:rPr>
                    <w:t>6</w:t>
                  </w:r>
                </w:sdtContent>
              </w:sdt>
              <w:r>
                <w:rPr>
                  <w:b/>
                  <w:bCs/>
                  <w:szCs w:val="24"/>
                  <w:lang w:eastAsia="lt-LT" w:bidi="en-US"/>
                </w:rPr>
                <w:t xml:space="preserve">. Europos Sąjungos teisės aktų perkėlimas ir (ar) įgyvendinimas </w:t>
              </w:r>
              <w:r>
                <w:rPr>
                  <w:szCs w:val="24"/>
                  <w:lang w:eastAsia="lt-LT" w:bidi="en-US"/>
                </w:rPr>
                <w:t>(pažymimas tinkamas variantas)</w:t>
              </w:r>
            </w:p>
            <w:p>
              <w:pPr>
                <w:ind w:firstLine="567"/>
                <w:jc w:val="both"/>
                <w:rPr>
                  <w:b/>
                  <w:bCs/>
                  <w:szCs w:val="24"/>
                  <w:lang w:eastAsia="lt-LT" w:bidi="en-US"/>
                </w:rPr>
              </w:pPr>
              <w:r>
                <w:rPr>
                  <w:rFonts w:ascii="MS Gothic" w:eastAsia="MS Gothic" w:hAnsi="MS Gothic"/>
                  <w:szCs w:val="24"/>
                  <w:lang w:bidi="en-US"/>
                </w:rPr>
                <w:t>☒</w:t>
              </w:r>
              <w:r>
                <w:rPr>
                  <w:rFonts w:eastAsia="Andale Sans UI"/>
                  <w:szCs w:val="24"/>
                  <w:lang w:bidi="en-US"/>
                </w:rPr>
                <w:t xml:space="preserve"> Projektu neperkeliamos ir neįgyvendinamos Europos Sąjungos teisės aktų nuostatos.</w:t>
              </w:r>
            </w:p>
            <w:p>
              <w:pPr>
                <w:ind w:firstLine="567"/>
                <w:jc w:val="both"/>
                <w:rPr>
                  <w:color w:val="000000"/>
                  <w:szCs w:val="24"/>
                  <w:lang w:eastAsia="lt-LT" w:bidi="en-US"/>
                </w:rPr>
              </w:pPr>
              <w:r>
                <w:rPr>
                  <w:rFonts w:ascii="Segoe UI Symbol" w:eastAsia="MS Gothic" w:hAnsi="Segoe UI Symbol" w:cs="Segoe UI Symbol"/>
                  <w:szCs w:val="24"/>
                  <w:lang w:bidi="en-US"/>
                </w:rPr>
                <w:t>☐</w:t>
              </w:r>
              <w:r>
                <w:rPr>
                  <w:rFonts w:eastAsia="Andale Sans UI"/>
                  <w:szCs w:val="24"/>
                  <w:lang w:bidi="en-US"/>
                </w:rPr>
                <w:t xml:space="preserve"> Projektu perkeliamos (</w:t>
              </w:r>
              <w:r>
                <w:rPr>
                  <w:rFonts w:eastAsia="Andale Sans UI"/>
                  <w:i/>
                  <w:szCs w:val="24"/>
                  <w:lang w:bidi="en-US"/>
                </w:rPr>
                <w:t>dėl Direktyvų</w:t>
              </w:r>
              <w:r>
                <w:rPr>
                  <w:rFonts w:eastAsia="Andale Sans UI"/>
                  <w:szCs w:val="24"/>
                  <w:lang w:bidi="en-US"/>
                </w:rPr>
                <w:t>) ir (ar) įgyvendinamos (</w:t>
              </w:r>
              <w:r>
                <w:rPr>
                  <w:rFonts w:eastAsia="Andale Sans UI"/>
                  <w:i/>
                  <w:szCs w:val="24"/>
                  <w:lang w:bidi="en-US"/>
                </w:rPr>
                <w:t>dėl Reglamentų ir Sprendimų</w:t>
              </w:r>
              <w:r>
                <w:rPr>
                  <w:rFonts w:eastAsia="Andale Sans UI"/>
                  <w:szCs w:val="24"/>
                  <w:lang w:bidi="en-US"/>
                </w:rPr>
                <w:t>) šios Europos Sąjungos teisės aktų nuostatos: (</w:t>
              </w:r>
              <w:r>
                <w:rPr>
                  <w:rFonts w:eastAsia="Andale Sans UI"/>
                  <w:i/>
                  <w:szCs w:val="24"/>
                  <w:lang w:bidi="en-US"/>
                </w:rPr>
                <w:t>išvardijama</w:t>
              </w:r>
              <w:r>
                <w:rPr>
                  <w:rFonts w:eastAsia="Andale Sans UI"/>
                  <w:szCs w:val="24"/>
                  <w:lang w:bidi="en-US"/>
                </w:rPr>
                <w:t>).</w:t>
              </w:r>
              <w:r>
                <w:rPr>
                  <w:rFonts w:eastAsia="Andale Sans UI"/>
                  <w:i/>
                  <w:szCs w:val="24"/>
                  <w:lang w:bidi="en-US"/>
                </w:rPr>
                <w:t xml:space="preserve"> </w:t>
              </w:r>
              <w:r>
                <w:rPr>
                  <w:rFonts w:eastAsia="Andale Sans UI"/>
                  <w:szCs w:val="24"/>
                  <w:lang w:eastAsia="lt-LT" w:bidi="en-US"/>
                </w:rPr>
                <w:t>(</w:t>
              </w:r>
              <w:r>
                <w:rPr>
                  <w:rFonts w:eastAsia="Andale Sans UI"/>
                  <w:i/>
                  <w:iCs/>
                  <w:szCs w:val="24"/>
                  <w:lang w:eastAsia="lt-LT" w:bidi="en-US"/>
                </w:rPr>
                <w:t>Taip pat nurodomi kiti su Projektu susiję tiesiogiai taikomi Europos Sąjungos teisės aktai, kai jie nėra įgyvendinami.</w:t>
              </w:r>
              <w:r>
                <w:rPr>
                  <w:rFonts w:eastAsia="Andale Sans UI"/>
                  <w:szCs w:val="24"/>
                  <w:lang w:eastAsia="lt-LT" w:bidi="en-US"/>
                </w:rPr>
                <w:t xml:space="preserve">) Projektas yra įtrauktas į perkeliamo ir (ar) įgyvendinamo Europos Sąjungos teisės akto perkėlimo ir įgyvendinimo planą Lietuvos narystės Europos Sąjungoje informacinėje sistemoje (LINESIS), į kurią įkelta  atitikties lentelė</w:t>
              </w:r>
              <w:r>
                <w:rPr>
                  <w:rFonts w:eastAsia="Andale Sans UI"/>
                  <w:szCs w:val="24"/>
                  <w:vertAlign w:val="superscript"/>
                  <w:lang w:eastAsia="lt-LT" w:bidi="en-US"/>
                </w:rPr>
                <w:footnoteReference w:id="7"/>
              </w:r>
              <w:r>
                <w:rPr>
                  <w:rFonts w:eastAsia="Andale Sans UI"/>
                  <w:i/>
                  <w:szCs w:val="24"/>
                  <w:lang w:eastAsia="lt-LT" w:bidi="en-US"/>
                </w:rPr>
                <w:t xml:space="preserve">. </w:t>
              </w:r>
              <w:r>
                <w:rPr>
                  <w:rFonts w:eastAsia="Andale Sans UI"/>
                  <w:szCs w:val="24"/>
                  <w:lang w:bidi="en-US"/>
                </w:rPr>
                <w:t xml:space="preserve">Siekiant užtikrinti visišką </w:t>
              </w:r>
              <w:r>
                <w:rPr>
                  <w:color w:val="000000"/>
                  <w:szCs w:val="24"/>
                  <w:lang w:eastAsia="lt-LT" w:bidi="en-US"/>
                </w:rPr>
                <w:t>susijusių Europos Sąjungos teisės aktų perkėlimą ir (ar) įgyvendinimą, reikės priimti </w:t>
              </w:r>
              <w:r>
                <w:rPr>
                  <w:i/>
                  <w:iCs/>
                  <w:color w:val="000000"/>
                  <w:szCs w:val="24"/>
                  <w:lang w:eastAsia="lt-LT" w:bidi="en-US"/>
                </w:rPr>
                <w:t>...</w:t>
              </w:r>
              <w:r>
                <w:rPr>
                  <w:iCs/>
                  <w:color w:val="000000"/>
                  <w:szCs w:val="24"/>
                  <w:lang w:eastAsia="lt-LT" w:bidi="en-US"/>
                </w:rPr>
                <w:t>(</w:t>
              </w:r>
              <w:r>
                <w:rPr>
                  <w:i/>
                  <w:iCs/>
                  <w:color w:val="000000"/>
                  <w:szCs w:val="24"/>
                  <w:lang w:eastAsia="lt-LT" w:bidi="en-US"/>
                </w:rPr>
                <w:t>išvardijami Lietuvos Respublikos teisės aktai, kuriuos reikės priimti</w:t>
              </w:r>
              <w:r>
                <w:rPr>
                  <w:color w:val="000000"/>
                  <w:szCs w:val="24"/>
                  <w:lang w:eastAsia="lt-LT" w:bidi="en-US"/>
                </w:rPr>
                <w:t>).</w:t>
              </w:r>
            </w:p>
          </w:sdtContent>
        </w:sdt>
        <w:sdt>
          <w:sdtPr>
            <w:alias w:val="7 p."/>
            <w:tag w:val="part_46ae1d828ed74b4dad94f64b9e5bb55c"/>
            <w:lock w:val="sdtLocked"/>
            <w:richText/>
          </w:sdtPr>
          <w:sdtContent>
            <w:p>
              <w:pPr>
                <w:ind w:firstLine="567"/>
                <w:jc w:val="both"/>
                <w:rPr>
                  <w:rFonts w:eastAsia="Andale Sans UI" w:cs="Tahoma"/>
                  <w:szCs w:val="24"/>
                  <w:lang w:bidi="en-US"/>
                </w:rPr>
              </w:pPr>
              <w:sdt>
                <w:sdtPr>
                  <w:alias w:val="Numeris"/>
                  <w:tag w:val="nr_46ae1d828ed74b4dad94f64b9e5bb55c"/>
                  <w:lock w:val="sdtLocked"/>
                  <w:richText/>
                </w:sdtPr>
                <w:sdtContent>
                  <w:r>
                    <w:rPr>
                      <w:rFonts w:eastAsia="Andale Sans UI"/>
                      <w:b/>
                      <w:bCs/>
                      <w:szCs w:val="24"/>
                      <w:lang w:bidi="en-US"/>
                    </w:rPr>
                    <w:t>7</w:t>
                  </w:r>
                </w:sdtContent>
              </w:sdt>
              <w:r>
                <w:rPr>
                  <w:rFonts w:eastAsia="Andale Sans UI"/>
                  <w:b/>
                  <w:bCs/>
                  <w:szCs w:val="24"/>
                  <w:lang w:bidi="en-US"/>
                </w:rPr>
                <w:t>. Notifikavimas</w:t>
              </w:r>
              <w:r>
                <w:rPr>
                  <w:rFonts w:eastAsia="Andale Sans UI"/>
                  <w:b/>
                  <w:bCs/>
                  <w:szCs w:val="24"/>
                  <w:vertAlign w:val="superscript"/>
                  <w:lang w:bidi="en-US"/>
                </w:rPr>
                <w:footnoteReference w:id="8"/>
              </w:r>
              <w:r>
                <w:rPr>
                  <w:rFonts w:eastAsia="Andale Sans UI"/>
                  <w:b/>
                  <w:bCs/>
                  <w:szCs w:val="24"/>
                  <w:lang w:bidi="en-US"/>
                </w:rPr>
                <w:t xml:space="preserve"> Europos Komisijai </w:t>
              </w:r>
              <w:r>
                <w:rPr>
                  <w:szCs w:val="24"/>
                  <w:lang w:eastAsia="lt-LT" w:bidi="en-US"/>
                </w:rPr>
                <w:t>(pažymimas tinkamas variantas)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Projektas nenotifikuotinas Europos Komisijai.</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Projektas notifikuotinas Europos Komisijai (</w:t>
              </w:r>
              <w:r>
                <w:rPr>
                  <w:rFonts w:eastAsia="Andale Sans UI"/>
                  <w:i/>
                  <w:iCs/>
                  <w:szCs w:val="24"/>
                  <w:lang w:bidi="en-US"/>
                </w:rPr>
                <w:t>nurodoma data</w:t>
              </w:r>
              <w:r>
                <w:rPr>
                  <w:rFonts w:eastAsia="Andale Sans UI"/>
                  <w:szCs w:val="24"/>
                  <w:lang w:bidi="en-US"/>
                </w:rPr>
                <w:t>).</w:t>
              </w:r>
            </w:p>
          </w:sdtContent>
        </w:sdt>
        <w:sdt>
          <w:sdtPr>
            <w:alias w:val="8 p."/>
            <w:tag w:val="part_1a1da1d0c4d14290ad493ad60924b945"/>
            <w:lock w:val="sdtLocked"/>
            <w:richText/>
          </w:sdtPr>
          <w:sdtContent>
            <w:p>
              <w:pPr>
                <w:ind w:firstLine="567"/>
                <w:jc w:val="both"/>
                <w:rPr>
                  <w:rFonts w:eastAsia="Andale Sans UI" w:cs="Tahoma"/>
                  <w:color w:val="000000"/>
                  <w:szCs w:val="24"/>
                  <w:lang w:bidi="en-US"/>
                </w:rPr>
              </w:pPr>
              <w:sdt>
                <w:sdtPr>
                  <w:alias w:val="Numeris"/>
                  <w:tag w:val="nr_1a1da1d0c4d14290ad493ad60924b945"/>
                  <w:lock w:val="sdtLocked"/>
                  <w:richText/>
                </w:sdtPr>
                <w:sdtContent>
                  <w:r>
                    <w:rPr>
                      <w:rFonts w:eastAsia="Andale Sans UI"/>
                      <w:b/>
                      <w:bCs/>
                      <w:szCs w:val="24"/>
                      <w:lang w:bidi="en-US"/>
                    </w:rPr>
                    <w:t>8</w:t>
                  </w:r>
                </w:sdtContent>
              </w:sdt>
              <w:r>
                <w:rPr>
                  <w:rFonts w:eastAsia="Andale Sans UI"/>
                  <w:b/>
                  <w:bCs/>
                  <w:szCs w:val="24"/>
                  <w:lang w:bidi="en-US"/>
                </w:rPr>
                <w:t>.</w:t>
              </w:r>
              <w:r>
                <w:rPr>
                  <w:rFonts w:eastAsia="Andale Sans UI"/>
                  <w:szCs w:val="24"/>
                  <w:lang w:bidi="en-US"/>
                </w:rPr>
                <w:t xml:space="preserve"> </w:t>
              </w:r>
              <w:r>
                <w:rPr>
                  <w:b/>
                  <w:bCs/>
                  <w:color w:val="000000"/>
                  <w:szCs w:val="24"/>
                  <w:lang w:eastAsia="lt-LT" w:bidi="en-US"/>
                </w:rPr>
                <w:t>Pranešimo Europos Komisijai teikimas</w:t>
              </w:r>
              <w:r>
                <w:rPr>
                  <w:b/>
                  <w:bCs/>
                  <w:color w:val="000000"/>
                  <w:szCs w:val="24"/>
                  <w:vertAlign w:val="superscript"/>
                  <w:lang w:eastAsia="lt-LT" w:bidi="en-US"/>
                </w:rPr>
                <w:footnoteReference w:id="9"/>
              </w:r>
              <w:r>
                <w:rPr>
                  <w:color w:val="000000"/>
                  <w:szCs w:val="24"/>
                  <w:lang w:eastAsia="lt-LT" w:bidi="en-US"/>
                </w:rPr>
                <w:t xml:space="preserve"> (</w:t>
              </w:r>
              <w:r>
                <w:rPr>
                  <w:szCs w:val="24"/>
                  <w:lang w:eastAsia="lt-LT" w:bidi="en-US"/>
                </w:rPr>
                <w:t>pažymimas tinkamas variantas)</w:t>
              </w:r>
            </w:p>
            <w:p>
              <w:pPr>
                <w:ind w:firstLine="567"/>
                <w:jc w:val="both"/>
                <w:rPr>
                  <w:color w:val="000000"/>
                  <w:szCs w:val="24"/>
                  <w:lang w:eastAsia="lt-LT" w:bidi="en-US"/>
                </w:rPr>
              </w:pPr>
              <w:r>
                <w:rPr>
                  <w:rFonts w:ascii="MS Gothic" w:eastAsia="MS Gothic" w:hAnsi="MS Gothic"/>
                  <w:szCs w:val="24"/>
                  <w:lang w:bidi="en-US"/>
                </w:rPr>
                <w:t>☒</w:t>
              </w:r>
              <w:r>
                <w:rPr>
                  <w:rFonts w:eastAsia="Andale Sans UI"/>
                  <w:szCs w:val="24"/>
                  <w:lang w:bidi="en-US"/>
                </w:rPr>
                <w:t xml:space="preserve"> P</w:t>
              </w:r>
              <w:r>
                <w:rPr>
                  <w:color w:val="000000"/>
                  <w:szCs w:val="24"/>
                  <w:lang w:eastAsia="lt-LT" w:bidi="en-US"/>
                </w:rPr>
                <w:t>ranešimas Europos Komisijai teiktinas.</w:t>
              </w:r>
            </w:p>
            <w:p>
              <w:pPr>
                <w:ind w:firstLine="567"/>
                <w:jc w:val="both"/>
                <w:rPr>
                  <w:rFonts w:eastAsia="Andale Sans UI" w:cs="Tahoma"/>
                  <w:szCs w:val="24"/>
                  <w:lang w:bidi="en-US"/>
                </w:rPr>
              </w:pPr>
              <w:r>
                <w:rPr>
                  <w:rFonts w:ascii="MS Gothic" w:eastAsia="MS Gothic" w:hAnsi="MS Gothic"/>
                  <w:szCs w:val="24"/>
                  <w:lang w:bidi="en-US"/>
                </w:rPr>
                <w:t>☐</w:t>
              </w:r>
              <w:r>
                <w:rPr>
                  <w:rFonts w:eastAsia="Andale Sans UI"/>
                  <w:szCs w:val="24"/>
                  <w:lang w:bidi="en-US"/>
                </w:rPr>
                <w:t xml:space="preserve"> P</w:t>
              </w:r>
              <w:r>
                <w:rPr>
                  <w:color w:val="000000"/>
                  <w:szCs w:val="24"/>
                  <w:lang w:eastAsia="lt-LT" w:bidi="en-US"/>
                </w:rPr>
                <w:t>ranešimas Europos Komisijai neteiktinas.</w:t>
              </w:r>
            </w:p>
          </w:sdtContent>
        </w:sdt>
        <w:sdt>
          <w:sdtPr>
            <w:alias w:val="9 p."/>
            <w:tag w:val="part_0ed636ab8d8549eca7cdfb8655d3a55a"/>
            <w:lock w:val="sdtLocked"/>
            <w:richText/>
          </w:sdtPr>
          <w:sdtContent>
            <w:p>
              <w:pPr>
                <w:ind w:firstLine="567"/>
                <w:jc w:val="both"/>
                <w:rPr>
                  <w:rFonts w:eastAsia="Andale Sans UI"/>
                  <w:b/>
                  <w:bCs/>
                  <w:szCs w:val="24"/>
                  <w:lang w:bidi="en-US"/>
                </w:rPr>
              </w:pPr>
              <w:sdt>
                <w:sdtPr>
                  <w:alias w:val="Numeris"/>
                  <w:tag w:val="nr_0ed636ab8d8549eca7cdfb8655d3a55a"/>
                  <w:lock w:val="sdtLocked"/>
                  <w:richText/>
                </w:sdtPr>
                <w:sdtContent>
                  <w:r>
                    <w:rPr>
                      <w:rFonts w:eastAsia="Andale Sans UI"/>
                      <w:b/>
                      <w:bCs/>
                      <w:szCs w:val="24"/>
                      <w:lang w:bidi="en-US"/>
                    </w:rPr>
                    <w:t>9</w:t>
                  </w:r>
                </w:sdtContent>
              </w:sdt>
              <w:r>
                <w:rPr>
                  <w:rFonts w:eastAsia="Andale Sans UI"/>
                  <w:b/>
                  <w:bCs/>
                  <w:szCs w:val="24"/>
                  <w:lang w:bidi="en-US"/>
                </w:rPr>
                <w:t xml:space="preserve">. Teisės aktai, kuriuos reikės priimti, pakeisti arba pripažinti netekusiais galios </w:t>
              </w:r>
              <w:r>
                <w:rPr>
                  <w:color w:val="000000"/>
                  <w:szCs w:val="24"/>
                  <w:lang w:eastAsia="lt-LT" w:bidi="en-US"/>
                </w:rPr>
                <w:t>(</w:t>
              </w:r>
              <w:r>
                <w:rPr>
                  <w:szCs w:val="24"/>
                  <w:lang w:eastAsia="lt-LT" w:bidi="en-US"/>
                </w:rPr>
                <w:t>pažymimas tinkamas variantas)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Projektui įtraukti į teisės sistemą kitų teisės aktų priimti nereikės.</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Projektui įtraukti į teisės sistemą reikės priimti šiuos teisės aktus: (</w:t>
              </w:r>
              <w:r>
                <w:rPr>
                  <w:rFonts w:eastAsia="Andale Sans UI"/>
                  <w:i/>
                  <w:szCs w:val="24"/>
                  <w:lang w:bidi="en-US"/>
                </w:rPr>
                <w:t>išvardijama</w:t>
              </w:r>
              <w:r>
                <w:rPr>
                  <w:rFonts w:eastAsia="Andale Sans UI"/>
                  <w:szCs w:val="24"/>
                  <w:lang w:bidi="en-US"/>
                </w:rPr>
                <w:t>)</w:t>
              </w:r>
              <w:r>
                <w:rPr>
                  <w:rFonts w:eastAsia="Andale Sans UI"/>
                  <w:i/>
                  <w:szCs w:val="24"/>
                  <w:lang w:bidi="en-US"/>
                </w:rPr>
                <w:t>.</w:t>
              </w:r>
            </w:p>
          </w:sdtContent>
        </w:sdt>
        <w:sdt>
          <w:sdtPr>
            <w:alias w:val="10 p."/>
            <w:tag w:val="part_439966acd6594a1aaf4bdd3b7d4391cf"/>
            <w:lock w:val="sdtLocked"/>
            <w:richText/>
          </w:sdtPr>
          <w:sdtContent>
            <w:p>
              <w:pPr>
                <w:ind w:firstLine="567"/>
                <w:jc w:val="both"/>
                <w:rPr>
                  <w:rFonts w:eastAsia="Andale Sans UI"/>
                  <w:b/>
                  <w:bCs/>
                  <w:szCs w:val="24"/>
                  <w:lang w:bidi="en-US"/>
                </w:rPr>
              </w:pPr>
              <w:sdt>
                <w:sdtPr>
                  <w:alias w:val="Numeris"/>
                  <w:tag w:val="nr_439966acd6594a1aaf4bdd3b7d4391cf"/>
                  <w:lock w:val="sdtLocked"/>
                  <w:richText/>
                </w:sdtPr>
                <w:sdtContent>
                  <w:r>
                    <w:rPr>
                      <w:rFonts w:eastAsia="Andale Sans UI"/>
                      <w:b/>
                      <w:bCs/>
                      <w:szCs w:val="24"/>
                      <w:lang w:bidi="en-US"/>
                    </w:rPr>
                    <w:t>10</w:t>
                  </w:r>
                </w:sdtContent>
              </w:sdt>
              <w:r>
                <w:rPr>
                  <w:rFonts w:eastAsia="Andale Sans UI"/>
                  <w:b/>
                  <w:bCs/>
                  <w:szCs w:val="24"/>
                  <w:lang w:bidi="en-US"/>
                </w:rPr>
                <w:t xml:space="preserve">. Informacija apie sąvokų įvertinimą Lietuvos Respublikos terminų banko įstatymo ir jo įgyvendinamųjų teisės aktų nustatyta tvarka </w:t>
              </w:r>
              <w:r>
                <w:rPr>
                  <w:color w:val="000000"/>
                  <w:szCs w:val="24"/>
                  <w:lang w:eastAsia="lt-LT" w:bidi="en-US"/>
                </w:rPr>
                <w:t>(</w:t>
              </w:r>
              <w:r>
                <w:rPr>
                  <w:szCs w:val="24"/>
                  <w:lang w:eastAsia="lt-LT" w:bidi="en-US"/>
                </w:rPr>
                <w:t>pažymimas tinkamas variantas)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Projekte naujų sąvokų nėra.</w:t>
              </w:r>
            </w:p>
            <w:p>
              <w:pPr>
                <w:ind w:firstLine="567"/>
                <w:jc w:val="both"/>
                <w:rPr>
                  <w:rFonts w:eastAsia="Andale Sans UI"/>
                  <w:color w:val="000000"/>
                  <w:szCs w:val="24"/>
                  <w:lang w:bidi="en-US"/>
                </w:rPr>
              </w:pPr>
              <w:r>
                <w:rPr>
                  <w:rFonts w:ascii="MS Gothic" w:eastAsia="MS Gothic" w:hAnsi="MS Gothic"/>
                  <w:szCs w:val="24"/>
                  <w:lang w:bidi="en-US"/>
                </w:rPr>
                <w:t>☐</w:t>
              </w:r>
              <w:r>
                <w:rPr>
                  <w:rFonts w:eastAsia="Andale Sans UI"/>
                  <w:szCs w:val="24"/>
                  <w:lang w:bidi="en-US"/>
                </w:rPr>
                <w:t xml:space="preserve"> P</w:t>
              </w:r>
              <w:r>
                <w:rPr>
                  <w:rFonts w:eastAsia="Andale Sans UI"/>
                  <w:color w:val="000000"/>
                  <w:szCs w:val="24"/>
                  <w:lang w:bidi="en-US"/>
                </w:rPr>
                <w:t>rojekte vartojamos sąvokos aprobuotos Lietuvos Respublikos terminų banko įstatymo ir jo įgyvendinamųjų teisės aktų nustatyta tvarka.</w:t>
              </w:r>
            </w:p>
          </w:sdtContent>
        </w:sdt>
        <w:sdt>
          <w:sdtPr>
            <w:alias w:val="11 p."/>
            <w:tag w:val="part_01f941716def4d04a421b2571e1dabbd"/>
            <w:lock w:val="sdtLocked"/>
            <w:richText/>
          </w:sdtPr>
          <w:sdtContent>
            <w:p>
              <w:pPr>
                <w:ind w:firstLine="567"/>
                <w:jc w:val="both"/>
                <w:rPr>
                  <w:rFonts w:eastAsia="Andale Sans UI"/>
                  <w:b/>
                  <w:bCs/>
                  <w:szCs w:val="24"/>
                  <w:lang w:bidi="en-US"/>
                </w:rPr>
              </w:pPr>
              <w:sdt>
                <w:sdtPr>
                  <w:alias w:val="Numeris"/>
                  <w:tag w:val="nr_01f941716def4d04a421b2571e1dabbd"/>
                  <w:lock w:val="sdtLocked"/>
                  <w:richText/>
                </w:sdtPr>
                <w:sdtContent>
                  <w:r>
                    <w:rPr>
                      <w:rFonts w:eastAsia="Andale Sans UI"/>
                      <w:b/>
                      <w:bCs/>
                      <w:szCs w:val="24"/>
                      <w:lang w:bidi="en-US"/>
                    </w:rPr>
                    <w:t>11</w:t>
                  </w:r>
                </w:sdtContent>
              </w:sdt>
              <w:r>
                <w:rPr>
                  <w:rFonts w:eastAsia="Andale Sans UI"/>
                  <w:b/>
                  <w:bCs/>
                  <w:szCs w:val="24"/>
                  <w:lang w:bidi="en-US"/>
                </w:rPr>
                <w:t>. Kita reikalinga informacija</w:t>
              </w:r>
            </w:p>
            <w:p>
              <w:pPr>
                <w:shd w:val="clear" w:color="auto" w:fill="FFFFFF"/>
                <w:ind w:firstLine="567"/>
                <w:jc w:val="both"/>
                <w:textAlignment w:val="center"/>
                <w:rPr>
                  <w:rFonts w:eastAsia="Andale Sans UI"/>
                  <w:b/>
                  <w:bCs/>
                  <w:szCs w:val="24"/>
                  <w:lang w:bidi="en-US"/>
                </w:rPr>
              </w:pPr>
              <w:r>
                <w:rPr>
                  <w:rFonts w:eastAsia="Andale Sans UI"/>
                  <w:szCs w:val="24"/>
                  <w:lang w:bidi="en-US"/>
                </w:rPr>
                <w:t>P</w:t>
              </w:r>
              <w:r>
                <w:rPr>
                  <w:rFonts w:eastAsia="Andale Sans UI"/>
                  <w:color w:val="000000"/>
                  <w:szCs w:val="24"/>
                  <w:lang w:bidi="en-US"/>
                </w:rPr>
                <w:t>rojekte nereglamentuojamas asmens duomenų naudojimas. 2022–2030 metų plėtros programos valdytojos Lietuvos Respublikos aplinkos ministerijos aplinkos apsaugos ir klimato kaitos valdymo plėtros programos pažangos priemonės Nr. 02-001-06-04-02 „Didinti klimato kaitos politikos veiksmingumą“</w:t>
              </w:r>
              <w:r>
                <w:rPr>
                  <w:rFonts w:eastAsia="Andale Sans UI"/>
                  <w:b/>
                  <w:bCs/>
                  <w:color w:val="000000"/>
                  <w:szCs w:val="24"/>
                  <w:lang w:bidi="en-US"/>
                </w:rPr>
                <w:t> </w:t>
              </w:r>
              <w:r>
                <w:rPr>
                  <w:rFonts w:eastAsia="Andale Sans UI"/>
                  <w:color w:val="000000"/>
                  <w:szCs w:val="24"/>
                  <w:lang w:bidi="en-US"/>
                </w:rPr>
                <w:t>aprašo, patvirtinto Lietuvos Respublikos aplinkos ministro 2022 m. birželio 1 d. įsakymu Nr. D1-160 „Dėl 2022–2030 metų plėtros programos valdytojos Lietuvos Respublikos aplinkos ministerijos aplinkos apsaugos ir klimato kaitos valdymo plėtros programos pažangos priemonės Nr. 02-001-06-04-02 „Didinti klimato kaitos politikos veiksmingumą“</w:t>
              </w:r>
              <w:r>
                <w:rPr>
                  <w:rFonts w:eastAsia="Andale Sans UI"/>
                  <w:b/>
                  <w:bCs/>
                  <w:color w:val="000000"/>
                  <w:szCs w:val="24"/>
                  <w:lang w:bidi="en-US"/>
                </w:rPr>
                <w:t> </w:t>
              </w:r>
              <w:r>
                <w:rPr>
                  <w:rFonts w:eastAsia="Andale Sans UI"/>
                  <w:color w:val="000000"/>
                  <w:szCs w:val="24"/>
                  <w:lang w:bidi="en-US"/>
                </w:rPr>
                <w:t>aprašo patvirtinimo“, 3 priedo projektas derinamas Lietuvos Respublikos Seimo kanceliarijos teisės aktų informacinėje sistemoje (TAIS) Nr. 24-16842.</w:t>
              </w:r>
            </w:p>
          </w:sdtContent>
        </w:sdt>
        <w:sdt>
          <w:sdtPr>
            <w:alias w:val="12 p."/>
            <w:tag w:val="part_d9a160bf98f04a88a7fe1194d808e9e6"/>
            <w:lock w:val="sdtLocked"/>
            <w:richText/>
          </w:sdtPr>
          <w:sdtContent>
            <w:p>
              <w:pPr>
                <w:ind w:firstLine="567"/>
                <w:jc w:val="both"/>
                <w:rPr>
                  <w:rFonts w:eastAsia="Andale Sans UI"/>
                  <w:b/>
                  <w:bCs/>
                  <w:i/>
                  <w:color w:val="000000"/>
                  <w:szCs w:val="24"/>
                  <w:lang w:bidi="en-US"/>
                </w:rPr>
              </w:pPr>
              <w:sdt>
                <w:sdtPr>
                  <w:alias w:val="Numeris"/>
                  <w:tag w:val="nr_d9a160bf98f04a88a7fe1194d808e9e6"/>
                  <w:lock w:val="sdtLocked"/>
                  <w:richText/>
                </w:sdtPr>
                <w:sdtContent>
                  <w:r>
                    <w:rPr>
                      <w:rFonts w:eastAsia="Andale Sans UI"/>
                      <w:b/>
                      <w:bCs/>
                      <w:szCs w:val="24"/>
                      <w:lang w:bidi="en-US"/>
                    </w:rPr>
                    <w:t>12</w:t>
                  </w:r>
                </w:sdtContent>
              </w:sdt>
              <w:r>
                <w:rPr>
                  <w:rFonts w:eastAsia="Andale Sans UI"/>
                  <w:b/>
                  <w:bCs/>
                  <w:szCs w:val="24"/>
                  <w:lang w:bidi="en-US"/>
                </w:rPr>
                <w:t>. Konsultavimasis su visuomene</w:t>
              </w:r>
              <w:r>
                <w:rPr>
                  <w:rFonts w:eastAsia="Andale Sans UI"/>
                  <w:b/>
                  <w:bCs/>
                  <w:szCs w:val="24"/>
                  <w:vertAlign w:val="superscript"/>
                  <w:lang w:bidi="en-US"/>
                </w:rPr>
                <w:footnoteReference w:id="10"/>
              </w:r>
              <w:r>
                <w:rPr>
                  <w:rFonts w:eastAsia="Andale Sans UI"/>
                  <w:b/>
                  <w:bCs/>
                  <w:szCs w:val="24"/>
                  <w:lang w:bidi="en-US"/>
                </w:rPr>
                <w:t xml:space="preserve"> </w:t>
              </w:r>
              <w:r>
                <w:rPr>
                  <w:rFonts w:eastAsia="Andale Sans UI"/>
                  <w:b/>
                  <w:bCs/>
                  <w:color w:val="000000"/>
                  <w:szCs w:val="24"/>
                  <w:lang w:bidi="en-US"/>
                </w:rPr>
                <w:t>interneto svetainėje epilietis.lrv.lt</w:t>
              </w:r>
              <w:r>
                <w:rPr>
                  <w:rFonts w:eastAsia="Andale Sans UI"/>
                  <w:color w:val="000000"/>
                  <w:szCs w:val="24"/>
                  <w:lang w:bidi="en-US"/>
                </w:rPr>
                <w:t xml:space="preserve"> </w:t>
              </w:r>
              <w:r>
                <w:rPr>
                  <w:rFonts w:eastAsia="Andale Sans UI"/>
                  <w:b/>
                  <w:bCs/>
                  <w:i/>
                  <w:color w:val="000000"/>
                  <w:szCs w:val="24"/>
                  <w:lang w:bidi="en-US"/>
                </w:rPr>
                <w:t xml:space="preserve"> </w:t>
              </w:r>
              <w:r>
                <w:rPr>
                  <w:color w:val="000000"/>
                  <w:szCs w:val="24"/>
                  <w:lang w:eastAsia="lt-LT" w:bidi="en-US"/>
                </w:rPr>
                <w:t>(</w:t>
              </w:r>
              <w:r>
                <w:rPr>
                  <w:szCs w:val="24"/>
                  <w:lang w:eastAsia="lt-LT" w:bidi="en-US"/>
                </w:rPr>
                <w:t>pažymimas tinkamas variantas)</w:t>
              </w:r>
            </w:p>
            <w:p>
              <w:pPr>
                <w:ind w:firstLine="567"/>
                <w:jc w:val="both"/>
                <w:rPr>
                  <w:i/>
                  <w:iCs/>
                  <w:color w:val="000000"/>
                  <w:szCs w:val="24"/>
                  <w:lang w:eastAsia="lt-LT" w:bidi="en-US"/>
                </w:rPr>
              </w:pPr>
              <w:r>
                <w:rPr>
                  <w:rFonts w:ascii="Segoe UI Symbol" w:eastAsia="MS Gothic" w:hAnsi="Segoe UI Symbol" w:cs="Segoe UI Symbol"/>
                  <w:szCs w:val="24"/>
                  <w:lang w:bidi="en-US"/>
                </w:rPr>
                <w:t>☐</w:t>
              </w:r>
              <w:r>
                <w:rPr>
                  <w:rFonts w:eastAsia="Andale Sans UI"/>
                  <w:szCs w:val="24"/>
                  <w:lang w:bidi="en-US"/>
                </w:rPr>
                <w:t xml:space="preserve"> P</w:t>
              </w:r>
              <w:r>
                <w:rPr>
                  <w:rFonts w:eastAsia="Andale Sans UI"/>
                  <w:color w:val="000000"/>
                  <w:szCs w:val="24"/>
                  <w:lang w:bidi="en-US"/>
                </w:rPr>
                <w:t>rojektas viešosioms konsultacijoms skelbtas interneto svetainėje epilietis.lrv.lt, kur pastabas ir pasiūlymus nuo 202.. m. ... ... d. iki 202.. m. ... ... d. galėjo teikti visi suinteresuoti asmenys (</w:t>
              </w:r>
              <w:r>
                <w:rPr>
                  <w:rFonts w:eastAsia="Andale Sans UI"/>
                  <w:i/>
                  <w:color w:val="000000"/>
                  <w:szCs w:val="24"/>
                  <w:lang w:bidi="en-US"/>
                </w:rPr>
                <w:t xml:space="preserve">nurodomas </w:t>
              </w:r>
              <w:r>
                <w:rPr>
                  <w:rFonts w:eastAsia="Andale Sans UI"/>
                  <w:i/>
                  <w:szCs w:val="24"/>
                  <w:lang w:bidi="en-US"/>
                </w:rPr>
                <w:t xml:space="preserve">konsultavimosi tikslas (tikslai), būdas (būdai), </w:t>
              </w:r>
              <w:r>
                <w:rPr>
                  <w:i/>
                  <w:iCs/>
                  <w:color w:val="000000"/>
                  <w:szCs w:val="24"/>
                  <w:lang w:eastAsia="lt-LT" w:bidi="en-US"/>
                </w:rPr>
                <w:t>suinteresuoti asmenys, su kuriais konsultuotasi, konsultavimosi trukmė</w:t>
              </w:r>
              <w:r>
                <w:rPr>
                  <w:rFonts w:eastAsia="Andale Sans UI"/>
                  <w:i/>
                  <w:szCs w:val="24"/>
                  <w:lang w:bidi="en-US"/>
                </w:rPr>
                <w:t xml:space="preserve"> ir apibendrinti konsultavimosi rezultatai </w:t>
              </w:r>
              <w:r>
                <w:rPr>
                  <w:rFonts w:eastAsia="Andale Sans UI"/>
                  <w:i/>
                  <w:color w:val="000000"/>
                  <w:szCs w:val="24"/>
                  <w:lang w:bidi="en-US"/>
                </w:rPr>
                <w:t xml:space="preserve">– </w:t>
              </w:r>
              <w:r>
                <w:rPr>
                  <w:rFonts w:eastAsia="Andale Sans UI"/>
                  <w:i/>
                  <w:szCs w:val="24"/>
                  <w:lang w:bidi="en-US"/>
                </w:rPr>
                <w:t>pateikiamos bendros (agreguotos) viešųjų konsultacijų dalyvių nuomonių tendencijos, nurodoma, kaip į konsultavimosi su visuomene rezultatus atsižvelgta Projekte</w:t>
              </w:r>
              <w:r>
                <w:rPr>
                  <w:rFonts w:eastAsia="Andale Sans UI"/>
                  <w:szCs w:val="24"/>
                  <w:lang w:bidi="en-US"/>
                </w:rPr>
                <w:t>)</w:t>
              </w:r>
              <w:r>
                <w:rPr>
                  <w:rFonts w:eastAsia="Andale Sans UI"/>
                  <w:i/>
                  <w:szCs w:val="24"/>
                  <w:lang w:bidi="en-US"/>
                </w:rPr>
                <w:t xml:space="preserve"> </w:t>
              </w:r>
              <w:r>
                <w:rPr>
                  <w:rFonts w:eastAsia="Andale Sans UI"/>
                  <w:szCs w:val="24"/>
                  <w:lang w:bidi="en-US"/>
                </w:rPr>
                <w:t>(</w:t>
              </w:r>
              <w:r>
                <w:rPr>
                  <w:rFonts w:eastAsia="Andale Sans UI"/>
                  <w:b/>
                  <w:bCs/>
                  <w:iCs/>
                  <w:szCs w:val="24"/>
                  <w:lang w:bidi="en-US"/>
                </w:rPr>
                <w:t>arba</w:t>
              </w:r>
              <w:r>
                <w:rPr>
                  <w:rFonts w:eastAsia="Andale Sans UI"/>
                  <w:iCs/>
                  <w:szCs w:val="24"/>
                  <w:lang w:bidi="en-US"/>
                </w:rPr>
                <w:t xml:space="preserve"> </w:t>
              </w:r>
              <w:r>
                <w:rPr>
                  <w:rFonts w:eastAsia="Andale Sans UI"/>
                  <w:szCs w:val="24"/>
                  <w:lang w:bidi="en-US"/>
                </w:rPr>
                <w:t>P</w:t>
              </w:r>
              <w:r>
                <w:rPr>
                  <w:rFonts w:eastAsia="Andale Sans UI"/>
                  <w:color w:val="000000"/>
                  <w:szCs w:val="24"/>
                  <w:lang w:bidi="en-US"/>
                </w:rPr>
                <w:t>rojektas viešosioms konsultacijoms paskelbtas (</w:t>
              </w:r>
              <w:r>
                <w:rPr>
                  <w:rFonts w:eastAsia="Andale Sans UI"/>
                  <w:b/>
                  <w:bCs/>
                  <w:iCs/>
                  <w:color w:val="000000"/>
                  <w:szCs w:val="24"/>
                  <w:lang w:bidi="en-US"/>
                </w:rPr>
                <w:t>arba</w:t>
              </w:r>
              <w:r>
                <w:rPr>
                  <w:rFonts w:eastAsia="Andale Sans UI"/>
                  <w:color w:val="000000"/>
                  <w:szCs w:val="24"/>
                  <w:lang w:bidi="en-US"/>
                </w:rPr>
                <w:t xml:space="preserve"> bus skelbiamas) interneto svetainėje epilietis.lrv.lt, kur pastabas ir pasiūlymus gali teikti (</w:t>
              </w:r>
              <w:r>
                <w:rPr>
                  <w:rFonts w:eastAsia="Andale Sans UI"/>
                  <w:b/>
                  <w:bCs/>
                  <w:iCs/>
                  <w:color w:val="000000"/>
                  <w:szCs w:val="24"/>
                  <w:lang w:bidi="en-US"/>
                </w:rPr>
                <w:t>arba</w:t>
              </w:r>
              <w:r>
                <w:rPr>
                  <w:rFonts w:eastAsia="Andale Sans UI"/>
                  <w:color w:val="000000"/>
                  <w:szCs w:val="24"/>
                  <w:lang w:bidi="en-US"/>
                </w:rPr>
                <w:t xml:space="preserve"> galės teikti) visi suinteresuoti asmenys (</w:t>
              </w:r>
              <w:r>
                <w:rPr>
                  <w:i/>
                  <w:iCs/>
                  <w:color w:val="000000"/>
                  <w:szCs w:val="24"/>
                  <w:lang w:eastAsia="lt-LT" w:bidi="en-US"/>
                </w:rPr>
                <w:t>nurodomas konsultavimosi tikslas (tikslai), būdas (būdai), suinteresuoti asmenys ir konsultavimosi trukmė</w:t>
              </w:r>
              <w:r>
                <w:rPr>
                  <w:iCs/>
                  <w:color w:val="000000"/>
                  <w:szCs w:val="24"/>
                  <w:lang w:eastAsia="lt-LT" w:bidi="en-US"/>
                </w:rPr>
                <w:t>)</w:t>
              </w:r>
              <w:r>
                <w:rPr>
                  <w:i/>
                  <w:iCs/>
                  <w:color w:val="000000"/>
                  <w:szCs w:val="24"/>
                  <w:lang w:eastAsia="lt-LT" w:bidi="en-US"/>
                </w:rPr>
                <w:t xml:space="preserve">. </w:t>
              </w:r>
            </w:p>
            <w:p>
              <w:pPr>
                <w:ind w:firstLine="567"/>
                <w:jc w:val="both"/>
                <w:rPr>
                  <w:color w:val="000000"/>
                  <w:szCs w:val="24"/>
                  <w:lang w:eastAsia="lt-LT" w:bidi="en-US"/>
                </w:rPr>
              </w:pPr>
              <w:r>
                <w:rPr>
                  <w:rFonts w:ascii="MS Gothic" w:eastAsia="MS Gothic" w:hAnsi="MS Gothic"/>
                  <w:szCs w:val="24"/>
                  <w:lang w:bidi="en-US"/>
                </w:rPr>
                <w:t>☒</w:t>
              </w:r>
              <w:r>
                <w:rPr>
                  <w:rFonts w:eastAsia="Andale Sans UI"/>
                  <w:szCs w:val="24"/>
                  <w:lang w:bidi="en-US"/>
                </w:rPr>
                <w:t xml:space="preserve"> P</w:t>
              </w:r>
              <w:r>
                <w:rPr>
                  <w:rFonts w:eastAsia="Andale Sans UI"/>
                  <w:color w:val="000000"/>
                  <w:szCs w:val="24"/>
                  <w:lang w:bidi="en-US"/>
                </w:rPr>
                <w:t xml:space="preserve">rojekto skelbti viešosioms konsultacijoms interneto svetainėje epilietis.lrv.lt </w:t>
              </w:r>
              <w:r>
                <w:rPr>
                  <w:color w:val="000000"/>
                  <w:szCs w:val="24"/>
                  <w:lang w:eastAsia="lt-LT" w:bidi="en-US"/>
                </w:rPr>
                <w:t>neplanuojama.</w:t>
              </w:r>
            </w:p>
          </w:sdtContent>
        </w:sdt>
        <w:sdt>
          <w:sdtPr>
            <w:alias w:val="13 p."/>
            <w:tag w:val="part_b6c2261b634a4fbeaf6e020c1ec023ae"/>
            <w:lock w:val="sdtLocked"/>
            <w:richText/>
          </w:sdtPr>
          <w:sdtContent>
            <w:p>
              <w:pPr>
                <w:ind w:firstLine="567"/>
                <w:jc w:val="both"/>
                <w:rPr>
                  <w:rFonts w:eastAsia="Andale Sans UI"/>
                  <w:b/>
                  <w:bCs/>
                  <w:szCs w:val="24"/>
                  <w:lang w:bidi="en-US"/>
                </w:rPr>
              </w:pPr>
              <w:sdt>
                <w:sdtPr>
                  <w:alias w:val="Numeris"/>
                  <w:tag w:val="nr_b6c2261b634a4fbeaf6e020c1ec023ae"/>
                  <w:lock w:val="sdtLocked"/>
                  <w:richText/>
                </w:sdtPr>
                <w:sdtContent>
                  <w:r>
                    <w:rPr>
                      <w:rFonts w:eastAsia="Andale Sans UI"/>
                      <w:b/>
                      <w:bCs/>
                      <w:szCs w:val="24"/>
                      <w:lang w:bidi="en-US"/>
                    </w:rPr>
                    <w:t>13</w:t>
                  </w:r>
                </w:sdtContent>
              </w:sdt>
              <w:r>
                <w:rPr>
                  <w:rFonts w:eastAsia="Andale Sans UI"/>
                  <w:b/>
                  <w:bCs/>
                  <w:szCs w:val="24"/>
                  <w:lang w:bidi="en-US"/>
                </w:rPr>
                <w:t>. Derinimas su suinteresuotomis institucijomis ir suinteresuotais asmenimis</w:t>
              </w:r>
            </w:p>
            <w:p>
              <w:pPr>
                <w:ind w:firstLine="567"/>
                <w:jc w:val="both"/>
                <w:rPr>
                  <w:rFonts w:eastAsia="Andale Sans UI"/>
                  <w:szCs w:val="24"/>
                  <w:lang w:bidi="en-US"/>
                </w:rPr>
              </w:pPr>
              <w:r>
                <w:rPr>
                  <w:rFonts w:eastAsia="Andale Sans UI"/>
                  <w:szCs w:val="24"/>
                  <w:lang w:bidi="en-US"/>
                </w:rPr>
                <w:t>Projektas skelbiamas Lietuvos Respublikos Seimo kanceliarijos teisės aktų informacinėje sistemoje (TAIS).</w:t>
              </w:r>
            </w:p>
            <w:p>
              <w:pPr>
                <w:ind w:firstLine="567"/>
                <w:jc w:val="both"/>
                <w:rPr>
                  <w:rFonts w:eastAsia="Andale Sans UI"/>
                  <w:szCs w:val="24"/>
                  <w:lang w:bidi="en-US"/>
                </w:rPr>
              </w:pPr>
              <w:r>
                <w:rPr>
                  <w:rFonts w:eastAsia="Andale Sans UI"/>
                  <w:szCs w:val="24"/>
                  <w:lang w:bidi="en-US"/>
                </w:rPr>
                <w:t xml:space="preserve">Derinimo terminas </w:t>
              </w:r>
              <w:r>
                <w:rPr>
                  <w:color w:val="000000"/>
                  <w:szCs w:val="24"/>
                  <w:lang w:eastAsia="lt-LT" w:bidi="en-US"/>
                </w:rPr>
                <w:t>(</w:t>
              </w:r>
              <w:r>
                <w:rPr>
                  <w:szCs w:val="24"/>
                  <w:lang w:eastAsia="lt-LT" w:bidi="en-US"/>
                </w:rPr>
                <w:t>pažymimas tinkamas variantas)</w:t>
              </w:r>
              <w:r>
                <w:rPr>
                  <w:rFonts w:eastAsia="Andale Sans UI"/>
                  <w:szCs w:val="24"/>
                  <w:lang w:bidi="en-US"/>
                </w:rPr>
                <w:t>:</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12 darbo dienų (</w:t>
              </w:r>
              <w:r>
                <w:rPr>
                  <w:rFonts w:eastAsia="Andale Sans UI"/>
                  <w:i/>
                  <w:iCs/>
                  <w:szCs w:val="24"/>
                  <w:lang w:bidi="en-US"/>
                </w:rPr>
                <w:t>įrašomas ne trumpesnis nei 10 darbo dienų derinimo terminas arba ne trumpesnis nei 12 darbo dienų derinimo terminas, k</w:t>
              </w:r>
              <w:r>
                <w:rPr>
                  <w:rFonts w:eastAsia="Andale Sans UI"/>
                  <w:i/>
                  <w:iCs/>
                  <w:color w:val="000000"/>
                  <w:szCs w:val="24"/>
                  <w:lang w:bidi="en-US"/>
                </w:rPr>
                <w:t>ai pateikiami dideli (10 ar daugiau puslapių) ir (ar) </w:t>
              </w:r>
              <w:r>
                <w:rPr>
                  <w:rFonts w:eastAsia="Andale Sans UI"/>
                  <w:i/>
                  <w:iCs/>
                  <w:color w:val="000000"/>
                  <w:spacing w:val="-2"/>
                  <w:szCs w:val="24"/>
                  <w:lang w:bidi="en-US"/>
                </w:rPr>
                <w:t>sudėtingi Projektai (nustatantys naują teisinį reguliavimą ar iš esmės jį keičiantys</w:t>
              </w:r>
              <w:r>
                <w:rPr>
                  <w:rFonts w:eastAsia="Andale Sans UI"/>
                  <w:color w:val="000000"/>
                  <w:spacing w:val="-2"/>
                  <w:szCs w:val="24"/>
                  <w:lang w:bidi="en-US"/>
                </w:rPr>
                <w:t>)</w:t>
              </w:r>
              <w:r>
                <w:rPr>
                  <w:rFonts w:eastAsia="Andale Sans UI"/>
                  <w:szCs w:val="24"/>
                  <w:lang w:bidi="en-US"/>
                </w:rPr>
                <w:t>.</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5 darbo dienos (</w:t>
              </w:r>
              <w:r>
                <w:rPr>
                  <w:rFonts w:eastAsia="Calibri" w:cs="Tahoma"/>
                  <w:i/>
                  <w:iCs/>
                  <w:kern w:val="2"/>
                  <w:szCs w:val="24"/>
                  <w:lang w:bidi="en-US"/>
                </w:rPr>
                <w:t xml:space="preserve">jeigu dėl nenumatytų aplinkybių Projektas turi būti priimtas nedelsiant, surašomas motyvuotas prašymas suinteresuotų institucijų pateikti išvadas, o suinteresuotų asmenų – pastabas ir pasiūlymus </w:t>
              </w:r>
              <w:r>
                <w:rPr>
                  <w:rFonts w:eastAsia="Andale Sans UI"/>
                  <w:i/>
                  <w:iCs/>
                  <w:color w:val="000000"/>
                  <w:szCs w:val="24"/>
                  <w:lang w:bidi="en-US"/>
                </w:rPr>
                <w:t xml:space="preserve">dėl Projekto skubos tvarka </w:t>
              </w:r>
              <w:r>
                <w:rPr>
                  <w:rFonts w:eastAsia="Calibri" w:cs="Tahoma"/>
                  <w:i/>
                  <w:iCs/>
                  <w:kern w:val="2"/>
                  <w:szCs w:val="24"/>
                  <w:lang w:eastAsia="lt-LT" w:bidi="en-US"/>
                </w:rPr>
                <w:t>Ministrų, Vyriausybės įstaigų, įstaigų prie ministerijų ir kitų Vyriausybei pavaldžių ir atskaitingų viešojo administravimo subjektų norminių teisės aktų projektų rengimo taisyklių</w:t>
              </w:r>
              <w:r>
                <w:rPr>
                  <w:rFonts w:eastAsia="Andale Sans UI"/>
                  <w:i/>
                  <w:iCs/>
                  <w:szCs w:val="24"/>
                  <w:vertAlign w:val="superscript"/>
                  <w:lang w:bidi="en-US"/>
                </w:rPr>
                <w:footnoteReference w:id="11"/>
              </w:r>
              <w:r>
                <w:rPr>
                  <w:rFonts w:eastAsia="Andale Sans UI"/>
                  <w:i/>
                  <w:iCs/>
                  <w:szCs w:val="24"/>
                  <w:lang w:bidi="en-US"/>
                </w:rPr>
                <w:t xml:space="preserve"> 19 punkte išvardytais išimtiniais atvejais</w:t>
              </w:r>
              <w:r>
                <w:rPr>
                  <w:rFonts w:eastAsia="Andale Sans UI"/>
                  <w:szCs w:val="24"/>
                  <w:lang w:bidi="en-US"/>
                </w:rPr>
                <w:t>)</w:t>
              </w:r>
              <w:r>
                <w:rPr>
                  <w:rFonts w:eastAsia="Andale Sans UI"/>
                  <w:i/>
                  <w:iCs/>
                  <w:szCs w:val="24"/>
                  <w:lang w:bidi="en-US"/>
                </w:rPr>
                <w:t>.</w:t>
              </w:r>
            </w:p>
          </w:sdtContent>
        </w:sdt>
        <w:sdt>
          <w:sdtPr>
            <w:alias w:val="14 p."/>
            <w:tag w:val="part_b705f3b5f0ac4d3eb0da7834c6c073f7"/>
            <w:lock w:val="sdtLocked"/>
            <w:richText/>
          </w:sdtPr>
          <w:sdtContent>
            <w:p>
              <w:pPr>
                <w:ind w:firstLine="567"/>
                <w:jc w:val="both"/>
                <w:rPr>
                  <w:rFonts w:eastAsia="Andale Sans UI"/>
                  <w:b/>
                  <w:bCs/>
                  <w:szCs w:val="24"/>
                  <w:lang w:bidi="en-US"/>
                </w:rPr>
              </w:pPr>
              <w:sdt>
                <w:sdtPr>
                  <w:alias w:val="Numeris"/>
                  <w:tag w:val="nr_b705f3b5f0ac4d3eb0da7834c6c073f7"/>
                  <w:lock w:val="sdtLocked"/>
                  <w:richText/>
                </w:sdtPr>
                <w:sdtContent>
                  <w:r>
                    <w:rPr>
                      <w:rFonts w:eastAsia="Andale Sans UI"/>
                      <w:b/>
                      <w:bCs/>
                      <w:szCs w:val="24"/>
                      <w:lang w:bidi="en-US"/>
                    </w:rPr>
                    <w:t>14</w:t>
                  </w:r>
                </w:sdtContent>
              </w:sdt>
              <w:r>
                <w:rPr>
                  <w:rFonts w:eastAsia="Andale Sans UI"/>
                  <w:b/>
                  <w:bCs/>
                  <w:szCs w:val="24"/>
                  <w:lang w:bidi="en-US"/>
                </w:rPr>
                <w:t>. Projekto rengėjai</w:t>
              </w:r>
            </w:p>
            <w:p>
              <w:pPr>
                <w:ind w:firstLine="567"/>
                <w:jc w:val="both"/>
                <w:rPr>
                  <w:rFonts w:eastAsia="Andale Sans UI"/>
                  <w:szCs w:val="24"/>
                  <w:lang w:bidi="en-US"/>
                </w:rPr>
              </w:pPr>
              <w:r>
                <w:rPr>
                  <w:rFonts w:eastAsia="Andale Sans UI"/>
                  <w:szCs w:val="24"/>
                  <w:lang w:bidi="en-US"/>
                </w:rPr>
                <w:t xml:space="preserve">Projektą parengė Aplinkos ministerijos Klimato politikos grupės (vadovė – </w:t>
              </w:r>
              <w:r>
                <w:rPr>
                  <w:rFonts w:eastAsia="Andale Sans UI"/>
                  <w:iCs/>
                  <w:szCs w:val="24"/>
                  <w:lang w:bidi="en-US"/>
                </w:rPr>
                <w:t>Vilija Augutavičienė</w:t>
              </w:r>
              <w:r>
                <w:rPr>
                  <w:rFonts w:eastAsia="Andale Sans UI"/>
                  <w:szCs w:val="24"/>
                  <w:lang w:bidi="en-US"/>
                </w:rPr>
                <w:t xml:space="preserve">, </w:t>
              </w:r>
              <w:r>
                <w:rPr>
                  <w:rFonts w:eastAsia="Andale Sans UI"/>
                  <w:iCs/>
                  <w:szCs w:val="24"/>
                  <w:lang w:bidi="en-US"/>
                </w:rPr>
                <w:t>tel. 8 686 17 484,</w:t>
              </w:r>
              <w:r>
                <w:rPr>
                  <w:rFonts w:eastAsia="Andale Sans UI"/>
                  <w:szCs w:val="24"/>
                  <w:lang w:bidi="en-US"/>
                </w:rPr>
                <w:t xml:space="preserve"> </w:t>
              </w:r>
              <w:r>
                <w:rPr>
                  <w:rFonts w:eastAsia="Andale Sans UI"/>
                  <w:color w:val="000080"/>
                  <w:szCs w:val="24"/>
                  <w:u w:val="single"/>
                  <w:lang w:bidi="en-US"/>
                </w:rPr>
                <w:t>vilija.augutaviciene@am.lt</w:t>
              </w:r>
              <w:r>
                <w:rPr>
                  <w:rFonts w:eastAsia="Andale Sans UI"/>
                  <w:szCs w:val="24"/>
                  <w:lang w:bidi="en-US"/>
                </w:rPr>
                <w:t xml:space="preserve">) patarėja Lina Čeičytė (tel. 8 682 23 663, </w:t>
              </w:r>
              <w:r>
                <w:rPr>
                  <w:rFonts w:eastAsia="Andale Sans UI"/>
                  <w:color w:val="000080"/>
                  <w:szCs w:val="24"/>
                  <w:u w:val="single"/>
                  <w:lang w:bidi="en-US"/>
                </w:rPr>
                <w:t>lina.ceicyte@am.lt)</w:t>
              </w:r>
              <w:r>
                <w:rPr>
                  <w:rFonts w:eastAsia="Andale Sans UI"/>
                  <w:szCs w:val="24"/>
                  <w:lang w:bidi="en-US"/>
                </w:rPr>
                <w:t>.</w:t>
              </w:r>
            </w:p>
            <w:p>
              <w:pPr>
                <w:ind w:firstLine="567"/>
                <w:jc w:val="both"/>
                <w:rPr>
                  <w:rFonts w:eastAsia="Andale Sans UI"/>
                  <w:szCs w:val="24"/>
                  <w:lang w:bidi="en-US"/>
                </w:rPr>
              </w:pPr>
              <w:r>
                <w:rPr>
                  <w:rFonts w:eastAsia="Andale Sans UI"/>
                  <w:szCs w:val="24"/>
                  <w:lang w:bidi="en-US"/>
                </w:rPr>
                <w:t>PRIDEDAMA:</w:t>
              </w:r>
            </w:p>
          </w:sdtContent>
        </w:sdt>
        <w:sdt>
          <w:sdtPr>
            <w:alias w:val="1 p."/>
            <w:tag w:val="part_27755ee3b1dc4b828f3793023417341b"/>
            <w:lock w:val="sdtLocked"/>
            <w:richText/>
          </w:sdtPr>
          <w:sdtContent>
            <w:p>
              <w:pPr>
                <w:ind w:firstLine="567"/>
                <w:jc w:val="both"/>
                <w:rPr>
                  <w:color w:val="000000"/>
                  <w:szCs w:val="24"/>
                  <w:lang w:eastAsia="lt-LT" w:bidi="en-US"/>
                </w:rPr>
              </w:pPr>
              <w:sdt>
                <w:sdtPr>
                  <w:alias w:val="Numeris"/>
                  <w:tag w:val="nr_27755ee3b1dc4b828f3793023417341b"/>
                  <w:lock w:val="sdtLocked"/>
                  <w:richText/>
                </w:sdtPr>
                <w:sdtContent>
                  <w:r>
                    <w:rPr>
                      <w:color w:val="000000"/>
                      <w:szCs w:val="24"/>
                      <w:lang w:eastAsia="lt-LT" w:bidi="en-US"/>
                    </w:rPr>
                    <w:t>1</w:t>
                  </w:r>
                </w:sdtContent>
              </w:sdt>
              <w:r>
                <w:rPr>
                  <w:color w:val="000000"/>
                  <w:szCs w:val="24"/>
                  <w:lang w:eastAsia="lt-LT" w:bidi="en-US"/>
                </w:rPr>
                <w:t xml:space="preserve">. Įsakymo projektas,  1 lapas.</w:t>
              </w:r>
            </w:p>
          </w:sdtContent>
        </w:sdt>
        <w:sdt>
          <w:sdtPr>
            <w:alias w:val="2 p."/>
            <w:tag w:val="part_82043a7bce3d4affbb07c81e04a26be2"/>
            <w:lock w:val="sdtLocked"/>
            <w:richText/>
          </w:sdtPr>
          <w:sdtContent>
            <w:p>
              <w:pPr>
                <w:ind w:firstLine="567"/>
                <w:jc w:val="both"/>
                <w:rPr>
                  <w:color w:val="000000"/>
                  <w:szCs w:val="24"/>
                  <w:lang w:eastAsia="lt-LT" w:bidi="en-US"/>
                </w:rPr>
              </w:pPr>
              <w:sdt>
                <w:sdtPr>
                  <w:alias w:val="Numeris"/>
                  <w:tag w:val="nr_82043a7bce3d4affbb07c81e04a26be2"/>
                  <w:lock w:val="sdtLocked"/>
                  <w:richText/>
                </w:sdtPr>
                <w:sdtContent>
                  <w:r>
                    <w:rPr>
                      <w:color w:val="000000"/>
                      <w:szCs w:val="24"/>
                      <w:lang w:eastAsia="lt-LT" w:bidi="en-US"/>
                    </w:rPr>
                    <w:t>2</w:t>
                  </w:r>
                </w:sdtContent>
              </w:sdt>
              <w:r>
                <w:rPr>
                  <w:color w:val="000000"/>
                  <w:szCs w:val="24"/>
                  <w:lang w:eastAsia="lt-LT" w:bidi="en-US"/>
                </w:rPr>
                <w:t xml:space="preserve">. </w:t>
              </w:r>
              <w:r>
                <w:rPr>
                  <w:rFonts w:eastAsia="Andale Sans UI"/>
                  <w:szCs w:val="24"/>
                  <w:lang w:bidi="en-US"/>
                </w:rPr>
                <w:t>Projektų finansavimo sąlygų aprašo projektas</w:t>
              </w:r>
              <w:r>
                <w:rPr>
                  <w:color w:val="000000"/>
                  <w:szCs w:val="24"/>
                  <w:lang w:eastAsia="lt-LT" w:bidi="en-US"/>
                </w:rPr>
                <w:t>, 14 lapų.</w:t>
              </w:r>
            </w:p>
          </w:sdtContent>
        </w:sdt>
        <w:sdt>
          <w:sdtPr>
            <w:alias w:val="3 p."/>
            <w:tag w:val="part_3feeae66401240dd9625841e359540bc"/>
            <w:lock w:val="sdtLocked"/>
            <w:richText/>
          </w:sdtPr>
          <w:sdtContent>
            <w:p>
              <w:pPr>
                <w:ind w:firstLine="567"/>
                <w:jc w:val="both"/>
                <w:rPr>
                  <w:color w:val="000000"/>
                  <w:szCs w:val="24"/>
                  <w:lang w:eastAsia="lt-LT" w:bidi="en-US"/>
                </w:rPr>
              </w:pPr>
              <w:sdt>
                <w:sdtPr>
                  <w:alias w:val="Numeris"/>
                  <w:tag w:val="nr_3feeae66401240dd9625841e359540bc"/>
                  <w:lock w:val="sdtLocked"/>
                  <w:richText/>
                </w:sdtPr>
                <w:sdtContent>
                  <w:r>
                    <w:rPr>
                      <w:color w:val="000000"/>
                      <w:szCs w:val="24"/>
                      <w:lang w:eastAsia="lt-LT" w:bidi="en-US"/>
                    </w:rPr>
                    <w:t>3</w:t>
                  </w:r>
                </w:sdtContent>
              </w:sdt>
              <w:r>
                <w:rPr>
                  <w:color w:val="000000"/>
                  <w:szCs w:val="24"/>
                  <w:lang w:eastAsia="lt-LT" w:bidi="en-US"/>
                </w:rPr>
                <w:t xml:space="preserve">. Antikorupcinio vertinimo pažyma,  5 lapai.</w:t>
              </w:r>
            </w:p>
            <w:p>
              <w:pPr>
                <w:suppressLineNumbers/>
                <w:spacing w:line="276" w:lineRule="auto"/>
                <w:jc w:val="both"/>
                <w:rPr>
                  <w:rFonts w:eastAsia="Andale Sans UI"/>
                  <w:bCs/>
                  <w:szCs w:val="24"/>
                  <w:lang w:bidi="en-US"/>
                </w:rPr>
              </w:pPr>
            </w:p>
            <w:p>
              <w:pPr>
                <w:suppressLineNumbers/>
                <w:spacing w:line="276" w:lineRule="auto"/>
                <w:jc w:val="both"/>
                <w:rPr>
                  <w:rFonts w:eastAsia="Andale Sans UI"/>
                  <w:bCs/>
                  <w:szCs w:val="24"/>
                  <w:lang w:bidi="en-US"/>
                </w:rPr>
              </w:pPr>
            </w:p>
            <w:tbl>
              <w:tblPr>
                <w:tblW w:w="9643" w:type="dxa"/>
                <w:tblInd w:w="8" w:type="dxa"/>
                <w:tblLayout w:type="fixed"/>
                <w:tblCellMar>
                  <w:left w:w="0" w:type="dxa"/>
                  <w:right w:w="0" w:type="dxa"/>
                </w:tblCellMar>
                <w:tblLook w:val="0000" w:firstRow="0" w:lastRow="0" w:firstColumn="0" w:lastColumn="0" w:noHBand="0" w:noVBand="0"/>
              </w:tblPr>
              <w:tblGrid>
                <w:gridCol w:w="4817"/>
                <w:gridCol w:w="4826"/>
              </w:tblGrid>
              <w:tr>
                <w:trPr>
                  <w:trHeight w:val="340"/>
                </w:trPr>
                <w:tc>
                  <w:tcPr>
                    <w:tcW w:w="4817" w:type="dxa"/>
                    <w:vAlign w:val="bottom"/>
                  </w:tcPr>
                  <w:p>
                    <w:pPr>
                      <w:suppressLineNumbers/>
                      <w:spacing w:line="276" w:lineRule="auto"/>
                      <w:jc w:val="both"/>
                      <w:rPr>
                        <w:rFonts w:eastAsia="Andale Sans UI"/>
                        <w:szCs w:val="24"/>
                        <w:lang w:bidi="en-US"/>
                      </w:rPr>
                    </w:pPr>
                    <w:r>
                      <w:rPr>
                        <w:rFonts w:eastAsia="Andale Sans UI"/>
                        <w:szCs w:val="24"/>
                        <w:lang w:bidi="en-US"/>
                      </w:rPr>
                      <w:t>Aplinkos viceministras</w:t>
                    </w:r>
                  </w:p>
                </w:tc>
                <w:tc>
                  <w:tcPr>
                    <w:tcW w:w="4826" w:type="dxa"/>
                    <w:vAlign w:val="bottom"/>
                  </w:tcPr>
                  <w:p>
                    <w:pPr>
                      <w:spacing w:line="276" w:lineRule="auto"/>
                      <w:ind w:right="34"/>
                      <w:jc w:val="right"/>
                      <w:rPr>
                        <w:rFonts w:eastAsia="Andale Sans UI"/>
                        <w:szCs w:val="24"/>
                        <w:lang w:bidi="en-US"/>
                      </w:rPr>
                    </w:pPr>
                    <w:r>
                      <w:rPr>
                        <w:rFonts w:eastAsia="Andale Sans UI"/>
                        <w:szCs w:val="24"/>
                        <w:lang w:bidi="en-US"/>
                      </w:rPr>
                      <w:t>Kęstutis Šetkus</w:t>
                    </w:r>
                  </w:p>
                </w:tc>
              </w:tr>
              <w:tr>
                <w:trPr>
                  <w:trHeight w:val="340"/>
                </w:trPr>
                <w:tc>
                  <w:tcPr>
                    <w:tcW w:w="4817" w:type="dxa"/>
                    <w:vAlign w:val="bottom"/>
                  </w:tcPr>
                  <w:p>
                    <w:pPr>
                      <w:suppressLineNumbers/>
                      <w:spacing w:line="276" w:lineRule="auto"/>
                      <w:jc w:val="both"/>
                      <w:rPr>
                        <w:rFonts w:eastAsia="Andale Sans UI"/>
                        <w:szCs w:val="24"/>
                        <w:lang w:bidi="en-US"/>
                      </w:rPr>
                    </w:pPr>
                  </w:p>
                </w:tc>
                <w:tc>
                  <w:tcPr>
                    <w:tcW w:w="4826" w:type="dxa"/>
                    <w:vAlign w:val="bottom"/>
                  </w:tcPr>
                  <w:p>
                    <w:pPr>
                      <w:spacing w:line="276" w:lineRule="auto"/>
                      <w:ind w:right="34"/>
                      <w:jc w:val="right"/>
                      <w:rPr>
                        <w:rFonts w:eastAsia="Andale Sans UI"/>
                        <w:szCs w:val="24"/>
                        <w:lang w:bidi="en-US"/>
                      </w:rPr>
                    </w:pPr>
                  </w:p>
                </w:tc>
              </w:tr>
              <w:tr>
                <w:trPr>
                  <w:cantSplit/>
                  <w:trHeight w:val="340"/>
                </w:trPr>
                <w:tc>
                  <w:tcPr>
                    <w:tcW w:w="9643" w:type="dxa"/>
                    <w:gridSpan w:val="2"/>
                  </w:tcPr>
                  <w:p>
                    <w:pPr>
                      <w:suppressLineNumbers/>
                      <w:jc w:val="both"/>
                      <w:rPr>
                        <w:rFonts w:eastAsia="Andale Sans UI"/>
                        <w:szCs w:val="24"/>
                        <w:lang w:bidi="en-US"/>
                      </w:rPr>
                    </w:pPr>
                  </w:p>
                </w:tc>
              </w:tr>
            </w:tbl>
            <w:p>
              <w:pPr>
                <w:jc w:val="center"/>
                <w:rPr>
                  <w:rFonts w:eastAsia="Andale Sans UI" w:cs="Tahoma"/>
                  <w:szCs w:val="24"/>
                  <w:lang w:bidi="en-US"/>
                </w:rPr>
                <w:sectPr>
                  <w:headerReference w:type="even" r:id="rId11"/>
                  <w:headerReference w:type="default" r:id="rId12"/>
                  <w:footerReference w:type="even" r:id="rId13"/>
                  <w:footerReference w:type="default" r:id="rId14"/>
                  <w:headerReference w:type="first" r:id="rId15"/>
                  <w:footerReference w:type="first" r:id="rId16"/>
                  <w:footnotePr>
                    <w:pos w:val="beneathText"/>
                    <w:numRestart w:val="eachPage"/>
                  </w:footnotePr>
                  <w:endnotePr>
                    <w:numFmt w:val="decimal"/>
                  </w:endnotePr>
                  <w:pgSz w:w="11905" w:h="16837"/>
                  <w:pgMar w:top="1021" w:right="567" w:bottom="1021" w:left="1588" w:header="567" w:footer="232" w:gutter="0"/>
                  <w:cols w:space="1296"/>
                  <w:titlePg/>
                  <w:docGrid w:linePitch="326"/>
                </w:sectPr>
              </w:pPr>
            </w:p>
            <w:p>
              <w:pPr>
                <w:tabs>
                  <w:tab w:val="center" w:pos="4986"/>
                  <w:tab w:val="right" w:pos="9972"/>
                </w:tabs>
                <w:rPr>
                  <w:rFonts w:eastAsia="Andale Sans UI"/>
                </w:rPr>
              </w:pPr>
            </w:p>
            <w:p>
              <w:pPr>
                <w:suppressLineNumbers/>
                <w:tabs>
                  <w:tab w:val="center" w:pos="4800"/>
                  <w:tab w:val="right" w:pos="9601"/>
                </w:tabs>
                <w:jc w:val="both"/>
                <w:rPr>
                  <w:rFonts w:eastAsia="Andale Sans UI" w:cs="Tahoma"/>
                  <w:szCs w:val="24"/>
                  <w:lang w:bidi="en-US"/>
                </w:rPr>
              </w:pPr>
            </w:p>
            <w:p>
              <w:pPr>
                <w:jc w:val="center"/>
                <w:rPr>
                  <w:rFonts w:eastAsia="Andale Sans UI" w:cs="Tahoma"/>
                  <w:szCs w:val="24"/>
                  <w:lang w:bidi="en-US"/>
                </w:rPr>
              </w:pPr>
            </w:p>
            <w:p>
              <w:pPr>
                <w:jc w:val="center"/>
                <w:rPr>
                  <w:rFonts w:eastAsia="Andale Sans UI" w:cs="Tahoma"/>
                  <w:szCs w:val="24"/>
                  <w:lang w:bidi="en-US"/>
                </w:rPr>
              </w:pPr>
              <w:r>
                <w:rPr>
                  <w:rFonts w:eastAsia="Andale Sans UI" w:cs="Tahoma"/>
                  <w:szCs w:val="24"/>
                  <w:lang w:bidi="en-US"/>
                </w:rPr>
                <w:t>ADRESATŲ SĄRAŠAS</w:t>
              </w:r>
            </w:p>
            <w:p>
              <w:pPr>
                <w:ind w:firstLine="567"/>
                <w:jc w:val="center"/>
                <w:rPr>
                  <w:rFonts w:eastAsia="Andale Sans UI" w:cs="Tahoma"/>
                  <w:szCs w:val="24"/>
                  <w:lang w:bidi="en-US"/>
                </w:rPr>
              </w:pPr>
            </w:p>
          </w:sdtContent>
        </w:sdt>
        <w:sdt>
          <w:sdtPr>
            <w:alias w:val="signatura"/>
            <w:tag w:val="part_7c368051f21b4f0581cd6b3deef61b14"/>
            <w:lock w:val="sdtLocked"/>
            <w:richText/>
          </w:sdtPr>
          <w:sdtContent>
            <w:p>
              <w:pPr>
                <w:suppressLineNumbers/>
                <w:spacing w:line="360" w:lineRule="auto"/>
                <w:jc w:val="both"/>
                <w:rPr>
                  <w:rFonts w:eastAsia="Andale Sans UI"/>
                  <w:spacing w:val="10"/>
                  <w:szCs w:val="24"/>
                  <w:lang w:bidi="en-US"/>
                </w:rPr>
              </w:pPr>
              <w:r>
                <w:rPr>
                  <w:rFonts w:eastAsia="Andale Sans UI"/>
                  <w:spacing w:val="10"/>
                  <w:szCs w:val="24"/>
                  <w:lang w:bidi="en-US"/>
                </w:rPr>
                <w:t>Aplinkos projektų valdymo agentūrai</w:t>
              </w:r>
            </w:p>
            <w:p>
              <w:pPr>
                <w:suppressLineNumbers/>
                <w:spacing w:line="360" w:lineRule="auto"/>
                <w:jc w:val="both"/>
                <w:rPr>
                  <w:rFonts w:eastAsia="Andale Sans UI"/>
                  <w:spacing w:val="10"/>
                  <w:szCs w:val="24"/>
                  <w:lang w:bidi="en-US"/>
                </w:rPr>
              </w:pPr>
              <w:r>
                <w:rPr>
                  <w:rFonts w:eastAsia="Andale Sans UI"/>
                  <w:spacing w:val="10"/>
                  <w:szCs w:val="24"/>
                  <w:lang w:bidi="en-US"/>
                </w:rPr>
                <w:t>Finansų ministerijai</w:t>
              </w:r>
            </w:p>
            <w:p>
              <w:pPr>
                <w:spacing w:line="360" w:lineRule="auto"/>
                <w:textAlignment w:val="baseline"/>
                <w:rPr>
                  <w:rFonts w:eastAsia="Andale Sans UI"/>
                  <w:spacing w:val="10"/>
                  <w:szCs w:val="24"/>
                  <w:lang w:bidi="en-US"/>
                </w:rPr>
              </w:pPr>
              <w:r>
                <w:rPr>
                  <w:rFonts w:eastAsia="Andale Sans UI"/>
                  <w:spacing w:val="10"/>
                  <w:szCs w:val="24"/>
                  <w:lang w:bidi="en-US"/>
                </w:rPr>
                <w:t>Konkurencijos tarybai</w:t>
              </w:r>
            </w:p>
            <w:p>
              <w:pPr>
                <w:spacing w:line="360" w:lineRule="auto"/>
                <w:textAlignment w:val="baseline"/>
                <w:rPr>
                  <w:szCs w:val="24"/>
                  <w:lang w:val="en-US" w:eastAsia="lt-LT"/>
                </w:rPr>
              </w:pPr>
              <w:r>
                <w:rPr>
                  <w:szCs w:val="24"/>
                  <w:lang w:val="en-US" w:eastAsia="lt-LT"/>
                </w:rPr>
                <w:t>L</w:t>
              </w:r>
              <w:r>
                <w:rPr>
                  <w:szCs w:val="24"/>
                  <w:lang w:val="en-US" w:eastAsia="lt-LT"/>
                </w:rPr>
                <w:t>ietuvos žemės ūkio bendrovių asociacija</w:t>
              </w:r>
              <w:r>
                <w:rPr>
                  <w:szCs w:val="24"/>
                  <w:lang w:val="en-US" w:eastAsia="lt-LT"/>
                </w:rPr>
                <w:t>i</w:t>
              </w:r>
            </w:p>
            <w:p>
              <w:pPr>
                <w:spacing w:line="360" w:lineRule="auto"/>
                <w:textAlignment w:val="baseline"/>
                <w:rPr>
                  <w:szCs w:val="24"/>
                  <w:lang w:val="en-US" w:eastAsia="lt-LT"/>
                </w:rPr>
              </w:pPr>
              <w:r>
                <w:rPr>
                  <w:szCs w:val="24"/>
                  <w:lang w:val="en-US" w:eastAsia="lt-LT"/>
                </w:rPr>
                <w:t>Lietuvos žemės ūkio tarybai</w:t>
              </w:r>
            </w:p>
            <w:p>
              <w:pPr>
                <w:spacing w:line="360" w:lineRule="auto"/>
                <w:textAlignment w:val="baseline"/>
                <w:rPr>
                  <w:szCs w:val="24"/>
                  <w:lang w:val="en-US" w:eastAsia="lt-LT"/>
                </w:rPr>
              </w:pPr>
              <w:r>
                <w:rPr>
                  <w:szCs w:val="24"/>
                  <w:lang w:val="en-US" w:eastAsia="lt-LT"/>
                </w:rPr>
                <w:t>Lietuvos žemės ūkio technikos asociacija</w:t>
              </w:r>
              <w:r>
                <w:rPr>
                  <w:szCs w:val="24"/>
                  <w:lang w:val="en-US" w:eastAsia="lt-LT"/>
                </w:rPr>
                <w:t>i</w:t>
              </w:r>
            </w:p>
            <w:p>
              <w:pPr>
                <w:spacing w:line="360" w:lineRule="auto"/>
                <w:textAlignment w:val="baseline"/>
                <w:rPr>
                  <w:szCs w:val="24"/>
                  <w:lang w:val="en-US" w:eastAsia="lt-LT"/>
                </w:rPr>
              </w:pPr>
              <w:r>
                <w:rPr>
                  <w:szCs w:val="24"/>
                  <w:lang w:val="en-US" w:eastAsia="lt-LT"/>
                </w:rPr>
                <w:t>Lietuvos ūkininkų sąjungai</w:t>
              </w:r>
            </w:p>
            <w:p>
              <w:pPr>
                <w:suppressLineNumbers/>
                <w:spacing w:line="360" w:lineRule="auto"/>
                <w:jc w:val="both"/>
                <w:rPr>
                  <w:rFonts w:eastAsia="Andale Sans UI"/>
                  <w:spacing w:val="10"/>
                  <w:szCs w:val="24"/>
                  <w:lang w:bidi="en-US"/>
                </w:rPr>
              </w:pPr>
              <w:r>
                <w:rPr>
                  <w:rFonts w:eastAsia="Andale Sans UI"/>
                  <w:spacing w:val="10"/>
                  <w:szCs w:val="24"/>
                  <w:lang w:bidi="en-US"/>
                </w:rPr>
                <w:t>Žemės ūkio ministerijai</w:t>
              </w:r>
            </w:p>
            <w:p>
              <w:pPr>
                <w:spacing w:line="360" w:lineRule="auto"/>
                <w:textAlignment w:val="baseline"/>
                <w:rPr>
                  <w:szCs w:val="24"/>
                  <w:lang w:val="en-US" w:eastAsia="lt-LT"/>
                </w:rPr>
              </w:pPr>
              <w:r>
                <w:rPr>
                  <w:szCs w:val="24"/>
                  <w:lang w:val="en-US" w:eastAsia="lt-LT"/>
                </w:rPr>
                <w:t>Žemės ūkio rūmams</w:t>
              </w:r>
            </w:p>
            <w:p>
              <w:pPr>
                <w:textAlignment w:val="baseline"/>
                <w:rPr>
                  <w:rFonts w:ascii="Segoe UI" w:hAnsi="Segoe UI" w:cs="Segoe UI"/>
                  <w:sz w:val="18"/>
                  <w:szCs w:val="18"/>
                  <w:lang w:eastAsia="lt-LT"/>
                </w:rPr>
              </w:pPr>
            </w:p>
            <w:p>
              <w:pPr>
                <w:textAlignment w:val="baseline"/>
                <w:rPr>
                  <w:rFonts w:ascii="Segoe UI" w:hAnsi="Segoe UI" w:cs="Segoe UI"/>
                  <w:sz w:val="18"/>
                  <w:szCs w:val="18"/>
                  <w:lang w:eastAsia="lt-LT"/>
                </w:rPr>
              </w:pPr>
            </w:p>
            <w:p>
              <w:pPr>
                <w:ind w:firstLine="567"/>
                <w:jc w:val="both"/>
                <w:rPr>
                  <w:rFonts w:eastAsia="Andale Sans UI" w:cs="Tahoma"/>
                  <w:szCs w:val="24"/>
                  <w:lang w:bidi="en-US"/>
                </w:rPr>
              </w:pPr>
            </w:p>
          </w:sdtContent>
        </w:sdt>
      </w:sdtContent>
    </w:sdt>
    <w:sectPr>
      <w:footnotePr>
        <w:pos w:val="beneathText"/>
        <w:numRestart w:val="eachPage"/>
      </w:footnotePr>
      <w:endnotePr>
        <w:numFmt w:val="decimal"/>
      </w:endnotePr>
      <w:pgSz w:w="11905" w:h="16837"/>
      <w:pgMar w:top="1021" w:right="567" w:bottom="1021" w:left="1588" w:header="567" w:footer="232"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rFonts w:eastAsia="Andale Sans UI" w:cs="Tahoma"/>
          <w:szCs w:val="24"/>
          <w:lang w:bidi="en-US"/>
        </w:rPr>
      </w:pPr>
      <w:r>
        <w:rPr>
          <w:rFonts w:eastAsia="Andale Sans UI" w:cs="Tahoma"/>
          <w:szCs w:val="24"/>
          <w:lang w:bidi="en-US"/>
        </w:rPr>
        <w:separator/>
      </w:r>
    </w:p>
  </w:endnote>
  <w:endnote w:type="continuationSeparator" w:id="0">
    <w:p>
      <w:pPr>
        <w:jc w:val="both"/>
        <w:rPr>
          <w:rFonts w:eastAsia="Andale Sans UI" w:cs="Tahoma"/>
          <w:szCs w:val="24"/>
          <w:lang w:bidi="en-US"/>
        </w:rPr>
      </w:pPr>
      <w:r>
        <w:rPr>
          <w:rFonts w:eastAsia="Andale Sans UI" w:cs="Tahoma"/>
          <w:szCs w:val="24"/>
          <w:lang w:bidi="en-US"/>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10022FF" w:usb1="C000E47F" w:usb2="00000029" w:usb3="00000000" w:csb0="000001D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rFonts w:eastAsia="Andale Sans UI" w:cs="Tahoma"/>
          <w:szCs w:val="24"/>
          <w:lang w:bidi="en-US"/>
        </w:rPr>
      </w:pPr>
      <w:r>
        <w:rPr>
          <w:rFonts w:eastAsia="Andale Sans UI" w:cs="Tahoma"/>
          <w:szCs w:val="24"/>
          <w:lang w:bidi="en-US"/>
        </w:rPr>
        <w:separator/>
      </w:r>
    </w:p>
  </w:footnote>
  <w:footnote w:type="continuationSeparator" w:id="0">
    <w:p>
      <w:pPr>
        <w:jc w:val="both"/>
        <w:rPr>
          <w:rFonts w:eastAsia="Andale Sans UI" w:cs="Tahoma"/>
          <w:szCs w:val="24"/>
          <w:lang w:bidi="en-US"/>
        </w:rPr>
      </w:pPr>
      <w:r>
        <w:rPr>
          <w:rFonts w:eastAsia="Andale Sans UI" w:cs="Tahoma"/>
          <w:szCs w:val="24"/>
          <w:lang w:bidi="en-US"/>
        </w:rPr>
        <w:continuationSeparator/>
      </w:r>
    </w:p>
  </w:footnote>
  <w:footnote w:type="continuationNotice" w:id="1">
    <w:p/>
  </w:footnote>
  <w:footnote w:id="2">
    <w:p>
      <w:pPr>
        <w:tabs>
          <w:tab w:val="left" w:pos="2127"/>
        </w:tabs>
        <w:jc w:val="both"/>
        <w:rPr>
          <w:rFonts w:eastAsia="Andale Sans UI"/>
          <w:sz w:val="20"/>
        </w:rPr>
      </w:pPr>
      <w:r>
        <w:rPr>
          <w:rFonts w:eastAsia="Andale Sans UI"/>
          <w:sz w:val="20"/>
          <w:vertAlign w:val="superscript"/>
        </w:rPr>
        <w:footnoteRef/>
      </w:r>
      <w:r>
        <w:rPr>
          <w:rFonts w:eastAsia="Andale Sans UI"/>
          <w:sz w:val="20"/>
        </w:rPr>
        <w:t xml:space="preserve"> </w:t>
      </w:r>
      <w:hyperlink r:id="rId1" w:history="1">
        <w:r>
          <w:rPr>
            <w:rFonts w:eastAsia="Andale Sans UI"/>
            <w:color w:val="000080"/>
            <w:sz w:val="20"/>
            <w:u w:val="single"/>
          </w:rPr>
          <w:t>Aštuonioliktosios Lietuvos Respublikos Vyriausybės programa</w:t>
        </w:r>
      </w:hyperlink>
      <w:r>
        <w:rPr>
          <w:rFonts w:eastAsia="Andale Sans UI"/>
          <w:sz w:val="20"/>
        </w:rPr>
        <w:t xml:space="preserve">, kuriai pritarta Lietuvos Respublikos Seimo 2020 m. gruodžio 11 d. nutarimu Nr. XIV-72 „Dėl </w:t>
      </w:r>
      <w:r>
        <w:rPr>
          <w:rFonts w:eastAsia="Andale Sans UI"/>
          <w:sz w:val="20"/>
          <w:shd w:val="clear" w:color="auto" w:fill="FFFFFF"/>
        </w:rPr>
        <w:t>Aštuonioliktosios Lietuvos Respublikos Vyriausybės programos</w:t>
      </w:r>
      <w:r>
        <w:rPr>
          <w:rFonts w:eastAsia="Andale Sans UI"/>
          <w:sz w:val="20"/>
        </w:rPr>
        <w:t>“.</w:t>
      </w:r>
    </w:p>
  </w:footnote>
  <w:footnote w:id="3">
    <w:p>
      <w:pPr>
        <w:jc w:val="both"/>
        <w:rPr>
          <w:rFonts w:eastAsia="Andale Sans UI"/>
          <w:sz w:val="20"/>
        </w:rPr>
      </w:pPr>
      <w:r>
        <w:rPr>
          <w:rFonts w:eastAsia="Andale Sans UI"/>
          <w:sz w:val="20"/>
          <w:vertAlign w:val="superscript"/>
        </w:rPr>
        <w:footnoteRef/>
      </w:r>
      <w:r>
        <w:rPr>
          <w:rFonts w:eastAsia="Andale Sans UI"/>
          <w:sz w:val="20"/>
        </w:rPr>
        <w:t xml:space="preserve"> </w:t>
      </w:r>
      <w:hyperlink r:id="rId2" w:history="1">
        <w:r>
          <w:rPr>
            <w:color w:val="000080"/>
            <w:sz w:val="20"/>
            <w:u w:val="single"/>
            <w:lang w:eastAsia="lt-LT"/>
          </w:rPr>
          <w:t>Numatomo teisinio reguliavimo poveikio vertinimo metodikos</w:t>
        </w:r>
      </w:hyperlink>
      <w:r>
        <w:rPr>
          <w:sz w:val="20"/>
          <w:lang w:eastAsia="lt-LT"/>
        </w:rPr>
        <w:t>, patvirtintos Lietuvos Respublikos Vyriausybės 2003 m. vasario 26 d. nutarimu Nr. 276 „Dėl Numatomo teisinio reguliavimo poveikio vertinimo metodikos patvirtinimo“, 4 punktas.</w:t>
      </w:r>
    </w:p>
  </w:footnote>
  <w:footnote w:id="4">
    <w:p>
      <w:pPr>
        <w:jc w:val="both"/>
        <w:rPr>
          <w:rFonts w:eastAsia="Andale Sans UI"/>
          <w:sz w:val="20"/>
        </w:rPr>
      </w:pPr>
      <w:r>
        <w:rPr>
          <w:rFonts w:eastAsia="Andale Sans UI"/>
          <w:sz w:val="20"/>
          <w:vertAlign w:val="superscript"/>
        </w:rPr>
        <w:footnoteRef/>
      </w:r>
      <w:r>
        <w:rPr>
          <w:rFonts w:eastAsia="Andale Sans UI"/>
          <w:sz w:val="20"/>
        </w:rPr>
        <w:t xml:space="preserve"> </w:t>
      </w:r>
      <w:hyperlink r:id="rId3" w:history="1">
        <w:r>
          <w:rPr>
            <w:color w:val="000080"/>
            <w:sz w:val="20"/>
            <w:u w:val="single"/>
            <w:lang w:eastAsia="lt-LT"/>
          </w:rPr>
          <w:t>Numatomo teisinio reguliavimo poveikio vertinimo metodikos</w:t>
        </w:r>
      </w:hyperlink>
      <w:r>
        <w:rPr>
          <w:sz w:val="20"/>
          <w:lang w:eastAsia="lt-LT"/>
        </w:rPr>
        <w:t>, patvirtintos Lietuvos Respublikos Vyriausybės 2003 m. vasario 26 d. nutarimu Nr. 276 „Dėl Numatomo teisinio reguliavimo poveikio vertinimo metodikos patvirtinimo“, 17</w:t>
      </w:r>
      <w:r>
        <w:rPr>
          <w:sz w:val="20"/>
          <w:vertAlign w:val="superscript"/>
          <w:lang w:eastAsia="lt-LT"/>
        </w:rPr>
        <w:t>1</w:t>
      </w:r>
      <w:r>
        <w:rPr>
          <w:sz w:val="20"/>
          <w:lang w:eastAsia="lt-LT"/>
        </w:rPr>
        <w:t xml:space="preserve"> ir 35 punktai.</w:t>
      </w:r>
    </w:p>
  </w:footnote>
  <w:footnote w:id="5">
    <w:p>
      <w:pPr>
        <w:jc w:val="both"/>
        <w:rPr>
          <w:rFonts w:eastAsia="Andale Sans UI"/>
          <w:sz w:val="20"/>
        </w:rPr>
      </w:pPr>
      <w:r>
        <w:rPr>
          <w:rFonts w:eastAsia="Andale Sans UI"/>
          <w:sz w:val="20"/>
          <w:vertAlign w:val="superscript"/>
        </w:rPr>
        <w:footnoteRef/>
      </w:r>
      <w:r>
        <w:rPr>
          <w:rFonts w:eastAsia="Andale Sans UI"/>
          <w:sz w:val="20"/>
        </w:rPr>
        <w:t xml:space="preserve"> </w:t>
      </w:r>
      <w:hyperlink r:id="rId4" w:history="1">
        <w:r>
          <w:rPr>
            <w:rFonts w:eastAsia="Andale Sans UI"/>
            <w:color w:val="000080"/>
            <w:sz w:val="20"/>
            <w:u w:val="single"/>
          </w:rPr>
          <w:t>Teisėkūros poveikio aplinkai ir klimato kaitai (</w:t>
        </w:r>
        <w:r>
          <w:rPr>
            <w:rFonts w:eastAsia="Andale Sans UI"/>
            <w:i/>
            <w:iCs/>
            <w:color w:val="000080"/>
            <w:sz w:val="20"/>
            <w:u w:val="single"/>
          </w:rPr>
          <w:t>ex ante</w:t>
        </w:r>
        <w:r>
          <w:rPr>
            <w:rFonts w:eastAsia="Andale Sans UI"/>
            <w:color w:val="000080"/>
            <w:sz w:val="20"/>
            <w:u w:val="single"/>
          </w:rPr>
          <w:t>) vertinimo tvarkos aprašas</w:t>
        </w:r>
      </w:hyperlink>
      <w:r>
        <w:rPr>
          <w:rFonts w:eastAsia="Andale Sans UI"/>
          <w:sz w:val="20"/>
        </w:rPr>
        <w:t>, patvirtintas Lietuvos Respublikos aplinkos ministro 2024 m. vasario 27 d. įsakymu Nr. D1-57 „Dėl Teisėkūros poveikio aplinkai ir klimato kaitai (</w:t>
      </w:r>
      <w:r>
        <w:rPr>
          <w:rFonts w:eastAsia="Andale Sans UI"/>
          <w:i/>
          <w:iCs/>
          <w:sz w:val="20"/>
        </w:rPr>
        <w:t>ex ante</w:t>
      </w:r>
      <w:r>
        <w:rPr>
          <w:rFonts w:eastAsia="Andale Sans UI"/>
          <w:sz w:val="20"/>
        </w:rPr>
        <w:t>) vertinimo tvarkos aprašo patvirtinimo“.</w:t>
      </w:r>
    </w:p>
  </w:footnote>
  <w:footnote w:id="6">
    <w:p>
      <w:pPr>
        <w:rPr>
          <w:rFonts w:eastAsia="Andale Sans UI" w:cs="Tahoma"/>
          <w:sz w:val="20"/>
        </w:rPr>
      </w:pPr>
      <w:r>
        <w:rPr>
          <w:rFonts w:eastAsia="Andale Sans UI"/>
          <w:sz w:val="20"/>
          <w:vertAlign w:val="superscript"/>
        </w:rPr>
        <w:footnoteRef/>
      </w:r>
      <w:r>
        <w:rPr>
          <w:rFonts w:eastAsia="Andale Sans UI"/>
          <w:sz w:val="20"/>
        </w:rPr>
        <w:t xml:space="preserve"> </w:t>
      </w:r>
      <w:r>
        <w:rPr>
          <w:rFonts w:eastAsia="Andale Sans UI"/>
          <w:color w:val="000080"/>
          <w:sz w:val="20"/>
          <w:u w:val="single"/>
        </w:rPr>
        <w:t>https://aaa.lrv.lt/lt/veiklos-sritys/teisekuros-poveikio-vertinimas/</w:t>
      </w:r>
      <w:r>
        <w:rPr>
          <w:rFonts w:eastAsia="Andale Sans UI"/>
          <w:sz w:val="20"/>
        </w:rPr>
        <w:t xml:space="preserve"> </w:t>
      </w:r>
    </w:p>
  </w:footnote>
  <w:footnote w:id="7">
    <w:p>
      <w:pPr>
        <w:tabs>
          <w:tab w:val="left" w:pos="2127"/>
        </w:tabs>
        <w:jc w:val="both"/>
        <w:rPr>
          <w:color w:val="000000"/>
          <w:sz w:val="20"/>
          <w:lang w:eastAsia="lt-LT" w:bidi="en-US"/>
        </w:rPr>
      </w:pPr>
      <w:r>
        <w:rPr>
          <w:rFonts w:eastAsia="Andale Sans UI"/>
          <w:sz w:val="20"/>
          <w:vertAlign w:val="superscript"/>
          <w:lang w:bidi="en-US"/>
        </w:rPr>
        <w:footnoteRef/>
      </w:r>
      <w:r>
        <w:rPr>
          <w:rFonts w:eastAsia="Andale Sans UI"/>
          <w:sz w:val="20"/>
          <w:lang w:bidi="en-US"/>
        </w:rPr>
        <w:t xml:space="preserve"> </w:t>
      </w:r>
      <w:hyperlink r:id="rId5" w:history="1">
        <w:r>
          <w:rPr>
            <w:rFonts w:eastAsia="Andale Sans UI"/>
            <w:color w:val="000080"/>
            <w:sz w:val="20"/>
            <w:u w:val="single"/>
            <w:lang w:bidi="en-US"/>
          </w:rPr>
          <w:t>Europos Sąjungos reikalų koordinavimo taisyklių</w:t>
        </w:r>
      </w:hyperlink>
      <w:r>
        <w:rPr>
          <w:rFonts w:eastAsia="Andale Sans UI"/>
          <w:sz w:val="20"/>
          <w:lang w:bidi="en-US"/>
        </w:rPr>
        <w:t>, patvirtintų Lietuvos Respublikos Vyriausybės 2004 m. sausio 9 d. nutarimu Nr. 21 „Dėl Europos Sąjungos reikalų koordinavimo“, 7 priedas.</w:t>
      </w:r>
    </w:p>
  </w:footnote>
  <w:footnote w:id="8">
    <w:p>
      <w:pPr>
        <w:jc w:val="both"/>
        <w:rPr>
          <w:rFonts w:eastAsia="Andale Sans UI"/>
          <w:sz w:val="20"/>
        </w:rPr>
      </w:pPr>
      <w:r>
        <w:rPr>
          <w:rFonts w:eastAsia="Andale Sans UI"/>
          <w:sz w:val="20"/>
          <w:vertAlign w:val="superscript"/>
        </w:rPr>
        <w:footnoteRef/>
      </w:r>
      <w:r>
        <w:rPr>
          <w:rFonts w:eastAsia="Andale Sans UI"/>
          <w:sz w:val="20"/>
        </w:rPr>
        <w:t xml:space="preserve"> </w:t>
      </w:r>
      <w:hyperlink r:id="rId6" w:history="1">
        <w:r>
          <w:rPr>
            <w:color w:val="000080"/>
            <w:sz w:val="20"/>
            <w:u w:val="single"/>
            <w:lang w:eastAsia="lt-LT"/>
          </w:rPr>
          <w:t>Informacijos apie techninius reglamentus ir atitikties įvertinimo procedūras teikimo taisyklės</w:t>
        </w:r>
      </w:hyperlink>
      <w:r>
        <w:rPr>
          <w:sz w:val="20"/>
          <w:lang w:eastAsia="lt-LT"/>
        </w:rPr>
        <w:t>, patvirtintos Lietuvos Respublikos Vyriausybės 1999 m. gegužės 20 d. nutarimu Nr. 617 „Dėl Informacijos apie techninius reglamentus ir atitikties įvertinimo procedūras teikimo taisyklių patvirtinimo“.</w:t>
      </w:r>
    </w:p>
  </w:footnote>
  <w:footnote w:id="9">
    <w:p>
      <w:pPr>
        <w:jc w:val="both"/>
        <w:rPr>
          <w:sz w:val="20"/>
          <w:lang w:eastAsia="lt-LT"/>
        </w:rPr>
      </w:pPr>
      <w:r>
        <w:rPr>
          <w:rFonts w:eastAsia="Andale Sans UI"/>
          <w:sz w:val="20"/>
          <w:vertAlign w:val="superscript"/>
        </w:rPr>
        <w:footnoteRef/>
        <w:t xml:space="preserve"> </w:t>
      </w:r>
      <w:hyperlink r:id="rId7" w:history="1">
        <w:r>
          <w:rPr>
            <w:color w:val="000080"/>
            <w:sz w:val="20"/>
            <w:u w:val="single"/>
            <w:lang w:eastAsia="lt-LT"/>
          </w:rPr>
          <w:t>Lietuvos Respublikos paslaugų įstatymo ir Pranešimų ir informacijos apie nustatomus įsisteigimo arba nustatomus ar panaikinamus paslaugų teikimo laisvei taikomus reikalavimus teikimo tvarkos aprašas</w:t>
        </w:r>
      </w:hyperlink>
      <w:r>
        <w:rPr>
          <w:sz w:val="20"/>
          <w:lang w:eastAsia="lt-LT"/>
        </w:rPr>
        <w:t>, patvirtintas Lietuvos Respublikos Vyriausybės 2011 m. lapkričio 30 d. nutarimu Nr. 1389 „Dėl pranešimų ir informacijos apie nustatomus įsisteigimo arba nustatomus ar panaikinamus paslaugų teikimo laisvei taikomus reikalavimus teikimo“.</w:t>
      </w:r>
    </w:p>
  </w:footnote>
  <w:footnote w:id="10">
    <w:p>
      <w:pPr>
        <w:rPr>
          <w:rFonts w:eastAsia="Andale Sans UI"/>
          <w:sz w:val="20"/>
        </w:rPr>
      </w:pPr>
      <w:r>
        <w:rPr>
          <w:rFonts w:eastAsia="Andale Sans UI"/>
          <w:sz w:val="20"/>
          <w:vertAlign w:val="superscript"/>
        </w:rPr>
        <w:footnoteRef/>
      </w:r>
      <w:r>
        <w:rPr>
          <w:rFonts w:eastAsia="Andale Sans UI"/>
          <w:sz w:val="20"/>
        </w:rPr>
        <w:t xml:space="preserve"> </w:t>
      </w:r>
      <w:r>
        <w:rPr>
          <w:rFonts w:eastAsia="Andale Sans UI"/>
          <w:color w:val="000080"/>
          <w:sz w:val="20"/>
          <w:u w:val="single"/>
        </w:rPr>
        <w:t>https://epilietis.lrv.lt/lt/</w:t>
      </w:r>
      <w:r>
        <w:rPr>
          <w:rFonts w:eastAsia="Andale Sans UI"/>
          <w:sz w:val="20"/>
        </w:rPr>
        <w:t>.</w:t>
      </w:r>
    </w:p>
  </w:footnote>
  <w:footnote w:id="11">
    <w:p>
      <w:pPr>
        <w:jc w:val="both"/>
        <w:rPr>
          <w:rFonts w:eastAsia="Andale Sans UI"/>
          <w:sz w:val="20"/>
        </w:rPr>
      </w:pPr>
      <w:r>
        <w:rPr>
          <w:rFonts w:eastAsia="Andale Sans UI"/>
          <w:sz w:val="20"/>
          <w:vertAlign w:val="superscript"/>
        </w:rPr>
        <w:footnoteRef/>
      </w:r>
      <w:r>
        <w:rPr>
          <w:rFonts w:eastAsia="Andale Sans UI"/>
          <w:sz w:val="20"/>
        </w:rPr>
        <w:t xml:space="preserve"> </w:t>
      </w:r>
      <w:r>
        <w:rPr>
          <w:rFonts w:eastAsia="Andale Sans UI"/>
          <w:color w:val="000080"/>
          <w:sz w:val="20"/>
          <w:u w:val="single"/>
          <w:shd w:val="clear" w:color="auto" w:fill="FFFFFF"/>
          <w:lang w:bidi="en-US"/>
        </w:rPr>
        <w:t>Ministrų, Vyriausybės įstaigų, įstaigų prie ministerijų ir kitų Vyriausybei pavaldžių ir atskaitingų viešojo administravimo subjektų norminių teisės aktų projektų rengimo taisyklės</w:t>
      </w:r>
      <w:r>
        <w:rPr>
          <w:rFonts w:eastAsia="Andale Sans UI"/>
          <w:sz w:val="20"/>
        </w:rPr>
        <w:t>, patvirtintos Lietuvos Respublikos Vyriausybės 1994 m. rugpjūčio 11 d. nutarimu Nr. 728 „Dėl Lietuvos Respublikos Vyriausybės darbo reglamento ir Ministrų, Vyriausybės įstaigų, įstaigų prie ministerijų ir kitų Vyriausybei pavaldžių ir atskaitingų viešojo administravimo subjektų norminių teisės aktų projektų rengimo taisyklių</w:t>
      </w:r>
      <w:r>
        <w:rPr>
          <w:rFonts w:eastAsia="Andale Sans UI" w:cs="Tahoma"/>
          <w:sz w:val="20"/>
        </w:rPr>
        <w:t xml:space="preserve"> </w:t>
      </w:r>
      <w:r>
        <w:rPr>
          <w:rFonts w:eastAsia="Andale Sans UI"/>
          <w:sz w:val="20"/>
        </w:rPr>
        <w:t>patvirtinimo“.</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center"/>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PAGE   \* MERGEFORMAT</w:instrText>
    </w:r>
    <w:r>
      <w:rPr>
        <w:rFonts w:eastAsia="Andale Sans UI" w:cs="Tahoma"/>
        <w:szCs w:val="24"/>
        <w:lang w:bidi="en-US"/>
      </w:rPr>
      <w:fldChar w:fldCharType="separate"/>
    </w:r>
    <w:r>
      <w:rPr>
        <w:rFonts w:eastAsia="Andale Sans UI" w:cs="Tahoma"/>
        <w:szCs w:val="24"/>
        <w:lang w:val="en-GB" w:bidi="en-US"/>
      </w:rPr>
      <w:t>3</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eastAsia="Andale Sans UI"/>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pos w:val="beneathText"/>
    <w:numRestart w:val="eachPage"/>
    <w:footnote w:id="-1"/>
    <w:footnote w:id="0"/>
    <w:footnote w:id="1"/>
  </w:footnotePr>
  <w:endnotePr>
    <w:numFmt w:val="decimal"/>
    <w:endnote w:id="-1"/>
    <w:endnote w:id="0"/>
    <w:endnote w:id="1"/>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7D5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E5C13F22-4A01-4D40-BF07-356C1C8E631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50742008">
      <w:bodyDiv w:val="1"/>
      <w:marLeft w:val="0"/>
      <w:marRight w:val="0"/>
      <w:marTop w:val="0"/>
      <w:marBottom w:val="0"/>
      <w:divBdr>
        <w:top w:val="none" w:sz="0" w:space="0" w:color="auto"/>
        <w:left w:val="none" w:sz="0" w:space="0" w:color="auto"/>
        <w:bottom w:val="none" w:sz="0" w:space="0" w:color="auto"/>
        <w:right w:val="none" w:sz="0" w:space="0" w:color="auto"/>
      </w:divBdr>
    </w:div>
    <w:div w:id="480274677">
      <w:bodyDiv w:val="1"/>
      <w:marLeft w:val="0"/>
      <w:marRight w:val="0"/>
      <w:marTop w:val="0"/>
      <w:marBottom w:val="0"/>
      <w:divBdr>
        <w:top w:val="none" w:sz="0" w:space="0" w:color="auto"/>
        <w:left w:val="none" w:sz="0" w:space="0" w:color="auto"/>
        <w:bottom w:val="none" w:sz="0" w:space="0" w:color="auto"/>
        <w:right w:val="none" w:sz="0" w:space="0" w:color="auto"/>
      </w:divBdr>
    </w:div>
    <w:div w:id="493882544">
      <w:bodyDiv w:val="1"/>
      <w:marLeft w:val="0"/>
      <w:marRight w:val="0"/>
      <w:marTop w:val="0"/>
      <w:marBottom w:val="0"/>
      <w:divBdr>
        <w:top w:val="none" w:sz="0" w:space="0" w:color="auto"/>
        <w:left w:val="none" w:sz="0" w:space="0" w:color="auto"/>
        <w:bottom w:val="none" w:sz="0" w:space="0" w:color="auto"/>
        <w:right w:val="none" w:sz="0" w:space="0" w:color="auto"/>
      </w:divBdr>
      <w:divsChild>
        <w:div w:id="598099785">
          <w:marLeft w:val="0"/>
          <w:marRight w:val="0"/>
          <w:marTop w:val="0"/>
          <w:marBottom w:val="0"/>
          <w:divBdr>
            <w:top w:val="none" w:sz="0" w:space="0" w:color="auto"/>
            <w:left w:val="none" w:sz="0" w:space="0" w:color="auto"/>
            <w:bottom w:val="none" w:sz="0" w:space="0" w:color="auto"/>
            <w:right w:val="none" w:sz="0" w:space="0" w:color="auto"/>
          </w:divBdr>
        </w:div>
        <w:div w:id="1297907655">
          <w:marLeft w:val="0"/>
          <w:marRight w:val="0"/>
          <w:marTop w:val="0"/>
          <w:marBottom w:val="0"/>
          <w:divBdr>
            <w:top w:val="none" w:sz="0" w:space="0" w:color="auto"/>
            <w:left w:val="none" w:sz="0" w:space="0" w:color="auto"/>
            <w:bottom w:val="none" w:sz="0" w:space="0" w:color="auto"/>
            <w:right w:val="none" w:sz="0" w:space="0" w:color="auto"/>
          </w:divBdr>
        </w:div>
      </w:divsChild>
    </w:div>
    <w:div w:id="782111478">
      <w:bodyDiv w:val="1"/>
      <w:marLeft w:val="0"/>
      <w:marRight w:val="0"/>
      <w:marTop w:val="0"/>
      <w:marBottom w:val="0"/>
      <w:divBdr>
        <w:top w:val="none" w:sz="0" w:space="0" w:color="auto"/>
        <w:left w:val="none" w:sz="0" w:space="0" w:color="auto"/>
        <w:bottom w:val="none" w:sz="0" w:space="0" w:color="auto"/>
        <w:right w:val="none" w:sz="0" w:space="0" w:color="auto"/>
      </w:divBdr>
    </w:div>
    <w:div w:id="916746596">
      <w:bodyDiv w:val="1"/>
      <w:marLeft w:val="0"/>
      <w:marRight w:val="0"/>
      <w:marTop w:val="0"/>
      <w:marBottom w:val="0"/>
      <w:divBdr>
        <w:top w:val="none" w:sz="0" w:space="0" w:color="auto"/>
        <w:left w:val="none" w:sz="0" w:space="0" w:color="auto"/>
        <w:bottom w:val="none" w:sz="0" w:space="0" w:color="auto"/>
        <w:right w:val="none" w:sz="0" w:space="0" w:color="auto"/>
      </w:divBdr>
      <w:divsChild>
        <w:div w:id="822156668">
          <w:marLeft w:val="0"/>
          <w:marRight w:val="0"/>
          <w:marTop w:val="0"/>
          <w:marBottom w:val="0"/>
          <w:divBdr>
            <w:top w:val="none" w:sz="0" w:space="0" w:color="auto"/>
            <w:left w:val="none" w:sz="0" w:space="0" w:color="auto"/>
            <w:bottom w:val="none" w:sz="0" w:space="0" w:color="auto"/>
            <w:right w:val="none" w:sz="0" w:space="0" w:color="auto"/>
          </w:divBdr>
        </w:div>
        <w:div w:id="1060790193">
          <w:marLeft w:val="0"/>
          <w:marRight w:val="0"/>
          <w:marTop w:val="0"/>
          <w:marBottom w:val="0"/>
          <w:divBdr>
            <w:top w:val="none" w:sz="0" w:space="0" w:color="auto"/>
            <w:left w:val="none" w:sz="0" w:space="0" w:color="auto"/>
            <w:bottom w:val="none" w:sz="0" w:space="0" w:color="auto"/>
            <w:right w:val="none" w:sz="0" w:space="0" w:color="auto"/>
          </w:divBdr>
        </w:div>
        <w:div w:id="1093864504">
          <w:marLeft w:val="0"/>
          <w:marRight w:val="0"/>
          <w:marTop w:val="0"/>
          <w:marBottom w:val="0"/>
          <w:divBdr>
            <w:top w:val="none" w:sz="0" w:space="0" w:color="auto"/>
            <w:left w:val="none" w:sz="0" w:space="0" w:color="auto"/>
            <w:bottom w:val="none" w:sz="0" w:space="0" w:color="auto"/>
            <w:right w:val="none" w:sz="0" w:space="0" w:color="auto"/>
          </w:divBdr>
        </w:div>
      </w:divsChild>
    </w:div>
    <w:div w:id="1184318278">
      <w:bodyDiv w:val="1"/>
      <w:marLeft w:val="0"/>
      <w:marRight w:val="0"/>
      <w:marTop w:val="0"/>
      <w:marBottom w:val="0"/>
      <w:divBdr>
        <w:top w:val="none" w:sz="0" w:space="0" w:color="auto"/>
        <w:left w:val="none" w:sz="0" w:space="0" w:color="auto"/>
        <w:bottom w:val="none" w:sz="0" w:space="0" w:color="auto"/>
        <w:right w:val="none" w:sz="0" w:space="0" w:color="auto"/>
      </w:divBdr>
      <w:divsChild>
        <w:div w:id="1058750904">
          <w:marLeft w:val="0"/>
          <w:marRight w:val="0"/>
          <w:marTop w:val="0"/>
          <w:marBottom w:val="0"/>
          <w:divBdr>
            <w:top w:val="none" w:sz="0" w:space="0" w:color="auto"/>
            <w:left w:val="none" w:sz="0" w:space="0" w:color="auto"/>
            <w:bottom w:val="none" w:sz="0" w:space="0" w:color="auto"/>
            <w:right w:val="none" w:sz="0" w:space="0" w:color="auto"/>
          </w:divBdr>
        </w:div>
        <w:div w:id="1167481611">
          <w:marLeft w:val="0"/>
          <w:marRight w:val="0"/>
          <w:marTop w:val="0"/>
          <w:marBottom w:val="0"/>
          <w:divBdr>
            <w:top w:val="none" w:sz="0" w:space="0" w:color="auto"/>
            <w:left w:val="none" w:sz="0" w:space="0" w:color="auto"/>
            <w:bottom w:val="none" w:sz="0" w:space="0" w:color="auto"/>
            <w:right w:val="none" w:sz="0" w:space="0" w:color="auto"/>
          </w:divBdr>
        </w:div>
        <w:div w:id="133634637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9" Type="http://schemas.openxmlformats.org/officeDocument/2006/relationships/fontTable" Target="fontTable.xml"/>
  <Relationship Id="rId2" Type="http://schemas.openxmlformats.org/officeDocument/2006/relationships/customXml" Target="../customXml/item2.xml"/>
  <Relationship Id="rId20" Type="http://schemas.openxmlformats.org/officeDocument/2006/relationships/theme" Target="theme/theme1.xml"/>
  <Relationship Id="rId21"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_rels/footnotes.xml.rels><?xml version="1.0" encoding="UTF-8"?>

<Relationships xmlns="http://schemas.openxmlformats.org/package/2006/relationships">
  <Relationship Id="rId1" Type="http://schemas.openxmlformats.org/officeDocument/2006/relationships/hyperlink" TargetMode="External" Target="https://www.e-tar.lt/portal/lt/legalAct/ed22bb703bc311eb8d9fe110e148c770"/>
  <Relationship Id="rId2" Type="http://schemas.openxmlformats.org/officeDocument/2006/relationships/hyperlink" TargetMode="External" Target="https://www.e-tar.lt/portal/lt/legalAct/TAR.814F485EB18B/asr"/>
  <Relationship Id="rId3" Type="http://schemas.openxmlformats.org/officeDocument/2006/relationships/hyperlink" TargetMode="External" Target="https://www.e-tar.lt/portal/lt/legalAct/TAR.814F485EB18B/asr"/>
  <Relationship Id="rId4" Type="http://schemas.openxmlformats.org/officeDocument/2006/relationships/hyperlink" TargetMode="External" Target="https://www.e-tar.lt/portal/lt/legalAct/0635c170d54511eead77e967e3995264"/>
  <Relationship Id="rId5" Type="http://schemas.openxmlformats.org/officeDocument/2006/relationships/hyperlink" TargetMode="External" Target="https://www.e-tar.lt/portal/lt/legalAct/TAR.DB68BCA9E3A0/asr"/>
  <Relationship Id="rId6" Type="http://schemas.openxmlformats.org/officeDocument/2006/relationships/hyperlink" TargetMode="External" Target="https://www.e-tar.lt/portal/lt/legalAct/TAR.EDD5FD371B32/asr"/>
  <Relationship Id="rId7" Type="http://schemas.openxmlformats.org/officeDocument/2006/relationships/hyperlink" TargetMode="External" Target="https://www.e-tar.lt/portal/lt/legalAct/TAR.DCD24028BD0E"/>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0379a545-9986-45d7-9e6d-3845025712a0">
      <UserInfo>
        <DisplayName>Jurgita Užkurnienė</DisplayName>
        <AccountId>118</AccountId>
        <AccountType/>
      </UserInfo>
      <UserInfo>
        <DisplayName>Emilija Šaulytė</DisplayName>
        <AccountId>231</AccountId>
        <AccountType/>
      </UserInfo>
    </SharedWithUsers>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50164633ED94994D9773E53D567FF5BF" ma:contentTypeVersion="14" ma:contentTypeDescription="Kurkite naują dokumentą." ma:contentTypeScope="" ma:versionID="327b48872ff6932eeb09353cc3bbdb0c">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49bb1461692a08ce2aec186f0540e300"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Vaizdų žymė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Bendrinta su išsamia informacija"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d9c410e47dcd488ab7e721a02031f122" PartId="411db0f752fa4c3699df2c7a8a5e0aba"/>
  <Part Type="pastraipa" DocPartId="14b1049d22154bc9acdb0e8770ce71ef" PartId="740f8f302d094cc8b29d4cc07fcfe58e">
    <Part Type="punktas" Nr="1" Abbr="1 p." DocPartId="6cc29de79a89404fb6994af8e837a460" PartId="961e03950d21432bbb28132b9fb0488d"/>
    <Part Type="punktas" Nr="2" Abbr="2 p." DocPartId="d8c9f644674d456bb2db849d76729f95" PartId="290340d4221c45dc96219b526bc00fa4"/>
    <Part Type="punktas" Nr="3" Abbr="3 p." DocPartId="6725468d4e8d4b9591d6097190d8c131" PartId="b7e090bd73fb4bdeac9d90df39c54e70"/>
    <Part Type="punktas" Nr="4" Abbr="4 p." DocPartId="c48b6ef7e4f94f648ce8bdf208358a05" PartId="d904139928a440d08a292461ba6ba4e0"/>
    <Part Type="punktas" Nr="5" Abbr="5 p." DocPartId="04800d5678e947b9bfb7257b4796e355" PartId="a1b6280990444684bba6c7f8cacd4499"/>
    <Part Type="punktas" Nr="6" Abbr="6 p." DocPartId="1ea2075a44a7436e9d599b8df0ac17fd" PartId="75e3aa44b398443387227bfbc7bccbe9"/>
    <Part Type="punktas" Nr="7" Abbr="7 p." DocPartId="f6d9f6af2b554901b432ad6b4a2a69c8" PartId="46ae1d828ed74b4dad94f64b9e5bb55c"/>
    <Part Type="punktas" Nr="8" Abbr="8 p." DocPartId="87bce12b59454fb4a6317311ceffffa7" PartId="1a1da1d0c4d14290ad493ad60924b945"/>
    <Part Type="punktas" Nr="9" Abbr="9 p." DocPartId="41dbf4b466d44b558cc9e0297e14f554" PartId="0ed636ab8d8549eca7cdfb8655d3a55a"/>
    <Part Type="punktas" Nr="10" Abbr="10 p." DocPartId="97287448c95a4d51bb78df8ceee7d9fa" PartId="439966acd6594a1aaf4bdd3b7d4391cf"/>
    <Part Type="punktas" Nr="11" Abbr="11 p." DocPartId="d8a4f842a50f4c7b81fcda5b1a9e76a4" PartId="01f941716def4d04a421b2571e1dabbd"/>
    <Part Type="punktas" Nr="12" Abbr="12 p." DocPartId="7076b799d8e34f7288529863ac914282" PartId="d9a160bf98f04a88a7fe1194d808e9e6"/>
    <Part Type="punktas" Nr="13" Abbr="13 p." DocPartId="1baaabc3e040424f8a70d53b94087186" PartId="b6c2261b634a4fbeaf6e020c1ec023ae"/>
    <Part Type="punktas" Nr="14" Abbr="14 p." DocPartId="26dd3a4e609c436c8c9f3824e50424f0" PartId="b705f3b5f0ac4d3eb0da7834c6c073f7"/>
    <Part Type="punktas" Nr="1" Abbr="1 p." Notes="Numeris ne iš eilės. Trūksta dalių? [DocDalys]" DocPartId="98d7134c1e814c7e8211d95e0146aa81" PartId="27755ee3b1dc4b828f3793023417341b"/>
    <Part Type="punktas" Nr="2" Abbr="2 p." DocPartId="f32366e75500448983fbae063ccfaba8" PartId="82043a7bce3d4affbb07c81e04a26be2"/>
    <Part Type="punktas" Nr="3" Abbr="3 p." DocPartId="2e657d3be50c407883b93f81548d38b0" PartId="3feeae66401240dd9625841e359540bc"/>
    <Part Type="signatura" DocPartId="397b89cc74c34a6f9707a048c93601c0" PartId="7c368051f21b4f0581cd6b3deef61b14"/>
  </Part>
</Parts>
</file>

<file path=customXml/itemProps1.xml><?xml version="1.0" encoding="utf-8"?>
<ds:datastoreItem xmlns:ds="http://schemas.openxmlformats.org/officeDocument/2006/customXml" ds:itemID="{4DEE301B-E495-4750-B0E8-CBFC8E239BAA}">
  <ds:schemaRefs>
    <ds:schemaRef ds:uri="http://schemas.microsoft.com/sharepoint/v3/contenttype/forms"/>
  </ds:schemaRefs>
</ds:datastoreItem>
</file>

<file path=customXml/itemProps2.xml><?xml version="1.0" encoding="utf-8"?>
<ds:datastoreItem xmlns:ds="http://schemas.openxmlformats.org/officeDocument/2006/customXml" ds:itemID="{2ECC1323-9F72-4681-9895-5BB6B34E3FBB}">
  <ds:schemaRefs>
    <ds:schemaRef ds:uri="http://schemas.openxmlformats.org/package/2006/metadata/core-properties"/>
    <ds:schemaRef ds:uri="http://schemas.microsoft.com/office/2006/metadata/properties"/>
    <ds:schemaRef ds:uri="http://purl.org/dc/terms/"/>
    <ds:schemaRef ds:uri="47c1ea38-b788-4873-88f4-3b1f34597b9a"/>
    <ds:schemaRef ds:uri="http://schemas.microsoft.com/office/2006/documentManagement/types"/>
    <ds:schemaRef ds:uri="http://www.w3.org/XML/1998/namespace"/>
    <ds:schemaRef ds:uri="http://purl.org/dc/elements/1.1/"/>
    <ds:schemaRef ds:uri="http://schemas.microsoft.com/office/infopath/2007/PartnerControls"/>
    <ds:schemaRef ds:uri="0379a545-9986-45d7-9e6d-3845025712a0"/>
    <ds:schemaRef ds:uri="http://purl.org/dc/dcmitype/"/>
  </ds:schemaRefs>
</ds:datastoreItem>
</file>

<file path=customXml/itemProps3.xml><?xml version="1.0" encoding="utf-8"?>
<ds:datastoreItem xmlns:ds="http://schemas.openxmlformats.org/officeDocument/2006/customXml" ds:itemID="{3D25DAB9-7F8A-4F20-AC4C-3294C073FC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B64C23F-216C-471E-873F-EB9E66DE2E6A}">
  <ds:schemaRefs>
    <ds:schemaRef ds:uri="http://schemas.openxmlformats.org/officeDocument/2006/bibliography"/>
  </ds:schemaRefs>
</ds:datastoreItem>
</file>

<file path=customXml/itemProps5.xml><?xml version="1.0" encoding="utf-8"?>
<ds:datastoreItem xmlns:ds="http://schemas.openxmlformats.org/officeDocument/2006/customXml" ds:itemID="{F55308DA-2F80-45BA-86C8-70FA82FAE6E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1151</Words>
  <Characters>8438</Characters>
  <Application>Microsoft Office Word</Application>
  <DocSecurity>4</DocSecurity>
  <Lines>175</Lines>
  <Paragraphs>85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9504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2024-11-08T06:22:00Z</dcterms:created>
  <dc:creator>Danguolė Tunkevičienė</dc:creator>
  <lastModifiedBy>adlibuser</lastModifiedBy>
  <dcterms:modified xsi:type="dcterms:W3CDTF">2024-11-08T06:22:00Z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ies>
</file>