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da3bfe72d44a474ebcb66a0005c2039c"/>
        <w:lock w:val="sdtLocked"/>
        <w:richText/>
      </w:sdtPr>
      <w:sdtContent>
        <w:p>
          <w:pPr>
            <w:tabs>
              <w:tab w:val="center" w:pos="4513"/>
              <w:tab w:val="right" w:pos="9026"/>
            </w:tabs>
            <w:jc w:val="right"/>
            <w:rPr>
              <w:b/>
              <w:bCs/>
            </w:rPr>
          </w:pPr>
        </w:p>
        <w:p>
          <w:pPr>
            <w:tabs>
              <w:tab w:val="center" w:pos="4819"/>
              <w:tab w:val="right" w:pos="9638"/>
            </w:tabs>
            <w:rPr>
              <w:sz w:val="22"/>
              <w:szCs w:val="22"/>
              <w:lang w:eastAsia="lt-LT"/>
            </w:rPr>
          </w:pPr>
        </w:p>
        <w:p>
          <w:pPr>
            <w:ind w:left="5184"/>
            <w:jc w:val="both"/>
            <w:rPr>
              <w:rFonts w:eastAsia="Calibri"/>
              <w:szCs w:val="24"/>
            </w:rPr>
          </w:pPr>
          <w:r>
            <w:rPr>
              <w:rFonts w:eastAsia="Calibri"/>
              <w:szCs w:val="24"/>
            </w:rPr>
            <w:t>2022</w:t>
          </w:r>
          <w:r>
            <w:rPr>
              <w:rFonts w:eastAsia="Calibri"/>
              <w:bCs/>
              <w:szCs w:val="24"/>
            </w:rPr>
            <w:t>–</w:t>
          </w:r>
          <w:r>
            <w:rPr>
              <w:rFonts w:eastAsia="Calibri"/>
              <w:szCs w:val="24"/>
            </w:rPr>
            <w:t xml:space="preserve">2030 metų plėtros programos valdytojos Lietuvos Respublikos aplinkos ministerijos aplinkos apsaugos ir klimato kaitos valdymo plėtros programos pažangos priemonės Nr. </w:t>
          </w:r>
          <w:r>
            <w:rPr>
              <w:rFonts w:eastAsia="Calibri"/>
              <w:b/>
              <w:bCs/>
              <w:szCs w:val="24"/>
            </w:rPr>
            <w:t> </w:t>
          </w:r>
          <w:r>
            <w:rPr>
              <w:rFonts w:eastAsia="Calibri"/>
              <w:szCs w:val="24"/>
            </w:rPr>
            <w:t>02-001-06-04-02 „Didinti klimato kaitos politikos veiksmingumą“ aprašo</w:t>
          </w:r>
        </w:p>
        <w:p>
          <w:pPr>
            <w:ind w:left="3888" w:firstLine="1296"/>
            <w:jc w:val="both"/>
            <w:rPr>
              <w:rFonts w:eastAsia="Calibri"/>
              <w:szCs w:val="24"/>
            </w:rPr>
          </w:pPr>
          <w:sdt>
            <w:sdtPr>
              <w:alias w:val="Numeris"/>
              <w:tag w:val="nr_da3bfe72d44a474ebcb66a0005c2039c"/>
              <w:lock w:val="sdtLocked"/>
              <w:richText/>
            </w:sdtPr>
            <w:sdtContent>
              <w:r>
                <w:rPr>
                  <w:szCs w:val="24"/>
                </w:rPr>
                <w:t>4</w:t>
              </w:r>
            </w:sdtContent>
          </w:sdt>
          <w:r>
            <w:rPr>
              <w:szCs w:val="24"/>
            </w:rPr>
            <w:t xml:space="preserve"> priedas</w:t>
          </w:r>
        </w:p>
        <w:p>
          <w:pPr>
            <w:rPr>
              <w:iCs/>
              <w:szCs w:val="24"/>
            </w:rPr>
          </w:pPr>
        </w:p>
        <w:p>
          <w:pPr>
            <w:jc w:val="center"/>
            <w:rPr>
              <w:b/>
              <w:lang w:eastAsia="lt-LT"/>
            </w:rPr>
          </w:pPr>
          <w:sdt>
            <w:sdtPr>
              <w:alias w:val="Pavadinimas"/>
              <w:tag w:val="title_da3bfe72d44a474ebcb66a0005c2039c"/>
              <w:lock w:val="sdtLocked"/>
              <w:richText/>
            </w:sdtPr>
            <w:sdtContent>
              <w:r>
                <w:rPr>
                  <w:b/>
                </w:rPr>
                <w:t>2022–2030 METŲ LIETUVOS RESPUBLIKOS APLINKOS MINISTERIJOS APLINKOS APSAUGOS IR KLIMATO KAITOS VALDYMO PLĖTROS PROGRAMOS PAŽANGOS PRIEMONĖS NR. 02-001-06-04-02 „DIDINTI KLIMATO KAITOS POLITIKOS VEIKSMINGUMĄ“ VEIKLOS</w:t>
              </w:r>
              <w:r>
                <w:rPr>
                  <w:b/>
                  <w:bCs/>
                </w:rPr>
                <w:t xml:space="preserve"> </w:t>
              </w:r>
              <w:r>
                <w:rPr>
                  <w:b/>
                </w:rPr>
                <w:t>„</w:t>
              </w:r>
              <w:r>
                <w:rPr>
                  <w:b/>
                  <w:bCs/>
                </w:rPr>
                <w:t>ANTROS KARTOS BIODEGALAIS IR ELEKTRA VAROMOS ŽEMĖS ŪKIO TECHNIKOS SKATINIMAS</w:t>
              </w:r>
              <w:r>
                <w:rPr>
                  <w:b/>
                  <w:color w:val="000000"/>
                </w:rPr>
                <w:t>“</w:t>
              </w:r>
              <w:r>
                <w:rPr>
                  <w:b/>
                  <w:bCs/>
                </w:rPr>
                <w:t xml:space="preserve"> </w:t>
              </w:r>
              <w:r>
                <w:rPr>
                  <w:b/>
                </w:rPr>
                <w:t>PROJEKTŲ FINANSAVIMO SĄLYGŲ APRAŠAS</w:t>
              </w:r>
            </w:sdtContent>
          </w:sdt>
        </w:p>
        <w:p>
          <w:pPr>
            <w:rPr>
              <w:sz w:val="14"/>
              <w:szCs w:val="1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8"/>
          </w:tblGrid>
          <w:tr>
            <w:tc>
              <w:tcPr>
                <w:tcW w:w="9918" w:type="dxa"/>
                <w:vAlign w:val="center"/>
              </w:tcPr>
              <w:p>
                <w:pPr>
                  <w:rPr>
                    <w:b/>
                    <w:szCs w:val="24"/>
                  </w:rPr>
                </w:pPr>
                <w:r>
                  <w:rPr>
                    <w:b/>
                    <w:szCs w:val="24"/>
                  </w:rPr>
                  <w:t>VEIKLOS AR POVEIKLĖS, KURIAI NUSTATOMOS PROJEKTŲ FINANSAVIMO SĄLYGOS, PAVADINIMAS</w:t>
                </w:r>
              </w:p>
            </w:tc>
          </w:tr>
          <w:tr>
            <w:trPr>
              <w:trHeight w:val="174"/>
            </w:trPr>
            <w:tc>
              <w:tcPr>
                <w:tcW w:w="9918" w:type="dxa"/>
              </w:tcPr>
              <w:p>
                <w:pPr>
                  <w:jc w:val="both"/>
                  <w:rPr>
                    <w:szCs w:val="24"/>
                    <w:lang w:eastAsia="lt-LT"/>
                  </w:rPr>
                </w:pPr>
                <w:r>
                  <w:rPr>
                    <w:szCs w:val="24"/>
                    <w:lang w:eastAsia="lt-LT"/>
                  </w:rPr>
                  <w:t xml:space="preserve">9.4 </w:t>
                </w:r>
                <w:r>
                  <w:rPr>
                    <w:iCs/>
                    <w:szCs w:val="24"/>
                    <w:lang w:eastAsia="lt-LT"/>
                  </w:rPr>
                  <w:t>„Antros kartos biodegalais ir elektra varomos žemės ūkio technikos skatinimas“</w:t>
                </w:r>
              </w:p>
            </w:tc>
          </w:tr>
        </w:tbl>
        <w:p>
          <w:pPr>
            <w:spacing w:line="259" w:lineRule="auto"/>
            <w:jc w:val="both"/>
            <w:rPr>
              <w:iCs/>
              <w:szCs w:val="24"/>
            </w:rPr>
          </w:pPr>
        </w:p>
        <w:p>
          <w:pPr>
            <w:spacing w:line="259" w:lineRule="auto"/>
            <w:jc w:val="both"/>
            <w:rPr>
              <w:b/>
              <w:bCs/>
              <w:iCs/>
              <w:szCs w:val="24"/>
            </w:rPr>
          </w:pPr>
          <w:r>
            <w:rPr>
              <w:b/>
              <w:bCs/>
              <w:iCs/>
              <w:szCs w:val="24"/>
            </w:rPr>
            <w:t xml:space="preserve">STEBĖSENOS RODIKLIAI </w:t>
          </w:r>
          <w:r>
            <w:rPr>
              <w:iCs/>
              <w:szCs w:val="24"/>
            </w:rPr>
            <w:t>(toliau – rodikliai)</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2126"/>
            <w:gridCol w:w="2268"/>
            <w:gridCol w:w="2864"/>
          </w:tblGrid>
          <w:tr>
            <w:trPr>
              <w:trHeight w:val="405"/>
            </w:trPr>
            <w:tc>
              <w:tcPr>
                <w:tcW w:w="2660" w:type="dxa"/>
                <w:shd w:val="clear" w:color="auto" w:fill="D0CECE" w:themeFill="background2" w:themeFillShade="E6"/>
                <w:vAlign w:val="center"/>
              </w:tcPr>
              <w:p>
                <w:pPr>
                  <w:spacing w:line="259" w:lineRule="auto"/>
                  <w:jc w:val="center"/>
                  <w:rPr>
                    <w:b/>
                    <w:bCs/>
                    <w:szCs w:val="24"/>
                  </w:rPr>
                </w:pPr>
                <w:r>
                  <w:rPr>
                    <w:b/>
                    <w:bCs/>
                    <w:szCs w:val="24"/>
                  </w:rPr>
                  <w:t>Rodiklio pavadinimas</w:t>
                </w:r>
              </w:p>
            </w:tc>
            <w:tc>
              <w:tcPr>
                <w:tcW w:w="2126" w:type="dxa"/>
                <w:shd w:val="clear" w:color="auto" w:fill="D0CECE" w:themeFill="background2" w:themeFillShade="E6"/>
                <w:vAlign w:val="center"/>
              </w:tcPr>
              <w:p>
                <w:pPr>
                  <w:spacing w:line="259" w:lineRule="auto"/>
                  <w:jc w:val="center"/>
                  <w:rPr>
                    <w:b/>
                    <w:bCs/>
                    <w:szCs w:val="24"/>
                  </w:rPr>
                </w:pPr>
                <w:r>
                  <w:rPr>
                    <w:b/>
                    <w:bCs/>
                    <w:szCs w:val="24"/>
                  </w:rPr>
                  <w:t>Rodiklio kodas</w:t>
                </w:r>
              </w:p>
            </w:tc>
            <w:tc>
              <w:tcPr>
                <w:tcW w:w="2268" w:type="dxa"/>
                <w:shd w:val="clear" w:color="auto" w:fill="D0CECE" w:themeFill="background2" w:themeFillShade="E6"/>
                <w:vAlign w:val="center"/>
              </w:tcPr>
              <w:p>
                <w:pPr>
                  <w:spacing w:line="259" w:lineRule="auto"/>
                  <w:jc w:val="center"/>
                  <w:rPr>
                    <w:b/>
                    <w:bCs/>
                    <w:szCs w:val="24"/>
                  </w:rPr>
                </w:pPr>
                <w:r>
                  <w:rPr>
                    <w:b/>
                    <w:bCs/>
                    <w:szCs w:val="24"/>
                  </w:rPr>
                  <w:t>Matavimo vienetai</w:t>
                </w:r>
              </w:p>
            </w:tc>
            <w:tc>
              <w:tcPr>
                <w:tcW w:w="2864" w:type="dxa"/>
                <w:shd w:val="clear" w:color="auto" w:fill="D0CECE" w:themeFill="background2" w:themeFillShade="E6"/>
                <w:vAlign w:val="center"/>
              </w:tcPr>
              <w:p>
                <w:pPr>
                  <w:spacing w:line="259" w:lineRule="auto"/>
                  <w:jc w:val="center"/>
                  <w:rPr>
                    <w:b/>
                    <w:bCs/>
                    <w:szCs w:val="24"/>
                  </w:rPr>
                </w:pPr>
                <w:r>
                  <w:rPr>
                    <w:b/>
                    <w:bCs/>
                    <w:szCs w:val="24"/>
                  </w:rPr>
                  <w:t>Siektina reikšmė ir pasiekimo data</w:t>
                </w:r>
              </w:p>
            </w:tc>
          </w:tr>
          <w:tr>
            <w:trPr>
              <w:trHeight w:val="725"/>
            </w:trPr>
            <w:tc>
              <w:tcPr>
                <w:tcW w:w="2660" w:type="dxa"/>
              </w:tcPr>
              <w:p>
                <w:pPr>
                  <w:spacing w:line="259" w:lineRule="auto"/>
                  <w:jc w:val="center"/>
                  <w:rPr>
                    <w:bCs/>
                    <w:iCs/>
                    <w:szCs w:val="24"/>
                  </w:rPr>
                </w:pPr>
                <w:r>
                  <w:rPr>
                    <w:bCs/>
                    <w:iCs/>
                    <w:color w:val="000000"/>
                    <w:szCs w:val="24"/>
                  </w:rPr>
                  <w:t>Suminis ŠESD sumažinimo efektas, tūkst. tonų CO</w:t>
                </w:r>
                <w:r>
                  <w:rPr>
                    <w:bCs/>
                    <w:iCs/>
                    <w:color w:val="000000"/>
                    <w:szCs w:val="24"/>
                    <w:vertAlign w:val="subscript"/>
                  </w:rPr>
                  <w:t>2</w:t>
                </w:r>
              </w:p>
            </w:tc>
            <w:tc>
              <w:tcPr>
                <w:tcW w:w="2126" w:type="dxa"/>
              </w:tcPr>
              <w:p>
                <w:pPr>
                  <w:spacing w:line="259" w:lineRule="auto"/>
                  <w:jc w:val="center"/>
                  <w:rPr>
                    <w:iCs/>
                    <w:color w:val="808080"/>
                    <w:szCs w:val="24"/>
                  </w:rPr>
                </w:pPr>
              </w:p>
            </w:tc>
            <w:tc>
              <w:tcPr>
                <w:tcW w:w="2268" w:type="dxa"/>
              </w:tcPr>
              <w:p>
                <w:pPr>
                  <w:spacing w:line="259" w:lineRule="auto"/>
                  <w:jc w:val="center"/>
                  <w:rPr>
                    <w:bCs/>
                    <w:iCs/>
                    <w:szCs w:val="24"/>
                  </w:rPr>
                </w:pPr>
                <w:r>
                  <w:rPr>
                    <w:bCs/>
                    <w:iCs/>
                    <w:color w:val="000000"/>
                    <w:szCs w:val="24"/>
                  </w:rPr>
                  <w:t>tūkst. tonų CO</w:t>
                </w:r>
                <w:r>
                  <w:rPr>
                    <w:bCs/>
                    <w:iCs/>
                    <w:color w:val="000000"/>
                    <w:szCs w:val="24"/>
                    <w:vertAlign w:val="subscript"/>
                  </w:rPr>
                  <w:t>2</w:t>
                </w:r>
              </w:p>
            </w:tc>
            <w:tc>
              <w:tcPr>
                <w:tcW w:w="2864" w:type="dxa"/>
              </w:tcPr>
              <w:p>
                <w:pPr>
                  <w:spacing w:line="259" w:lineRule="auto"/>
                  <w:jc w:val="center"/>
                  <w:rPr>
                    <w:bCs/>
                    <w:color w:val="000000"/>
                    <w:szCs w:val="24"/>
                  </w:rPr>
                </w:pPr>
                <w:r>
                  <w:rPr>
                    <w:bCs/>
                    <w:color w:val="000000"/>
                    <w:szCs w:val="24"/>
                  </w:rPr>
                  <w:t>28,9</w:t>
                </w:r>
              </w:p>
              <w:p>
                <w:pPr>
                  <w:spacing w:line="259" w:lineRule="auto"/>
                  <w:jc w:val="center"/>
                  <w:rPr>
                    <w:bCs/>
                    <w:iCs/>
                    <w:szCs w:val="24"/>
                  </w:rPr>
                </w:pPr>
                <w:r>
                  <w:rPr>
                    <w:bCs/>
                    <w:iCs/>
                  </w:rPr>
                  <w:t>2030 m. (IV ketv.)</w:t>
                </w:r>
              </w:p>
            </w:tc>
          </w:tr>
        </w:tbl>
        <w:p>
          <w:pPr>
            <w:spacing w:line="259" w:lineRule="auto"/>
            <w:jc w:val="both"/>
            <w:rPr>
              <w:i/>
              <w:szCs w:val="24"/>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trPr>
              <w:trHeight w:val="298"/>
            </w:trPr>
            <w:tc>
              <w:tcPr>
                <w:tcW w:w="9923" w:type="dxa"/>
              </w:tcPr>
              <w:p>
                <w:pPr>
                  <w:rPr>
                    <w:b/>
                    <w:sz w:val="22"/>
                    <w:szCs w:val="24"/>
                  </w:rPr>
                </w:pPr>
                <w:r>
                  <w:rPr>
                    <w:b/>
                    <w:bCs/>
                    <w:szCs w:val="24"/>
                  </w:rPr>
                  <w:t>Aplinkos ministerijos stebėsenos rodiklių aprašymo kortelės</w:t>
                </w:r>
              </w:p>
            </w:tc>
          </w:tr>
          <w:tr>
            <w:trPr>
              <w:trHeight w:val="315"/>
            </w:trPr>
            <w:tc>
              <w:tcPr>
                <w:tcW w:w="9923" w:type="dxa"/>
              </w:tcPr>
              <w:p>
                <w:pPr>
                  <w:rPr>
                    <w:bCs/>
                    <w:iCs/>
                    <w:sz w:val="22"/>
                    <w:szCs w:val="24"/>
                  </w:rPr>
                </w:pPr>
                <w:r>
                  <w:rPr>
                    <w:bCs/>
                    <w:iCs/>
                    <w:sz w:val="22"/>
                    <w:szCs w:val="24"/>
                  </w:rPr>
                  <w:t>https://am.lrv.lt/lt/administracine-informacija/planavimo-dokumentai/pazangos-priemones/didinti-klimato-kaitos-politikos-veiksminguma/</w:t>
                </w:r>
              </w:p>
            </w:tc>
          </w:tr>
        </w:tbl>
        <w:p>
          <w:pPr>
            <w:spacing w:line="259" w:lineRule="auto"/>
            <w:jc w:val="both"/>
            <w:rPr>
              <w:i/>
              <w:szCs w:val="24"/>
            </w:rPr>
          </w:pPr>
        </w:p>
        <w:tbl>
          <w:tblPr>
            <w:tblW w:w="9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3"/>
          </w:tblGrid>
          <w:tr>
            <w:tc>
              <w:tcPr>
                <w:tcW w:w="9873" w:type="dxa"/>
              </w:tcPr>
              <w:p>
                <w:pPr>
                  <w:rPr>
                    <w:b/>
                    <w:szCs w:val="24"/>
                  </w:rPr>
                </w:pPr>
                <w:r>
                  <w:rPr>
                    <w:b/>
                    <w:szCs w:val="24"/>
                  </w:rPr>
                  <w:t>SPECIALIEJI FINANSAVIMO REIKALAVIMAI</w:t>
                </w:r>
              </w:p>
            </w:tc>
          </w:tr>
          <w:tr>
            <w:tc>
              <w:tcPr>
                <w:tcW w:w="9873" w:type="dxa"/>
              </w:tcPr>
              <w:p>
                <w:pPr>
                  <w:rPr>
                    <w:b/>
                    <w:bCs/>
                    <w:szCs w:val="24"/>
                  </w:rPr>
                </w:pPr>
                <w:r>
                  <w:rPr>
                    <w:b/>
                    <w:bCs/>
                    <w:szCs w:val="24"/>
                  </w:rPr>
                  <w:t>1. Taikomi teisės aktai</w:t>
                </w:r>
              </w:p>
            </w:tc>
          </w:tr>
          <w:tr>
            <w:tc>
              <w:tcPr>
                <w:tcW w:w="9873" w:type="dxa"/>
                <w:shd w:val="clear" w:color="auto" w:fill="auto"/>
              </w:tcPr>
              <w:p>
                <w:pPr>
                  <w:jc w:val="both"/>
                  <w:rPr>
                    <w:iCs/>
                    <w:szCs w:val="24"/>
                  </w:rPr>
                </w:pPr>
                <w:r>
                  <w:rPr>
                    <w:iCs/>
                    <w:szCs w:val="24"/>
                  </w:rPr>
                  <w:t>1.1. 2022–2025 m. Klimato kaitos programos investicijų planas, patvirtintas Lietuvos Respublikos Vyriausybės 2022 m. balandžio 20 d. nutarimu Nr. 383 „Dėl 2022–2025 m. Klimato kaitos programos investicijų plano patvirtinimo“;</w:t>
                </w:r>
              </w:p>
              <w:p>
                <w:pPr>
                  <w:jc w:val="both"/>
                  <w:rPr>
                    <w:iCs/>
                    <w:szCs w:val="24"/>
                  </w:rPr>
                </w:pPr>
                <w:r>
                  <w:rPr>
                    <w:iCs/>
                    <w:szCs w:val="24"/>
                  </w:rPr>
                  <w:t xml:space="preserve">1.2. 2022–2030 metų plėtros programos valdytojos Lietuvos Respublikos aplinkos ministerijos aplinkos apsaugos ir klimato kaitos valdymo plėtros programos pažangos priemonės Nr. 02-001-06-04-02 „Didinti klimato kaitos politikos veiksmingumą“, patvirtintos </w:t>
                </w:r>
                <w:r>
                  <w:rPr>
                    <w:shd w:val="clear" w:color="auto" w:fill="FFFFFF"/>
                  </w:rPr>
                  <w:t>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w:t>
                </w:r>
                <w:r>
                  <w:rPr>
                    <w:b/>
                    <w:bCs/>
                    <w:shd w:val="clear" w:color="auto" w:fill="FFFFFF"/>
                  </w:rPr>
                  <w:t> </w:t>
                </w:r>
                <w:r>
                  <w:rPr>
                    <w:shd w:val="clear" w:color="auto" w:fill="FFFFFF"/>
                  </w:rPr>
                  <w:t>aprašo patvirtinimo“</w:t>
                </w:r>
                <w:r>
                  <w:rPr>
                    <w:iCs/>
                    <w:szCs w:val="24"/>
                  </w:rPr>
                  <w:t xml:space="preserve"> veiklos „Antros kartos biodegalais ir elektra varomos žemės ūkio technikos skatinimas“ projektų finansavimo sąlygų aprašas (toliau – Aprašas) parengtas vadovaujantis:</w:t>
                </w:r>
              </w:p>
              <w:p>
                <w:pPr>
                  <w:jc w:val="both"/>
                  <w:rPr>
                    <w:iCs/>
                    <w:szCs w:val="24"/>
                  </w:rPr>
                </w:pPr>
                <w:r>
                  <w:rPr>
                    <w:iCs/>
                    <w:szCs w:val="24"/>
                  </w:rPr>
                  <w:t>1.2.1. Lietuvos Respublikos alternatyviųjų degalų įstatymu;</w:t>
                </w:r>
              </w:p>
              <w:p>
                <w:pPr>
                  <w:jc w:val="both"/>
                  <w:rPr>
                    <w:iCs/>
                    <w:szCs w:val="24"/>
                  </w:rPr>
                </w:pPr>
                <w:r>
                  <w:rPr>
                    <w:bCs/>
                    <w:iCs/>
                    <w:szCs w:val="24"/>
                  </w:rPr>
                  <w:t xml:space="preserve">1.2.2. </w:t>
                </w:r>
                <w:r>
                  <w:rPr>
                    <w:iCs/>
                    <w:szCs w:val="24"/>
                  </w:rPr>
                  <w:t>Lietuvos Respublikos atsinaujinančių išteklių energetikos įstatymu;</w:t>
                </w:r>
              </w:p>
              <w:p>
                <w:pPr>
                  <w:jc w:val="both"/>
                  <w:rPr>
                    <w:iCs/>
                    <w:szCs w:val="24"/>
                  </w:rPr>
                </w:pPr>
                <w:r>
                  <w:rPr>
                    <w:iCs/>
                    <w:szCs w:val="24"/>
                  </w:rPr>
                  <w:t>1.2.3. Lietuvos Respublikos kooperatyvinių bendrovių (kooperatyvų) įstatymu;</w:t>
                </w:r>
              </w:p>
              <w:p>
                <w:pPr>
                  <w:jc w:val="both"/>
                  <w:rPr>
                    <w:iCs/>
                    <w:szCs w:val="24"/>
                  </w:rPr>
                </w:pPr>
                <w:r>
                  <w:rPr>
                    <w:iCs/>
                    <w:szCs w:val="24"/>
                  </w:rPr>
                  <w:t>1.2.4. Lietuvos Respublikos pirkimų, atliekamų vandentvarkos, energetikos, transporto ar pašto paslaugų srities perkančiųjų subjektų, įstatymu;</w:t>
                </w:r>
              </w:p>
              <w:p>
                <w:pPr>
                  <w:jc w:val="both"/>
                  <w:rPr>
                    <w:iCs/>
                    <w:szCs w:val="24"/>
                  </w:rPr>
                </w:pPr>
                <w:r>
                  <w:rPr>
                    <w:iCs/>
                    <w:szCs w:val="24"/>
                  </w:rPr>
                  <w:t>1.2.5.</w:t>
                </w:r>
                <w:r>
                  <w:rPr>
                    <w:bCs/>
                    <w:iCs/>
                    <w:szCs w:val="24"/>
                  </w:rPr>
                  <w:t xml:space="preserve"> Lietuvos Respublikos smulkiojo ir vidutinio verslo plėtros įstatymu;</w:t>
                </w:r>
              </w:p>
              <w:p>
                <w:pPr>
                  <w:jc w:val="both"/>
                  <w:rPr>
                    <w:iCs/>
                    <w:szCs w:val="24"/>
                  </w:rPr>
                </w:pPr>
                <w:r>
                  <w:rPr>
                    <w:iCs/>
                    <w:szCs w:val="24"/>
                  </w:rPr>
                  <w:t>1.2.6. Lietuvos Respublikos strateginio valdymo įstatymu;</w:t>
                </w:r>
              </w:p>
              <w:p>
                <w:pPr>
                  <w:jc w:val="both"/>
                  <w:rPr>
                    <w:iCs/>
                    <w:szCs w:val="24"/>
                  </w:rPr>
                </w:pPr>
                <w:r>
                  <w:rPr>
                    <w:iCs/>
                    <w:szCs w:val="24"/>
                  </w:rPr>
                  <w:t>1.2.7. Lietuvos Respublikos viešųjų pirkimų įstatymu;</w:t>
                </w:r>
              </w:p>
              <w:p>
                <w:pPr>
                  <w:jc w:val="both"/>
                  <w:rPr>
                    <w:iCs/>
                    <w:szCs w:val="24"/>
                  </w:rPr>
                </w:pPr>
                <w:r>
                  <w:rPr>
                    <w:iCs/>
                    <w:szCs w:val="24"/>
                  </w:rPr>
                  <w:t>1.2.8. Nacionaline klimato kaitos valdymo darbotvarke, patvirtinta Lietuvos Respublikos Seimo 2021 m. birželio 30 d. nutarimu Nr. XIV-490 „Dėl Nacionalinės klimato kaitos valdymo darbotvarkės patvirtinimo“;</w:t>
                </w:r>
              </w:p>
              <w:p>
                <w:pPr>
                  <w:jc w:val="both"/>
                  <w:rPr>
                    <w:iCs/>
                    <w:szCs w:val="24"/>
                  </w:rPr>
                </w:pPr>
                <w:r>
                  <w:rPr>
                    <w:iCs/>
                    <w:szCs w:val="24"/>
                  </w:rPr>
                  <w:t xml:space="preserve">1.2.9. Lietuvos Respublikos traktorių, savaeigių ir žemės ūkio mašinų ir jų priekabų registro įsteigimo ir jo nuostatais, patvirtintais  Lietuvos Respublikos Vyriausybės 2006 m. kovo 14 d. nutarimu Nr. 247 „Dėl Lietuvos Respublikos traktorių, savaeigių ir žemės ūkio mašinų ir jų priekabų registro įsteigimo ir jo nuostatų patvirtinimo“;</w:t>
                </w:r>
              </w:p>
              <w:p>
                <w:pPr>
                  <w:jc w:val="both"/>
                  <w:rPr>
                    <w:iCs/>
                    <w:szCs w:val="24"/>
                  </w:rPr>
                </w:pPr>
                <w:r>
                  <w:rPr>
                    <w:iCs/>
                    <w:szCs w:val="24"/>
                  </w:rPr>
                  <w:t>1.2.10. Strateginio valdymo metodika, patvirtinta Lietuvos Respublikos Vyriausybės 2021 m. balandžio 28 d. nutarimu Nr. 292 „Dėl Strateginio valdymo metodikos patvirtinimo“;</w:t>
                </w:r>
              </w:p>
              <w:p>
                <w:pPr>
                  <w:jc w:val="both"/>
                  <w:rPr>
                    <w:iCs/>
                    <w:szCs w:val="24"/>
                  </w:rPr>
                </w:pPr>
                <w:r>
                  <w:rPr>
                    <w:iCs/>
                    <w:szCs w:val="24"/>
                  </w:rPr>
                  <w:t xml:space="preserve">1.2.11. 2014 m. birželio 17 d. Komisijos reglamentu </w:t>
                </w:r>
                <w:fldSimple w:instr="HYPERLINK http://eur-lex.europa.eu/legal-content/LIT/TXT/?uri=CELEX:32651R2014&amp;locale=lt \t _blank">
                  <w:r>
                    <w:rPr>
                      <w:iCs/>
                      <w:szCs w:val="24"/>
                      <w:u w:val="single"/>
                      <w:color w:val="0000FF" w:themeColor="hyperlink"/>
                    </w:rPr>
                    <w:t>(ES) 651/2014</w:t>
                  </w:r>
                </w:fldSimple>
                <w:r>
                  <w:rPr>
                    <w:iCs/>
                    <w:szCs w:val="24"/>
                  </w:rPr>
                  <w:t xml:space="preserve">, kuriuo tam tikrų kategorijų pagalba skelbiama suderinama su vidaus rinka taikant Sutarties 107 ir 108 straipsnius, su visais pakeitimais (toliau – Reglamentas </w:t>
                </w:r>
                <w:fldSimple w:instr="HYPERLINK http://eur-lex.europa.eu/legal-content/LIT/TXT/?uri=CELEX:32651R2014&amp;locale=lt \t _blank">
                  <w:r>
                    <w:rPr>
                      <w:iCs/>
                      <w:szCs w:val="24"/>
                      <w:u w:val="single"/>
                      <w:color w:val="0000FF" w:themeColor="hyperlink"/>
                    </w:rPr>
                    <w:t>(ES) 651/2014</w:t>
                  </w:r>
                </w:fldSimple>
                <w:r>
                  <w:rPr>
                    <w:iCs/>
                    <w:szCs w:val="24"/>
                  </w:rPr>
                  <w:t>);</w:t>
                </w:r>
              </w:p>
              <w:p>
                <w:pPr>
                  <w:jc w:val="both"/>
                  <w:rPr>
                    <w:iCs/>
                    <w:szCs w:val="24"/>
                  </w:rPr>
                </w:pPr>
                <w:r>
                  <w:rPr>
                    <w:iCs/>
                    <w:szCs w:val="24"/>
                  </w:rPr>
                  <w:t xml:space="preserve">1.2.12. 2022 m. gruodžio 14 d. Komisijos reglamentu </w:t>
                </w:r>
                <w:fldSimple w:instr="HYPERLINK http://eur-lex.europa.eu/legal-content/LIT/TXT/?uri=CELEX:32022R2472&amp;locale=lt \t _blank">
                  <w:r>
                    <w:rPr>
                      <w:iCs/>
                      <w:szCs w:val="24"/>
                      <w:u w:val="single"/>
                      <w:color w:val="0000FF" w:themeColor="hyperlink"/>
                    </w:rPr>
                    <w:t>(ES) 2022/2472</w:t>
                  </w:r>
                </w:fldSimple>
                <w:r>
                  <w:rPr>
                    <w:iCs/>
                    <w:szCs w:val="24"/>
                  </w:rPr>
                  <w:t xml:space="preserve">, kuriuo skelbiama, kad tam tikrų kategorijų pagalba žemės bei miškų ūkio sektoriuose ir kaimo vietovėse yra suderinama su vidaus rinka pagal Sutarties dėl Europos Sąjungos veikimo 107 ir 108 straipsnius, su visais pakeitimais (toliau – Reglamentas </w:t>
                </w:r>
                <w:fldSimple w:instr="HYPERLINK http://eur-lex.europa.eu/legal-content/LIT/TXT/?uri=CELEX:32022R2472&amp;locale=lt \t _blank">
                  <w:r>
                    <w:rPr>
                      <w:iCs/>
                      <w:szCs w:val="24"/>
                      <w:u w:val="single"/>
                      <w:color w:val="0000FF" w:themeColor="hyperlink"/>
                    </w:rPr>
                    <w:t>(ES) 2022/2472</w:t>
                  </w:r>
                </w:fldSimple>
                <w:r>
                  <w:rPr>
                    <w:iCs/>
                    <w:szCs w:val="24"/>
                  </w:rPr>
                  <w:t>);</w:t>
                </w:r>
              </w:p>
              <w:p>
                <w:pPr>
                  <w:jc w:val="both"/>
                  <w:rPr>
                    <w:iCs/>
                    <w:szCs w:val="24"/>
                  </w:rPr>
                </w:pPr>
                <w:r>
                  <w:rPr>
                    <w:iCs/>
                    <w:szCs w:val="24"/>
                  </w:rPr>
                  <w:t>1.2.13. Traktorių, savaeigių ir žemės ūkio mašinų ir jų priekabų registravimo taisyklės, patvirtintos Lietuvos Respublikos žemės ūkio ministro 2006 m. spalio 2 d. įsakymu Nr. 3D-384 „Dėl Traktorių, savaeigių ir žemės ūkio mašinų ir jų priekabų registravimo taisyklių patvirtinimo“ (toliau – Registravimo taisyklės);</w:t>
                </w:r>
              </w:p>
              <w:p>
                <w:pPr>
                  <w:jc w:val="both"/>
                  <w:rPr>
                    <w:iCs/>
                    <w:szCs w:val="24"/>
                  </w:rPr>
                </w:pPr>
                <w:r>
                  <w:rPr>
                    <w:iCs/>
                    <w:szCs w:val="24"/>
                  </w:rPr>
                  <w:t>1.2.14. Subjektų, kurie nėra perkančiosios organizacijos pagal Lietuvos Respublikos viešųjų pirkimų įstatymą ir nėra perkantieji subjektai pagal Lietuvos Respublikos pirkimų, atliekamų vandentvarkos, energetikos, transporto ar pašto paslaugų srities perkančiųjų subjektų įstatymą, pirkimų vykdymo tvarkos aprašu, patvirtintu Lietuvos Respublikos aplinkos ministro 2010 m. rugsėjo 14 d. įsakymu Nr. D1-762 „Dėl Subjektų, kurie nėra perkančiosios organizacijos pagal Lietuvos Respublikos viešųjų pirkimų įstatymą ir nėra perkantieji subjektai pagal Lietuvos Respublikos pirkimų, atliekamų vandentvarkos, energetikos, transporto ar pašto paslaugų srities perkančiųjų subjektų, įstatymą, pirkimų vykdymo tvarkos aprašo patvirtinimo (toliau – Subjektų, kurie nėra perkančiosios organizacijos aprašas);</w:t>
                </w:r>
              </w:p>
              <w:p>
                <w:pPr>
                  <w:jc w:val="both"/>
                  <w:rPr>
                    <w:iCs/>
                    <w:szCs w:val="24"/>
                  </w:rPr>
                </w:pPr>
                <w:r>
                  <w:rPr>
                    <w:iCs/>
                    <w:szCs w:val="24"/>
                  </w:rPr>
                  <w:t>1.2.15. Aplinkos apsaugos kriterijų taikymo, vykdant žaliuosius pirkimus, tvarkos aprašu, patvirtintu Lietuvos Respublikos aplinkos ministro 2011 m. birželio 28 d. įsakymu Nr. D1-508 „Dėl Aplinkos apsaugos kriterijų taikymo, vykdant žaliuosius pirkimus, tvarkos aprašo patvirtinimo“ (toliau – Žaliųjų pirkimų aprašas);</w:t>
                </w:r>
              </w:p>
              <w:p>
                <w:pPr>
                  <w:jc w:val="both"/>
                  <w:rPr>
                    <w:iCs/>
                    <w:szCs w:val="24"/>
                  </w:rPr>
                </w:pPr>
                <w:r>
                  <w:rPr>
                    <w:iCs/>
                    <w:szCs w:val="24"/>
                  </w:rPr>
                  <w:t xml:space="preserve">1.2.16. Projektų, finansuojamų valstybės biudžeto lėšomis, administravimo ir finansavimo taisyklėmis, patvirtintomis Lietuvos Respublikos finansų ministro 2021 m. birželio 28 d. įsakymu  Nr. 1K-227 „Dėl Strateginio valdymo metodikos taikymo“ (toliau – Projektų taisyklės).</w:t>
                </w:r>
              </w:p>
              <w:p>
                <w:pPr>
                  <w:jc w:val="both"/>
                  <w:rPr>
                    <w:szCs w:val="24"/>
                  </w:rPr>
                </w:pPr>
                <w:r>
                  <w:rPr>
                    <w:iCs/>
                    <w:szCs w:val="24"/>
                  </w:rPr>
                  <w:t>1.3. Apraše vartojamos sąvokos suprantamos taip, kaip jos apibrėžtos Aprašo 1.2 papunktyje nurodytuose teisės aktuose.</w:t>
                </w:r>
              </w:p>
            </w:tc>
          </w:tr>
          <w:tr>
            <w:tc>
              <w:tcPr>
                <w:tcW w:w="9873" w:type="dxa"/>
              </w:tcPr>
              <w:p>
                <w:pPr>
                  <w:rPr>
                    <w:b/>
                    <w:szCs w:val="24"/>
                  </w:rPr>
                </w:pPr>
                <w:r>
                  <w:rPr>
                    <w:b/>
                    <w:szCs w:val="24"/>
                  </w:rPr>
                  <w:t xml:space="preserve">2. Reikalavimai projektams, pareiškėjams ir partneriams </w:t>
                </w:r>
              </w:p>
            </w:tc>
          </w:tr>
          <w:tr>
            <w:tc>
              <w:tcPr>
                <w:tcW w:w="9873" w:type="dxa"/>
              </w:tcPr>
              <w:p>
                <w:pPr>
                  <w:jc w:val="both"/>
                  <w:rPr>
                    <w:szCs w:val="24"/>
                    <w:lang w:eastAsia="lt-LT"/>
                  </w:rPr>
                </w:pPr>
                <w:r>
                  <w:rPr>
                    <w:szCs w:val="24"/>
                    <w:lang w:eastAsia="lt-LT"/>
                  </w:rPr>
                  <w:t xml:space="preserve">2.1. Pagal Aprašą finansuojama veikla – naujų elektra, biodujomis, biometanu varomos žemės ūkio technikos ir (ar) savaeigių mašinų: traktorių, derliaus nuėmimo technikos, krautuvų, savaeigių purkštuvų, kitos technikos, naudojamos žemės ūkio produktų gamyboje (toliau – žemės ūkio technika ir (ar) savaeigė mašina) pirkimas. Nauja žemės ūkio technika ir  (ar) savaeigė mašina – nuo  kurios pirmo registravimo iki registravimo valdytojo vardu yra praėję ne daugiau kaip 6 (šeši) mėnesiai. Pirmo registravimo Lietuvoje data – ne ankstesnė kaip kvietimo teikti paraiškas Lietuvos Respublikos aplinkos ministerijos Aplinkos projektų valdymo agentūrai (toliau – Agentūra) paskelbimo diena. </w:t>
                </w:r>
              </w:p>
              <w:p>
                <w:pPr>
                  <w:jc w:val="both"/>
                  <w:rPr>
                    <w:szCs w:val="24"/>
                    <w:lang w:eastAsia="lt-LT"/>
                  </w:rPr>
                </w:pPr>
                <w:r>
                  <w:rPr>
                    <w:szCs w:val="24"/>
                    <w:lang w:eastAsia="lt-LT"/>
                  </w:rPr>
                  <w:t>2.2. Pagal aprašą galimi pareiškėjai:</w:t>
                </w:r>
              </w:p>
              <w:p>
                <w:pPr>
                  <w:jc w:val="both"/>
                  <w:rPr>
                    <w:szCs w:val="24"/>
                    <w:lang w:eastAsia="lt-LT"/>
                  </w:rPr>
                </w:pPr>
                <w:r>
                  <w:rPr>
                    <w:szCs w:val="24"/>
                    <w:lang w:eastAsia="lt-LT"/>
                  </w:rPr>
                  <w:t>2.2.1. pirminės žemės ūkio gamybos veiklą vykdantys subjektai; </w:t>
                </w:r>
              </w:p>
              <w:p>
                <w:pPr>
                  <w:jc w:val="both"/>
                  <w:rPr>
                    <w:szCs w:val="24"/>
                    <w:lang w:eastAsia="lt-LT"/>
                  </w:rPr>
                </w:pPr>
                <w:r>
                  <w:rPr>
                    <w:szCs w:val="24"/>
                    <w:lang w:eastAsia="lt-LT"/>
                  </w:rPr>
                  <w:t xml:space="preserve">2.2.2. pripažinti žemės ūkio kooperatyvai (kaip nurodyta Kooperatyvinių bendrovių (kooperatyvų) įstatymo 31 straipsnyje), kurie vadovaujantis Reglamento </w:t>
                </w:r>
                <w:fldSimple w:instr="HYPERLINK http://eur-lex.europa.eu/legal-content/LIT/TXT/?uri=CELEX:32022R2472&amp;locale=lt \t _blank">
                  <w:r>
                    <w:rPr>
                      <w:szCs w:val="24"/>
                      <w:lang w:eastAsia="lt-LT"/>
                      <w:u w:val="single"/>
                      <w:color w:val="0000FF" w:themeColor="hyperlink"/>
                    </w:rPr>
                    <w:t>2022/2472</w:t>
                  </w:r>
                </w:fldSimple>
                <w:r>
                  <w:rPr>
                    <w:szCs w:val="24"/>
                    <w:lang w:eastAsia="lt-LT"/>
                  </w:rPr>
                  <w:t xml:space="preserve"> I priedu priskiriami labai mažų, mažųjų ir vidutinių įmonių kategorijai;</w:t>
                </w:r>
              </w:p>
              <w:p>
                <w:pPr>
                  <w:jc w:val="both"/>
                  <w:rPr>
                    <w:szCs w:val="24"/>
                    <w:lang w:eastAsia="lt-LT"/>
                  </w:rPr>
                </w:pPr>
                <w:r>
                  <w:rPr>
                    <w:szCs w:val="24"/>
                    <w:lang w:eastAsia="lt-LT"/>
                  </w:rPr>
                  <w:t xml:space="preserve">2.2.3. labai mažos, mažos ir vidutinės įmonės, vykdančios pirminės žemės ūkio  gamybos veiklą.</w:t>
                </w:r>
              </w:p>
              <w:p>
                <w:pPr>
                  <w:jc w:val="both"/>
                  <w:rPr>
                    <w:szCs w:val="24"/>
                    <w:lang w:eastAsia="lt-LT"/>
                  </w:rPr>
                </w:pPr>
                <w:r>
                  <w:rPr>
                    <w:szCs w:val="24"/>
                    <w:lang w:eastAsia="lt-LT"/>
                  </w:rPr>
                  <w:t>2.3. Projektas vykdomas be partnerių.</w:t>
                </w:r>
              </w:p>
              <w:p>
                <w:pPr>
                  <w:jc w:val="both"/>
                  <w:rPr>
                    <w:szCs w:val="24"/>
                    <w:lang w:eastAsia="lt-LT"/>
                  </w:rPr>
                </w:pPr>
                <w:r>
                  <w:rPr>
                    <w:szCs w:val="24"/>
                    <w:lang w:eastAsia="lt-LT"/>
                  </w:rPr>
                  <w:t>2.4. Pagal Aprašą teikiamo finansavimo forma – dotacija.</w:t>
                </w:r>
              </w:p>
              <w:p>
                <w:pPr>
                  <w:tabs>
                    <w:tab w:val="left" w:pos="600"/>
                  </w:tabs>
                  <w:jc w:val="both"/>
                  <w:rPr>
                    <w:color w:val="000000"/>
                    <w:lang w:eastAsia="lt-LT"/>
                  </w:rPr>
                </w:pPr>
                <w:r>
                  <w:rPr>
                    <w:szCs w:val="24"/>
                  </w:rPr>
                  <w:t xml:space="preserve">2.5. Pagal </w:t>
                </w:r>
                <w:r>
                  <w:t xml:space="preserve">2022–2030 metų plėtros programos valdytojos Lietuvos Respublikos aplinkos ministerijos </w:t>
                </w:r>
                <w:r>
                  <w:rPr>
                    <w:color w:val="000000"/>
                    <w:lang w:eastAsia="lt-LT"/>
                  </w:rPr>
                  <w:t>aplinkos apsaugos ir klimato kaitos valdymo plėtros programos pažangos priemonės</w:t>
                </w:r>
                <w:r>
                  <w:rPr>
                    <w:caps/>
                    <w:color w:val="000000"/>
                    <w:lang w:eastAsia="lt-LT"/>
                  </w:rPr>
                  <w:t> N</w:t>
                </w:r>
                <w:r>
                  <w:rPr>
                    <w:color w:val="000000"/>
                    <w:lang w:eastAsia="lt-LT"/>
                  </w:rPr>
                  <w:t>r</w:t>
                </w:r>
                <w:r>
                  <w:rPr>
                    <w:caps/>
                    <w:color w:val="000000"/>
                    <w:lang w:eastAsia="lt-LT"/>
                  </w:rPr>
                  <w:t>. 02-001-06-04-02 „</w:t>
                </w:r>
                <w:r>
                  <w:rPr>
                    <w:color w:val="000000"/>
                    <w:lang w:eastAsia="lt-LT"/>
                  </w:rPr>
                  <w:t xml:space="preserve">Didinti klimato kaitos politikos veiksmingumą“ veiklą Nr. 9.4 </w:t>
                </w:r>
                <w:r>
                  <w:rPr>
                    <w:iCs/>
                    <w:color w:val="000000"/>
                    <w:lang w:eastAsia="lt-LT"/>
                  </w:rPr>
                  <w:t xml:space="preserve">„Antros kartos biodegalais ir elektra varomos žemės ūkio technikos skatinimas“ </w:t>
                </w:r>
                <w:r>
                  <w:rPr>
                    <w:color w:val="000000"/>
                    <w:lang w:eastAsia="lt-LT"/>
                  </w:rPr>
                  <w:t>projektams įgyvendinti skiriama iki 7 000 000 (septynių milijonų) eurų Klimato kaitos programos lėšų.</w:t>
                </w:r>
              </w:p>
              <w:p>
                <w:pPr>
                  <w:tabs>
                    <w:tab w:val="left" w:pos="600"/>
                  </w:tabs>
                  <w:jc w:val="both"/>
                  <w:rPr>
                    <w:color w:val="000000"/>
                    <w:lang w:eastAsia="lt-LT"/>
                  </w:rPr>
                </w:pPr>
                <w:r>
                  <w:rPr>
                    <w:color w:val="000000"/>
                    <w:lang w:eastAsia="lt-LT"/>
                  </w:rPr>
                  <w:t xml:space="preserve">2.6. Pagal Aprašą projektui teikiama valstybės pagalba, kaip ji apibrėžta Sutarties dėl Europos Sąjungos veikimo 107 straipsnyje. Finansavimas skiriamas kaip valstybės pagalba,  teikiama pagal Reglamento </w:t>
                </w:r>
                <w:fldSimple w:instr="HYPERLINK http://eur-lex.europa.eu/legal-content/LIT/TXT/?uri=CELEX:32022R2472&amp;locale=lt \t _blank">
                  <w:r>
                    <w:rPr>
                      <w:color w:val="0000FF" w:themeColor="hyperlink"/>
                      <w:lang w:eastAsia="lt-LT"/>
                      <w:u w:val="single"/>
                    </w:rPr>
                    <w:t>(ES) 2022/2472</w:t>
                  </w:r>
                </w:fldSimple>
                <w:r>
                  <w:rPr>
                    <w:color w:val="000000"/>
                    <w:lang w:eastAsia="lt-LT"/>
                  </w:rPr>
                  <w:t xml:space="preserve"> 14 straipsnį, kuriame nurodyta, kad pagalba teikiama investicijoms į žemės ūkio valdas, susijusias su pirmine žemės ūkio gamyba. Pagalba teikiama siekiant 14 straipsnio 3e dalies tikslo:  prisidėti prie klimato kaitos švelninimo ir prisitaikymo prie jos, be kita ko, mažinant išmetamą šiltnamio efektą sukeliančių dujų kiekį ir didinant anglies dioksido pašalinimą absorbentais, taip pat skatinant tvarią energiją ir energijos vartojimo efektyvumą. Didžiausia galima projekto finansuojama dalis negali sudaryti daugiau kaip 50 proc. tinkamų finansuoti išlaidų. Projektui skirtas finansavimas išmokamas pagal projekto finansavimo sutartyje nustatytą finansavimo </w:t>
                </w:r>
                <w:r>
                  <w:rPr>
                    <w:color w:val="000000"/>
                    <w:szCs w:val="24"/>
                    <w:lang w:eastAsia="lt-LT"/>
                  </w:rPr>
                  <w:t>sumą.</w:t>
                </w:r>
                <w:r>
                  <w:rPr>
                    <w:color w:val="000000"/>
                    <w:lang w:eastAsia="lt-LT"/>
                  </w:rPr>
                  <w:t xml:space="preserve">  </w:t>
                </w:r>
              </w:p>
              <w:p>
                <w:pPr>
                  <w:tabs>
                    <w:tab w:val="left" w:pos="600"/>
                  </w:tabs>
                  <w:jc w:val="both"/>
                  <w:rPr>
                    <w:color w:val="000000"/>
                    <w:lang w:eastAsia="lt-LT"/>
                  </w:rPr>
                </w:pPr>
                <w:r>
                  <w:rPr>
                    <w:color w:val="000000"/>
                    <w:lang w:eastAsia="lt-LT"/>
                  </w:rPr>
                  <w:t xml:space="preserve">2.7. Projektui skiriamos finansavimo lėšos yra valstybės pagalba, kurios dydis nustatomas pagal Aprašo 8 punkto nuostatas. Finansavimo dydis nustatomas kaip skirto finansavimo santykis su projekto tinkamų finansuoti išlaidų suma. Dotacijos vienos įmonės vienam investiciniam projektui dydis negali viršyti  1 000 000 (vieno milijono) eurų. Viena įmone tai pat laikomi atskiri juridiniai subjektai, jei vienas iš jų turi kito subjekto kontrolinį akcinį paketą ir juos sieja funkciniai, ekonominiai ir struktūriniai ryšiai. </w:t>
                </w:r>
              </w:p>
              <w:p>
                <w:pPr>
                  <w:tabs>
                    <w:tab w:val="left" w:pos="600"/>
                  </w:tabs>
                  <w:jc w:val="both"/>
                  <w:rPr>
                    <w:color w:val="000000"/>
                    <w:lang w:eastAsia="lt-LT"/>
                  </w:rPr>
                </w:pPr>
                <w:r>
                  <w:rPr>
                    <w:color w:val="000000"/>
                    <w:lang w:eastAsia="lt-LT"/>
                  </w:rPr>
                  <w:t xml:space="preserve">2.8. Jei žemės ūkio technikos ir (ar) savaeigės mašinos  įsigyjamos išperkamosios nuomos (lizingo) būdu,  jos pareiškėjo nuosavybėn turi pereiti iki galutinio mokėjimo prašymo pateikimo Agentūrai dienos; konkrečios sąlygos nustatomos finansavimo sutartyje. </w:t>
                </w:r>
              </w:p>
              <w:p>
                <w:pPr>
                  <w:tabs>
                    <w:tab w:val="left" w:pos="600"/>
                  </w:tabs>
                  <w:jc w:val="both"/>
                  <w:rPr>
                    <w:color w:val="000000"/>
                    <w:lang w:eastAsia="lt-LT"/>
                  </w:rPr>
                </w:pPr>
                <w:r>
                  <w:rPr>
                    <w:color w:val="000000"/>
                    <w:lang w:eastAsia="lt-LT"/>
                  </w:rPr>
                  <w:t>2.9. Finansavimas už tą pačią žemės ūkio techniką ir (ar) savaeigę mašiną gali būti skiriamas tik vieną kartą.</w:t>
                </w:r>
              </w:p>
              <w:p>
                <w:pPr>
                  <w:tabs>
                    <w:tab w:val="left" w:pos="600"/>
                  </w:tabs>
                  <w:jc w:val="both"/>
                  <w:rPr>
                    <w:color w:val="000000"/>
                    <w:lang w:eastAsia="lt-LT"/>
                  </w:rPr>
                </w:pPr>
                <w:r>
                  <w:rPr>
                    <w:color w:val="000000"/>
                    <w:lang w:eastAsia="lt-LT"/>
                  </w:rPr>
                  <w:t>2.10. Finansavimas neteikiamas žemės ūkio technikai ir (ar) savaeigėms mašinoms, registruotoms ne Lietuvos Respublikos teritorijoje.  </w:t>
                </w:r>
              </w:p>
              <w:p>
                <w:pPr>
                  <w:tabs>
                    <w:tab w:val="left" w:pos="600"/>
                  </w:tabs>
                  <w:jc w:val="both"/>
                  <w:rPr>
                    <w:color w:val="000000"/>
                    <w:lang w:eastAsia="lt-LT"/>
                  </w:rPr>
                </w:pPr>
                <w:r>
                  <w:rPr>
                    <w:color w:val="000000"/>
                    <w:lang w:eastAsia="lt-LT"/>
                  </w:rPr>
                  <w:t>2.11. Projekto tinkamų finansuoti išlaidų dalis, kurios nepadengia projektui skiriamo finansavimo lėšos, ir netinkamos finansuoti projekto išlaidos turi būti finansuojamos pareiškėjo lėšomis. Pareiškėjo nuosavų lėšų šaltiniai, iš kurių įgyvendinamas projektas ar jo dalis, turi būti aiškiai apibrėžti, patikimi, tinkami, pakankami ir realūs projektų įgyvendinimo planų (toliau – PĮP) pateikimo metu. Pakankamai apibrėžtais, patikimais ir tinkamais nuosavų lėšų finansavimo šaltiniais gali būti laikoma:</w:t>
                </w:r>
              </w:p>
              <w:p>
                <w:pPr>
                  <w:tabs>
                    <w:tab w:val="left" w:pos="600"/>
                  </w:tabs>
                  <w:jc w:val="both"/>
                  <w:rPr>
                    <w:color w:val="000000"/>
                    <w:lang w:eastAsia="lt-LT"/>
                  </w:rPr>
                </w:pPr>
                <w:r>
                  <w:rPr>
                    <w:color w:val="000000"/>
                    <w:lang w:eastAsia="lt-LT"/>
                  </w:rPr>
                  <w:t>2.11.1. kredito įstaigos paskola; jei pareiškėjo planuojamas nuosavų lėšų šaltinis yra kredito įstaigos paskola, pateikiamas preliminarus kredito įstaigos sprendimas suteikti paskolą;</w:t>
                </w:r>
              </w:p>
              <w:p>
                <w:pPr>
                  <w:tabs>
                    <w:tab w:val="left" w:pos="600"/>
                  </w:tabs>
                  <w:jc w:val="both"/>
                  <w:rPr>
                    <w:color w:val="000000"/>
                    <w:lang w:eastAsia="lt-LT"/>
                  </w:rPr>
                </w:pPr>
                <w:r>
                  <w:rPr>
                    <w:color w:val="000000"/>
                    <w:lang w:eastAsia="lt-LT"/>
                  </w:rPr>
                  <w:t>2.11.2. pareiškėjo piniginės lėšos; su PĮP pateikiamas sprendimas, patvirtintas juridinio asmens atitinkamo valdymo organo ar asmens (asmenų grupės), turinčio (-ios) teisę priimti tokius sprendimus, kuriuo nutarta projektui skirti tam tikrą lėšų sumą, ir informacija apie lėšų šaltinį (kredito įstaigos sąskaitos (-ų) išrašas ar kredito įstaigos pažyma apie pareiškėjo turimas lėšas, numatomos pajamos, pelnas, nepaskirstytini rezervai ar kt.).</w:t>
                </w:r>
              </w:p>
              <w:p>
                <w:pPr>
                  <w:tabs>
                    <w:tab w:val="left" w:pos="600"/>
                  </w:tabs>
                  <w:jc w:val="both"/>
                  <w:rPr>
                    <w:color w:val="000000"/>
                    <w:lang w:eastAsia="lt-LT"/>
                  </w:rPr>
                </w:pPr>
                <w:r>
                  <w:rPr>
                    <w:color w:val="000000"/>
                    <w:lang w:eastAsia="lt-LT"/>
                  </w:rPr>
                  <w:t>2.12. Projektų atranką Agentūra atlieka tęstinės atrankos būdu (paraiškos priimamos, kol pakanka lėšų projektams įgyvendinti (7 0</w:t>
                </w:r>
                <w:r>
                  <w:rPr>
                    <w:iCs/>
                    <w:color w:val="000000"/>
                    <w:lang w:eastAsia="lt-LT"/>
                  </w:rPr>
                  <w:t>00 000 eurų)</w:t>
                </w:r>
                <w:r>
                  <w:rPr>
                    <w:color w:val="000000"/>
                    <w:lang w:eastAsia="lt-LT"/>
                  </w:rPr>
                  <w:t>, bet ne ilgiau kaip 12 mėn. nuo kvietimo pradžios).</w:t>
                </w:r>
              </w:p>
              <w:p>
                <w:pPr>
                  <w:tabs>
                    <w:tab w:val="left" w:pos="600"/>
                  </w:tabs>
                  <w:jc w:val="both"/>
                  <w:rPr>
                    <w:color w:val="000000"/>
                    <w:lang w:eastAsia="lt-LT"/>
                  </w:rPr>
                </w:pPr>
                <w:r>
                  <w:rPr>
                    <w:color w:val="000000"/>
                    <w:lang w:eastAsia="lt-LT"/>
                  </w:rPr>
                  <w:t>2.13. Projektų atranką vykdo ir įgyvendinimą administruoja Agentūra.</w:t>
                </w:r>
              </w:p>
              <w:p>
                <w:pPr>
                  <w:tabs>
                    <w:tab w:val="left" w:pos="600"/>
                  </w:tabs>
                  <w:jc w:val="both"/>
                  <w:rPr>
                    <w:color w:val="000000"/>
                    <w:lang w:eastAsia="lt-LT"/>
                  </w:rPr>
                </w:pPr>
                <w:r>
                  <w:rPr>
                    <w:color w:val="000000"/>
                    <w:lang w:eastAsia="lt-LT"/>
                  </w:rPr>
                  <w:t>2.14. Vienas pareiškėjas vieno kvietimo teikti PĮP metu gali pateikti tik vieną PĮP per Agentūros informacinę sistemą (toliau – APVIS) (https://apvis.apva.lt). PĮP rengiamas pagal Agentūros paskelbtą kvietimo formą.</w:t>
                </w:r>
              </w:p>
              <w:p>
                <w:pPr>
                  <w:tabs>
                    <w:tab w:val="left" w:pos="600"/>
                  </w:tabs>
                  <w:jc w:val="both"/>
                  <w:rPr>
                    <w:color w:val="000000"/>
                    <w:lang w:eastAsia="lt-LT"/>
                  </w:rPr>
                </w:pPr>
                <w:r>
                  <w:rPr>
                    <w:color w:val="000000"/>
                    <w:lang w:eastAsia="lt-LT"/>
                  </w:rPr>
                  <w:t xml:space="preserve">2.15. PĮP teikiami tik per APVIS, vertinami ir atrenkami vadovaujantis Projektų taisyklių III skyriaus antrajame skirsnyje „PĮP vertinimas“ ir kvietime teikti PĮP nustatyta tvarka. </w:t>
                </w:r>
              </w:p>
              <w:p>
                <w:pPr>
                  <w:tabs>
                    <w:tab w:val="left" w:pos="600"/>
                  </w:tabs>
                  <w:jc w:val="both"/>
                  <w:rPr>
                    <w:color w:val="000000"/>
                    <w:lang w:eastAsia="lt-LT"/>
                  </w:rPr>
                </w:pPr>
                <w:r>
                  <w:rPr>
                    <w:color w:val="000000"/>
                    <w:lang w:eastAsia="lt-LT"/>
                  </w:rPr>
                  <w:t>2.16. PĮP nurodyti duomenys, be Agentūros paklausimo, po PĮP pateikimo dienos negali būti koreguojami ar tikslinami.</w:t>
                </w:r>
              </w:p>
              <w:p>
                <w:pPr>
                  <w:tabs>
                    <w:tab w:val="left" w:pos="600"/>
                  </w:tabs>
                  <w:jc w:val="both"/>
                  <w:rPr>
                    <w:color w:val="000000"/>
                    <w:lang w:eastAsia="lt-LT"/>
                  </w:rPr>
                </w:pPr>
                <w:r>
                  <w:rPr>
                    <w:color w:val="000000"/>
                    <w:lang w:eastAsia="lt-LT"/>
                  </w:rPr>
                  <w:t>2.17. Planuojamų pirkti žemės ūkio technikos ir (ar) savaeigių mašinų skaičius neribojamas. Pareiškėjas yra atsakingas už projekto įgyvendinimą, rezultatus ir turi užtikrinti, kad įsigytos žemės ūkio technikos ir (ar) savaeigės mašinos 5 metus pasibaigus projekto finansavimui būtų registruotos Lietuvos Respublikos teritorijoje. Pareiškėjas įsipareigoja neparduoti ar kitaip neperleisti žemės ūkio technikos ir (ar) savaeigės mašinos, už kurią skirta dotacija, 5 metus nuo dotacijos sumokėjimo datos.</w:t>
                </w:r>
              </w:p>
              <w:p>
                <w:pPr>
                  <w:tabs>
                    <w:tab w:val="left" w:pos="600"/>
                  </w:tabs>
                  <w:jc w:val="both"/>
                  <w:rPr>
                    <w:color w:val="000000"/>
                    <w:lang w:eastAsia="lt-LT"/>
                  </w:rPr>
                </w:pPr>
                <w:r>
                  <w:rPr>
                    <w:color w:val="000000"/>
                    <w:lang w:eastAsia="lt-LT"/>
                  </w:rPr>
                  <w:t>2.18. Projekto veiklos mažins šiltnamio efektą sukeliančių dujų (toliau – ŠESD) žemės ūkiui ir transportui būdingų oro teršalų kiekį Lietuvoje.</w:t>
                </w:r>
              </w:p>
              <w:p>
                <w:pPr>
                  <w:tabs>
                    <w:tab w:val="left" w:pos="600"/>
                  </w:tabs>
                  <w:jc w:val="both"/>
                  <w:rPr>
                    <w:color w:val="000000"/>
                    <w:lang w:eastAsia="lt-LT"/>
                  </w:rPr>
                </w:pPr>
                <w:r>
                  <w:rPr>
                    <w:color w:val="000000"/>
                    <w:lang w:eastAsia="lt-LT"/>
                  </w:rPr>
                  <w:t>2.19. Pagal Aprašą finansavimas projektui neskiriamas, jeigu pareiškėjas įrašytas į Finansinių nusikaltimų tyrimo tarnybos prie Lietuvos Respublikos vidaus reikalų ministerijos interneto svetainėje skelbiamą fizinių ir (arba) juridinių asmenų, turinčių sąsajų su subjektais, kuriems taikomos tarptautinės sankcijos, sąrašą.</w:t>
                </w:r>
              </w:p>
              <w:p>
                <w:pPr>
                  <w:tabs>
                    <w:tab w:val="left" w:pos="600"/>
                  </w:tabs>
                  <w:jc w:val="both"/>
                  <w:rPr>
                    <w:iCs/>
                    <w:color w:val="000000"/>
                    <w:lang w:eastAsia="lt-LT"/>
                  </w:rPr>
                </w:pPr>
                <w:r>
                  <w:rPr>
                    <w:color w:val="000000"/>
                    <w:lang w:eastAsia="lt-LT"/>
                  </w:rPr>
                  <w:t xml:space="preserve">2.20. </w:t>
                </w:r>
                <w:r>
                  <w:rPr>
                    <w:iCs/>
                    <w:color w:val="000000"/>
                    <w:lang w:eastAsia="lt-LT"/>
                  </w:rPr>
                  <w:t>Su PĮP pareiškėjas turi pateikti Agentūrai užpildytus Projektų taisyklėse nustatytus PĮP priedus ir šiuos dokumentus arba informaciją:</w:t>
                </w:r>
              </w:p>
              <w:p>
                <w:pPr>
                  <w:tabs>
                    <w:tab w:val="left" w:pos="600"/>
                  </w:tabs>
                  <w:jc w:val="both"/>
                  <w:rPr>
                    <w:color w:val="000000"/>
                    <w:lang w:eastAsia="lt-LT"/>
                  </w:rPr>
                </w:pPr>
                <w:r>
                  <w:rPr>
                    <w:color w:val="000000"/>
                    <w:lang w:eastAsia="lt-LT"/>
                  </w:rPr>
                  <w:t xml:space="preserve">2.20.1. apie planuojamus pirkti žemės ūkio technikos ir (ar) savaeigės mašinos tipus ir skaičių, paraiškoje turi būti nurodyta technikos varomosios galios (variklio) kuro rūšis (biometanas, biodujos,  ar elektra); </w:t>
                </w:r>
              </w:p>
              <w:p>
                <w:pPr>
                  <w:tabs>
                    <w:tab w:val="left" w:pos="600"/>
                  </w:tabs>
                  <w:jc w:val="both"/>
                  <w:rPr>
                    <w:color w:val="000000"/>
                    <w:lang w:eastAsia="lt-LT"/>
                  </w:rPr>
                </w:pPr>
                <w:r>
                  <w:rPr>
                    <w:color w:val="000000"/>
                    <w:lang w:eastAsia="lt-LT"/>
                  </w:rPr>
                  <w:t>2.20.2. dokumentus, pagrindžiančius projekto biudžetą (tiekėjo komercinis pasiūlymas (mažiausiai 1) arba bent 1 nuoroda į rinkos kainas)</w:t>
                </w:r>
                <w:r>
                  <w:rPr>
                    <w:color w:val="000000"/>
                    <w:shd w:val="clear" w:color="auto" w:fill="FFFFFF"/>
                  </w:rPr>
                  <w:t>;</w:t>
                </w:r>
              </w:p>
              <w:p>
                <w:pPr>
                  <w:tabs>
                    <w:tab w:val="left" w:pos="600"/>
                  </w:tabs>
                  <w:jc w:val="both"/>
                  <w:rPr>
                    <w:color w:val="000000"/>
                    <w:lang w:eastAsia="lt-LT"/>
                  </w:rPr>
                </w:pPr>
                <w:r>
                  <w:rPr>
                    <w:color w:val="000000"/>
                    <w:lang w:eastAsia="lt-LT"/>
                  </w:rPr>
                  <w:t>2.20.3. deklaraciją, kurioje patvirtina, kad paraiškoje numatytos išlaidos nebuvo, nėra ir nebus finansuojamos iš kitų ES ir (ar) nacionalinių programų ir (ar) priemonių; </w:t>
                </w:r>
              </w:p>
              <w:p>
                <w:pPr>
                  <w:tabs>
                    <w:tab w:val="left" w:pos="600"/>
                  </w:tabs>
                  <w:jc w:val="both"/>
                  <w:rPr>
                    <w:color w:val="000000"/>
                    <w:lang w:eastAsia="lt-LT"/>
                  </w:rPr>
                </w:pPr>
                <w:r>
                  <w:rPr>
                    <w:color w:val="000000"/>
                    <w:lang w:eastAsia="lt-LT"/>
                  </w:rPr>
                  <w:t>2.20.4. jei pareiškėjas yra pripažintas žemės ūkio kooperatyvas, pareiškėjas turi pateikti šį statusą patvirtinančius dokumentus; </w:t>
                </w:r>
              </w:p>
              <w:p>
                <w:pPr>
                  <w:tabs>
                    <w:tab w:val="left" w:pos="600"/>
                  </w:tabs>
                  <w:jc w:val="both"/>
                  <w:rPr>
                    <w:color w:val="000000"/>
                    <w:lang w:eastAsia="lt-LT"/>
                  </w:rPr>
                </w:pPr>
                <w:r>
                  <w:rPr>
                    <w:color w:val="000000"/>
                    <w:lang w:eastAsia="lt-LT"/>
                  </w:rPr>
                  <w:t>2.20.5. informaciją apie per praėjusius paskutinius trejus ūkinius metus įsigytą gazolių kiekį žemės ūkio produktų gamybai;</w:t>
                </w:r>
              </w:p>
              <w:p>
                <w:pPr>
                  <w:tabs>
                    <w:tab w:val="left" w:pos="600"/>
                  </w:tabs>
                  <w:jc w:val="both"/>
                  <w:rPr>
                    <w:color w:val="000000"/>
                    <w:lang w:eastAsia="lt-LT"/>
                  </w:rPr>
                </w:pPr>
                <w:r>
                  <w:rPr>
                    <w:color w:val="000000"/>
                    <w:lang w:eastAsia="lt-LT"/>
                  </w:rPr>
                  <w:t xml:space="preserve">2.20.6. deklaraciją, kad sutinka, jog kiekvienais vėlesniais  ūkiniai metais, pradedant nuo kitų ūkinių metų, kai įsigyta žemės ūkio technika ir (ar) savaeigės mašinos, naudojamos žemės ūkio produktų gamybai, sunaudojamas iškastinio kuro degalų kiekis ūkyje būtų sumažintas ne mažiau kaip 20 procentų. Kai paraišką teikia pripažintas žemės ūkio kooperatyvas, deklaraciją, kurioje visi besinaudosiantys žemės ūkio technika ir (ar) savaeigėmis mašinomis, naudojamomis žemės ūkio produktų gamybai, kooperatyvo nariai sutinka, kad kiekvienais vėlesniais  ūkiniais metais, pradedant nuo kitų ūkinių metų, kai įsigyta žemės ūkio technika ir (ar) transporto priemonės, naudojamos žemės ūkio produktų gamybai, sunaudojamas iškastinio kuro degalų kiekis ūkyje būtų sumažintas ne mažiau kaip 20 procentų. Kai planuojama pirkti žemės ūkio technika ir (ar) savaeigės mašina bus naudojama pagal jungtinės veiklos sutartį, deklaraciją, kurioje pateikiamas kiekvieno partnerio sutikimas dėl konkretaus degalų normos metinio sumažinimo ir bendras jungtinės veiklos partnerių degalų kiekio sutaupymas sudarytų ne mažiau kaip 20 procentų; </w:t>
                </w:r>
              </w:p>
              <w:p>
                <w:pPr>
                  <w:tabs>
                    <w:tab w:val="left" w:pos="600"/>
                  </w:tabs>
                  <w:jc w:val="both"/>
                  <w:rPr>
                    <w:color w:val="000000"/>
                    <w:lang w:eastAsia="lt-LT"/>
                  </w:rPr>
                </w:pPr>
                <w:r>
                  <w:rPr>
                    <w:color w:val="000000"/>
                    <w:lang w:eastAsia="lt-LT"/>
                  </w:rPr>
                  <w:t>2.20.7. apie planuojamą ŠESD sumažinimą per projekto įgyvendinimo laikotarpį. Įsigyjant elektra, biometanu ar biodujomis varomą žemės ūkio techniką ir (ar) savaeiges mašinas, projekto vertinamasis laikotarpis – 10 metų. ŠESD apskaičiuoti naudojama Transporto priemonių degalų rūšies reguliavimo poveikio vertinimo skaičiuoklė (https://aaa.lrv.lt/lt/veiklos-sritys/teisekuros-poveikio-vertinimas/teisekuros-poveikio-vertinimo-metodines-rekomendacijos-skaiciuokles/sesd-skaiciuokles/transporto-sektorius1/);</w:t>
                </w:r>
              </w:p>
              <w:p>
                <w:pPr>
                  <w:tabs>
                    <w:tab w:val="left" w:pos="600"/>
                  </w:tabs>
                  <w:jc w:val="both"/>
                  <w:rPr>
                    <w:color w:val="000000"/>
                    <w:lang w:eastAsia="lt-LT"/>
                  </w:rPr>
                </w:pPr>
                <w:r>
                  <w:rPr>
                    <w:iCs/>
                    <w:color w:val="000000"/>
                    <w:lang w:eastAsia="lt-LT"/>
                  </w:rPr>
                  <w:t>2.20.8. p</w:t>
                </w:r>
                <w:r>
                  <w:rPr>
                    <w:color w:val="000000"/>
                    <w:lang w:eastAsia="lt-LT"/>
                  </w:rPr>
                  <w:t xml:space="preserve">areiškėjo smulkiojo ir vidutinio verslo statuso deklaraciją (https://eimin.lrv.lt/lt/veiklos-sritys/verslo-aplinka/smulkiojo-ir-vidutinio-verslo-politika/statuso-deklaravimas-aktualus-dokumentai), jei pareiškėjas yra maža arba vidutinė įmonė, kaip šios sąvokos apibrėžtos Smulkiojo ir vidutinio verslo plėtros įstatymo 3 straipsnyje (deklaracijos forma patvirtinta Lietuvos Respublikos ūkio ministro 2008 m. kovo 26 d. įsakymu Nr. 4-119 „Dėl Smulkiojo ir vidutinio verslo subjekto statuso deklaravimo tvarkos aprašo ir Smulkiojo ir vidutinio verslo subjekto statuso deklaracijos formos patvirtinimo“; deklaraciją privaloma pateikti </w:t>
                </w:r>
                <w:r>
                  <w:rPr>
                    <w:i/>
                    <w:iCs/>
                    <w:color w:val="000000"/>
                    <w:lang w:eastAsia="lt-LT"/>
                  </w:rPr>
                  <w:t>Excel</w:t>
                </w:r>
                <w:r>
                  <w:rPr>
                    <w:color w:val="000000"/>
                    <w:lang w:eastAsia="lt-LT"/>
                  </w:rPr>
                  <w:t xml:space="preserve"> formatu, pasirašytą kvalifikuotu parašu), arba laisvos formos deklaraciją; </w:t>
                </w:r>
              </w:p>
              <w:p>
                <w:pPr>
                  <w:tabs>
                    <w:tab w:val="left" w:pos="600"/>
                  </w:tabs>
                  <w:jc w:val="both"/>
                  <w:rPr>
                    <w:color w:val="000000"/>
                    <w:lang w:eastAsia="lt-LT"/>
                  </w:rPr>
                </w:pPr>
                <w:r>
                  <w:rPr>
                    <w:color w:val="000000"/>
                    <w:lang w:eastAsia="lt-LT"/>
                  </w:rPr>
                  <w:t>2.20.9. pareiškėjo pastarųjų finansinių metų Lietuvos Respublikos įstatymuose nustatyta tvarka patvirtintų metinės finansinės (ir konsoliduotosios, jeigu taikoma) atskaitomybės dokumentų kopijas (netaikoma pareiškėjui, šias kopijas pateikusiam Juridinių asmenų registrui).</w:t>
                </w:r>
              </w:p>
              <w:p>
                <w:pPr>
                  <w:tabs>
                    <w:tab w:val="left" w:pos="600"/>
                  </w:tabs>
                  <w:jc w:val="both"/>
                  <w:rPr>
                    <w:color w:val="000000"/>
                    <w:lang w:eastAsia="lt-LT"/>
                  </w:rPr>
                </w:pPr>
                <w:r>
                  <w:rPr>
                    <w:color w:val="000000"/>
                    <w:lang w:eastAsia="lt-LT"/>
                  </w:rPr>
                  <w:t xml:space="preserve">2.21. Pareiškėjas atsako, kad įsigyta žemės ūkio technika ir (ar) savaeigė mašina būtų įregistruota Lietuvos Respublikos traktorių, savaeigių ir žemės ūkio mašinų ir jų priekabų registre vadovaujantis Registravimo taisyklėmis. </w:t>
                </w:r>
              </w:p>
              <w:p>
                <w:pPr>
                  <w:tabs>
                    <w:tab w:val="left" w:pos="600"/>
                  </w:tabs>
                  <w:jc w:val="both"/>
                  <w:rPr>
                    <w:color w:val="000000"/>
                    <w:lang w:eastAsia="lt-LT"/>
                  </w:rPr>
                </w:pPr>
                <w:r>
                  <w:rPr>
                    <w:color w:val="000000"/>
                    <w:lang w:eastAsia="lt-LT"/>
                  </w:rPr>
                  <w:t>2.22. Į</w:t>
                </w:r>
                <w:r>
                  <w:rPr>
                    <w:iCs/>
                    <w:color w:val="000000"/>
                    <w:lang w:eastAsia="lt-LT"/>
                  </w:rPr>
                  <w:t xml:space="preserve">gyvendinant pagal Aprašą finansuojamą veiklą, turi būti įsigyta </w:t>
                </w:r>
                <w:r>
                  <w:rPr>
                    <w:color w:val="000000"/>
                    <w:lang w:eastAsia="lt-LT"/>
                  </w:rPr>
                  <w:t>žemės ūkio technika ir (ar) savaeigė mašina (kaip nurodyta Aprašo 2.2 papunktyje), kurioms (kiekvienai) taikomi šie reikalavimai:</w:t>
                </w:r>
              </w:p>
              <w:p>
                <w:pPr>
                  <w:tabs>
                    <w:tab w:val="left" w:pos="600"/>
                  </w:tabs>
                  <w:jc w:val="both"/>
                  <w:rPr>
                    <w:color w:val="000000"/>
                    <w:lang w:eastAsia="lt-LT"/>
                  </w:rPr>
                </w:pPr>
                <w:r>
                  <w:rPr>
                    <w:color w:val="000000"/>
                    <w:lang w:eastAsia="lt-LT"/>
                  </w:rPr>
                  <w:t xml:space="preserve">2.22.1. nauja žemės ūkio technika ir  </w:t>
                </w:r>
                <w:r>
                  <w:rPr>
                    <w:color w:val="000000"/>
                    <w:szCs w:val="24"/>
                    <w:lang w:eastAsia="lt-LT"/>
                  </w:rPr>
                  <w:t>(ar) savaeigė mašina – nuo kurios pirmo registravimo iki registravimo valdytojo vardu yra praėję ne daugiau kaip 6 (šeši) mėnesiai. Pirmo registravimo Lietuvoje data – ne ankstesnė kaip kvietimo teikti paraiškas Agentūrai paskelbimo diena;</w:t>
                </w:r>
                <w:r>
                  <w:rPr>
                    <w:color w:val="000000"/>
                    <w:lang w:eastAsia="lt-LT"/>
                  </w:rPr>
                  <w:t xml:space="preserve">  </w:t>
                </w:r>
              </w:p>
              <w:p>
                <w:pPr>
                  <w:tabs>
                    <w:tab w:val="left" w:pos="600"/>
                  </w:tabs>
                  <w:jc w:val="both"/>
                  <w:rPr>
                    <w:color w:val="000000"/>
                    <w:lang w:eastAsia="lt-LT"/>
                  </w:rPr>
                </w:pPr>
                <w:r>
                  <w:rPr>
                    <w:color w:val="000000"/>
                    <w:lang w:eastAsia="lt-LT"/>
                  </w:rPr>
                  <w:t xml:space="preserve">2.22.2. užregistruota minėtomis </w:t>
                </w:r>
                <w:r>
                  <w:rPr>
                    <w:bCs/>
                    <w:color w:val="000000"/>
                    <w:lang w:eastAsia="lt-LT"/>
                  </w:rPr>
                  <w:t>Traktorių, savaeigių ir žemės ūkio mašinų ir jų priekabų registravimo taisyklėmis.</w:t>
                </w:r>
              </w:p>
              <w:p>
                <w:pPr>
                  <w:tabs>
                    <w:tab w:val="left" w:pos="600"/>
                  </w:tabs>
                  <w:jc w:val="both"/>
                  <w:rPr>
                    <w:color w:val="000000"/>
                    <w:lang w:eastAsia="lt-LT"/>
                  </w:rPr>
                </w:pPr>
                <w:r>
                  <w:rPr>
                    <w:color w:val="000000"/>
                    <w:lang w:eastAsia="lt-LT"/>
                  </w:rPr>
                  <w:t>2.23. PĮP Agentūra įvertina per 60 darbo dienų.</w:t>
                </w:r>
              </w:p>
              <w:p>
                <w:pPr>
                  <w:tabs>
                    <w:tab w:val="left" w:pos="600"/>
                  </w:tabs>
                  <w:jc w:val="both"/>
                  <w:rPr>
                    <w:color w:val="000000"/>
                    <w:lang w:eastAsia="lt-LT"/>
                  </w:rPr>
                </w:pPr>
                <w:r>
                  <w:rPr>
                    <w:color w:val="000000"/>
                    <w:lang w:eastAsia="lt-LT"/>
                  </w:rPr>
                  <w:t>2.24. Atlikus PĮP vertinimą, sprendimas skirti finansavimą įforminamas Agentūros direktoriaus įsakymu; skirtas finansavimas skelbiamas Teisės aktų registre. Skelbiamoje informacijoje nurodomi pareiškėjai, pareiškėjų (įmonių) kodai, projektų numeriai, dotacijos dydis.</w:t>
                </w:r>
              </w:p>
              <w:p>
                <w:pPr>
                  <w:tabs>
                    <w:tab w:val="left" w:pos="600"/>
                  </w:tabs>
                  <w:jc w:val="both"/>
                  <w:rPr>
                    <w:color w:val="000000"/>
                    <w:lang w:eastAsia="lt-LT"/>
                  </w:rPr>
                </w:pPr>
                <w:r>
                  <w:rPr>
                    <w:color w:val="000000"/>
                    <w:lang w:eastAsia="lt-LT"/>
                  </w:rPr>
                  <w:t>2.25. Agentūros direktoriaus įsakymu skyrus finansavimą, pareiškėjas bet kuriuo metu turi teisę jo atsisakyti. Apie finansavimo atsisakymą pareiškėjas informuoja Agentūrą per APVIS nurodydamas atsisakymo aplinkybes ir (ar) priežastis. Pareiškėjas išmokėtas lėšas privalo grąžinti per 10 darbo dienų.</w:t>
                </w:r>
              </w:p>
              <w:p>
                <w:pPr>
                  <w:tabs>
                    <w:tab w:val="left" w:pos="600"/>
                  </w:tabs>
                  <w:jc w:val="both"/>
                  <w:rPr>
                    <w:color w:val="000000"/>
                    <w:lang w:eastAsia="lt-LT"/>
                  </w:rPr>
                </w:pPr>
                <w:r>
                  <w:rPr>
                    <w:color w:val="000000"/>
                    <w:lang w:eastAsia="lt-LT"/>
                  </w:rPr>
                  <w:t xml:space="preserve">2.26. Agentūros direktoriaus įsakymu patvirtinus finansavimą, Agentūra per 30 darbo dienų su pareiškėju suderina ir pasirašo projekto finansavimo sutartį. </w:t>
                </w:r>
              </w:p>
              <w:p>
                <w:pPr>
                  <w:tabs>
                    <w:tab w:val="left" w:pos="600"/>
                  </w:tabs>
                  <w:jc w:val="both"/>
                  <w:rPr>
                    <w:color w:val="000000"/>
                    <w:lang w:eastAsia="lt-LT"/>
                  </w:rPr>
                </w:pPr>
                <w:r>
                  <w:rPr>
                    <w:color w:val="000000"/>
                    <w:lang w:eastAsia="lt-LT"/>
                  </w:rPr>
                  <w:t>2.27. Projektų įgyvendinimo reikalavimai:</w:t>
                </w:r>
              </w:p>
              <w:p>
                <w:pPr>
                  <w:tabs>
                    <w:tab w:val="left" w:pos="600"/>
                  </w:tabs>
                  <w:jc w:val="both"/>
                  <w:rPr>
                    <w:color w:val="000000"/>
                    <w:lang w:eastAsia="lt-LT"/>
                  </w:rPr>
                </w:pPr>
                <w:r>
                  <w:rPr>
                    <w:color w:val="000000"/>
                    <w:lang w:eastAsia="lt-LT"/>
                  </w:rPr>
                  <w:t>2.27.1. Projekto įgyvendinimo laikotarpis turi būti ne ilgesnis kaip 24 mėnesiai (nuo projekto finansavimo sutarties pasirašymo dienos) pagal projekto sutartyje, Apraše ir Projektų taisyklėse nustatytus reikalavimus. Agentūra gali jį pratęsti neviršydama pusės nustatyto projekto įgyvendinimo laikotarpio dėl nuo pareiškėjo nepriklausančių objektyvių priežasčių, kurių jis negalėjo numatyti pateikdamas paraišką. Priėmusi sprendimą pratęsti projekto įgyvendinimo laikotarpį, Agentūra apie priimtą sprendimą per 10 darbo dienų informuoja pareiškėją per APVIS.</w:t>
                </w:r>
              </w:p>
              <w:p>
                <w:pPr>
                  <w:tabs>
                    <w:tab w:val="left" w:pos="600"/>
                  </w:tabs>
                  <w:jc w:val="both"/>
                  <w:rPr>
                    <w:color w:val="000000"/>
                    <w:lang w:eastAsia="lt-LT"/>
                  </w:rPr>
                </w:pPr>
                <w:r>
                  <w:rPr>
                    <w:color w:val="000000"/>
                    <w:lang w:eastAsia="lt-LT"/>
                  </w:rPr>
                  <w:t>2.27.2. Bendras projekto įgyvendinimo laikotarpis, įskaitant projekto įgyvendinimo termino pratęsimą, vadovaujantis 2.27.1 papunkčiu, negali būti ilgesnis kaip 36 mėnesiai.</w:t>
                </w:r>
              </w:p>
              <w:p>
                <w:pPr>
                  <w:tabs>
                    <w:tab w:val="left" w:pos="600"/>
                  </w:tabs>
                  <w:jc w:val="both"/>
                  <w:rPr>
                    <w:color w:val="000000"/>
                    <w:lang w:eastAsia="lt-LT"/>
                  </w:rPr>
                </w:pPr>
                <w:r>
                  <w:rPr>
                    <w:color w:val="000000"/>
                    <w:lang w:eastAsia="lt-LT"/>
                  </w:rPr>
                  <w:t>2.28. Pareiškėjai, įgyvendinę projektus, privalo paviešinti informaciją apie juos – paskelbti naujieną, informaciją ar pan. (savo ar žiniasklaidos interneto svetainėje), nurodyti projekto pavadinimą, įgyvendintą veiklą, šiai veiklai įgyvendinti gautų lėšų kiekį, finansavimo šaltinį – Klimato kaitos programą. Pareiškėjai Klimato kaitos programos lėšomis įsigytą žemės ūkio techniką ir (ar) savaeiges mašinas privalo pažymėti Aplinkos ministerijos ir Agentūros logotipais, kuriuose nurodyta, kad projektas finansuotas Klimato kaitos programos lėšomis.</w:t>
                </w:r>
              </w:p>
              <w:p>
                <w:pPr>
                  <w:tabs>
                    <w:tab w:val="left" w:pos="600"/>
                  </w:tabs>
                  <w:jc w:val="both"/>
                  <w:rPr>
                    <w:color w:val="000000"/>
                    <w:lang w:eastAsia="lt-LT"/>
                  </w:rPr>
                </w:pPr>
                <w:r>
                  <w:rPr>
                    <w:color w:val="000000"/>
                    <w:lang w:eastAsia="lt-LT"/>
                  </w:rPr>
                  <w:t>2.29. Pareiškėjas privalo užtikrinti, kad visi su projekto įgyvendinimu susiję pirkimai būtų vykdomi laikantis pirkimų vykdymo ir vertinimo tvarkos reikalavimų:</w:t>
                </w:r>
              </w:p>
              <w:p>
                <w:pPr>
                  <w:tabs>
                    <w:tab w:val="left" w:pos="600"/>
                  </w:tabs>
                  <w:jc w:val="both"/>
                  <w:rPr>
                    <w:color w:val="000000"/>
                    <w:lang w:eastAsia="lt-LT"/>
                  </w:rPr>
                </w:pPr>
                <w:r>
                  <w:rPr>
                    <w:color w:val="000000"/>
                    <w:lang w:eastAsia="lt-LT"/>
                  </w:rPr>
                  <w:t>2.29.1. Pareiškėjas, kai jis yra perkančioji organizacija, prekių, paslaugų ar darbų pirkimus, susijusius su projekto įgyvendinimu, privalo atlikti vadovaudamasis Viešųjų pirkimų įstatymu arba  Pirkimų, atliekamų vandentvarkos, energetikos, transporto ar pašto paslaugų srities perkančiųjų subjektų, įstatymu, kai jis nėra perkančioji organizacija, – vadovaudamasis Subjektų, kurie nėra perkančiosios organizacijos aprašu. Pareiškėjas yra atsakingas už pirkimų reikalavimų laikymąsi teisės aktuose nustatyta tvarka.</w:t>
                </w:r>
              </w:p>
              <w:p>
                <w:pPr>
                  <w:tabs>
                    <w:tab w:val="left" w:pos="600"/>
                  </w:tabs>
                  <w:jc w:val="both"/>
                  <w:rPr>
                    <w:color w:val="000000"/>
                    <w:lang w:eastAsia="lt-LT"/>
                  </w:rPr>
                </w:pPr>
                <w:r>
                  <w:rPr>
                    <w:color w:val="000000"/>
                    <w:lang w:eastAsia="lt-LT"/>
                  </w:rPr>
                  <w:t>2.29.2. Pareiškėjas turi vykdyti žaliuosius pirkimus vadovaudamasis Žaliųjų pirkimų aprašu.</w:t>
                </w:r>
              </w:p>
              <w:p>
                <w:pPr>
                  <w:tabs>
                    <w:tab w:val="left" w:pos="589"/>
                  </w:tabs>
                  <w:jc w:val="both"/>
                </w:pPr>
                <w:r>
                  <w:rPr>
                    <w:color w:val="000000"/>
                    <w:lang w:eastAsia="lt-LT"/>
                  </w:rPr>
                  <w:t xml:space="preserve">2.30. Siekiant užtikrint atitiktį Reglamento </w:t>
                </w:r>
                <w:fldSimple w:instr="HYPERLINK http://eur-lex.europa.eu/legal-content/LIT/TXT/?uri=CELEX:32022R2472&amp;locale=lt \t _blank">
                  <w:r>
                    <w:rPr>
                      <w:color w:val="0000FF" w:themeColor="hyperlink"/>
                      <w:lang w:eastAsia="lt-LT"/>
                      <w:u w:val="single"/>
                    </w:rPr>
                    <w:t>(ES) 2022/2472</w:t>
                  </w:r>
                </w:fldSimple>
                <w:r>
                  <w:rPr>
                    <w:color w:val="000000"/>
                    <w:lang w:eastAsia="lt-LT"/>
                  </w:rPr>
                  <w:t xml:space="preserve"> 6 straipsnio nuostatoms, projekto veiklos gali būti pradėtos įgyvendinti tik užregistravus paraišką APVIS. Projekto arba veiklos darbų pradžia suprantama taip, kaip ji apibrėžta Reglamento </w:t>
                </w:r>
                <w:fldSimple w:instr="HYPERLINK http://eur-lex.europa.eu/legal-content/LIT/TXT/?uri=CELEX:32022R2472&amp;locale=lt \t _blank">
                  <w:r>
                    <w:rPr>
                      <w:color w:val="0000FF" w:themeColor="hyperlink"/>
                      <w:lang w:eastAsia="lt-LT"/>
                      <w:u w:val="single"/>
                    </w:rPr>
                    <w:t>(ES) 2022/2472</w:t>
                  </w:r>
                </w:fldSimple>
                <w:r>
                  <w:rPr>
                    <w:color w:val="000000"/>
                    <w:lang w:eastAsia="lt-LT"/>
                  </w:rPr>
                  <w:t xml:space="preserve"> 2 straipsnio 53 punkte: projekto arba veiklos darbų pradžia – su investicija susijusios veiklos ar statybos darbų pradžia arba pirmasis teisiškai privalomas įsipareigojimas užsakyti įrenginius ar paslaugas, arba kitas įsipareigojimas, dėl kurio projektas arba veikla tampa neatšaukiami, atsižvelgiant į tai, kuris įvykis pirmesnis; žemės pirkimas ir parengiamieji darbai, pavyzdžiui, leidimų gavimas ir galimybių studijų vykdymas, darbų arba veiklos pradžia nelaikomi. Finansavimas neskiriamas projektui, kurio veiklos pradėtos įgyvendinti iki paraiškos užregistravimo Agentūroje dienos.</w:t>
                </w:r>
                <w:r>
                  <w:t xml:space="preserve"> </w:t>
                </w:r>
              </w:p>
            </w:tc>
          </w:tr>
          <w:tr>
            <w:tc>
              <w:tcPr>
                <w:tcW w:w="9873" w:type="dxa"/>
              </w:tcPr>
              <w:p>
                <w:pPr>
                  <w:rPr>
                    <w:b/>
                    <w:szCs w:val="24"/>
                  </w:rPr>
                </w:pPr>
                <w:r>
                  <w:rPr>
                    <w:b/>
                    <w:szCs w:val="24"/>
                  </w:rPr>
                  <w:t>3. Reikalavimai jungtinio projekto projektams ir jungtinio projekto projektų pareiškėjams</w:t>
                </w:r>
              </w:p>
            </w:tc>
          </w:tr>
          <w:tr>
            <w:tc>
              <w:tcPr>
                <w:tcW w:w="9873" w:type="dxa"/>
              </w:tcPr>
              <w:p>
                <w:pPr>
                  <w:jc w:val="both"/>
                </w:pPr>
                <w:r>
                  <w:t>Netaikomas</w:t>
                </w:r>
              </w:p>
            </w:tc>
          </w:tr>
          <w:tr>
            <w:tc>
              <w:tcPr>
                <w:tcW w:w="9873" w:type="dxa"/>
              </w:tcPr>
              <w:p>
                <w:pPr>
                  <w:jc w:val="both"/>
                  <w:rPr>
                    <w:b/>
                    <w:bCs/>
                    <w:color w:val="808080"/>
                    <w:szCs w:val="24"/>
                  </w:rPr>
                </w:pPr>
                <w:r>
                  <w:rPr>
                    <w:b/>
                    <w:bCs/>
                    <w:color w:val="000000"/>
                    <w:szCs w:val="24"/>
                  </w:rPr>
                  <w:t xml:space="preserve">4. </w:t>
                </w:r>
                <w:r>
                  <w:rPr>
                    <w:b/>
                    <w:szCs w:val="24"/>
                  </w:rPr>
                  <w:t>Projekto tikslinės grupės</w:t>
                </w:r>
              </w:p>
            </w:tc>
          </w:tr>
          <w:tr>
            <w:tc>
              <w:tcPr>
                <w:tcW w:w="9873" w:type="dxa"/>
              </w:tcPr>
              <w:p>
                <w:pPr>
                  <w:jc w:val="both"/>
                  <w:rPr>
                    <w:iCs/>
                  </w:rPr>
                </w:pPr>
                <w:r>
                  <w:rPr>
                    <w:iCs/>
                  </w:rPr>
                  <w:t>Tikslinę grupę sudaro tiesioginiai ir netiesioginiai naudos gavėjai. Tiesioginiai naudos gavėjai –</w:t>
                </w:r>
                <w:r>
                  <w:rPr>
                    <w:szCs w:val="24"/>
                    <w:lang w:eastAsia="lt-LT"/>
                  </w:rPr>
                  <w:t xml:space="preserve"> </w:t>
                </w:r>
                <w:r>
                  <w:rPr>
                    <w:iCs/>
                  </w:rPr>
                  <w:t xml:space="preserve">pirminę žemės ūkio gamybos veiklą vykdantys subjektai; pripažinti žemės ūkio kooperatyvai (kaip nurodyta Kooperatyvinių bendrovių (kooperatyvų) įstatymo 31 straipsnyje), kurie vadovaujantis Reglamento </w:t>
                </w:r>
                <w:fldSimple w:instr="HYPERLINK http://eur-lex.europa.eu/legal-content/LIT/TXT/?uri=CELEX:32022R2472&amp;locale=lt \t _blank">
                  <w:r>
                    <w:rPr>
                      <w:iCs/>
                      <w:u w:val="single"/>
                      <w:color w:val="0000FF" w:themeColor="hyperlink"/>
                    </w:rPr>
                    <w:t>2022/2472</w:t>
                  </w:r>
                </w:fldSimple>
                <w:r>
                  <w:rPr>
                    <w:iCs/>
                  </w:rPr>
                  <w:t xml:space="preserve"> I priedu priskiriami labai mažų, mažųjų ir vidutinių įmonių kategorijai; labai mažos, mažos ir vidutinės įmonės, vykdančios pirminės žemės ūkio  gamybos veiklą.</w:t>
                </w:r>
              </w:p>
              <w:p>
                <w:pPr>
                  <w:jc w:val="both"/>
                  <w:rPr>
                    <w:iCs/>
                    <w:szCs w:val="24"/>
                  </w:rPr>
                </w:pPr>
                <w:r>
                  <w:t>Netiesioginiai naudos gavėjai – visi Lietuvos Respublikos gyventojai, kadangi dėl tiesioginių naudos gavėjų poveikio sumažės išmetamų šiltnamio efektą sukeliančių dujų kiekis ir oro tarša.</w:t>
                </w:r>
              </w:p>
            </w:tc>
          </w:tr>
          <w:tr>
            <w:tc>
              <w:tcPr>
                <w:tcW w:w="9873" w:type="dxa"/>
              </w:tcPr>
              <w:p>
                <w:pPr>
                  <w:rPr>
                    <w:b/>
                    <w:color w:val="808080"/>
                    <w:szCs w:val="24"/>
                  </w:rPr>
                </w:pPr>
                <w:r>
                  <w:rPr>
                    <w:b/>
                    <w:color w:val="000000"/>
                    <w:szCs w:val="24"/>
                  </w:rPr>
                  <w:t>5. Horizontaliųjų principų reikalavimai</w:t>
                </w:r>
              </w:p>
            </w:tc>
          </w:tr>
          <w:tr>
            <w:tc>
              <w:tcPr>
                <w:tcW w:w="9873" w:type="dxa"/>
              </w:tcPr>
              <w:p>
                <w:pPr>
                  <w:jc w:val="both"/>
                  <w:rPr>
                    <w:szCs w:val="24"/>
                  </w:rPr>
                </w:pPr>
                <w:r>
                  <w:rPr>
                    <w:szCs w:val="24"/>
                  </w:rPr>
                  <w:t>5.1. Įgyvendinant projektą, neturi būti pažeidžiami horizontalieji principai (toliau – HP): darnaus vystymosi principai,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inovatyvumo (kūrybingumo) (vykdomi inovatyvūs viešieji pirkimai, taikomos naujos technologijos, kuriami ar diegiami inovatyvūs sprendimai ir pan.), turi būti</w:t>
                </w:r>
                <w:r>
                  <w:rPr>
                    <w:szCs w:val="24"/>
                    <w:shd w:val="clear" w:color="auto" w:fill="FFFFFF"/>
                    <w:lang w:eastAsia="lt-LT"/>
                  </w:rPr>
                  <w:t xml:space="preserve"> atsižvelgiama į Jungtinių Tautų neįgaliųjų teisių konvencijos nuostatas</w:t>
                </w:r>
                <w:r>
                  <w:rPr>
                    <w:szCs w:val="24"/>
                  </w:rPr>
                  <w:t>. Neturi būti numatyta projekto įgyvendinimo veiksmų, kurie turėtų neigiamą poveikį įgyvendinant HP.</w:t>
                </w:r>
              </w:p>
              <w:p>
                <w:pPr>
                  <w:jc w:val="both"/>
                </w:pPr>
                <w:r>
                  <w:rPr>
                    <w:rFonts w:eastAsia="Calibri"/>
                    <w:szCs w:val="24"/>
                  </w:rPr>
                  <w:t>5.2. Projekto v</w:t>
                </w:r>
                <w:r>
                  <w:t>eiklomis prisidedama siekiant Nacionaliniame pažangos plane įtvirtinto darnaus vystymosi HP įgyvendinimo ir pažangos rodiklių „1.2. Žaliųjų viešųjų pirkimų vertės dalis nuo visų viešųjų pirkimų dalies“ ir „1.3. Išmetamų į atmosferą šiltnamio efektą sukeliančių dujų kiekio pokytis ES ATLPS nedalyvaujančiuose sektoriuose, palyginti su 2005 m.“.</w:t>
                </w:r>
              </w:p>
              <w:p>
                <w:pPr>
                  <w:jc w:val="both"/>
                </w:pPr>
                <w:r>
                  <w:t xml:space="preserve">5.3. Projekto veiklos neturės tiesioginio poveikio inovatyvumo (kūrybingumo) HP, nes nesusijusios su sisteminių inovacijų ekosistemos problemų sprendimu ar atviros, laisvos, savimi pasitikinčios ir kūrybingos visuomenės, kuri yra būtina inovatyvumo (kūrybingumo)  sąlyga, ugdymu.</w:t>
                </w:r>
              </w:p>
              <w:p>
                <w:pPr>
                  <w:jc w:val="both"/>
                  <w:rPr>
                    <w:color w:val="808080"/>
                  </w:rPr>
                </w:pPr>
                <w:r>
                  <w:t>5.4. Įgyvendinant projektą, turi būti laikomasi klimato ir aplinkos apsaugos standartų</w:t>
                </w:r>
                <w:r>
                  <w:rPr>
                    <w:shd w:val="clear" w:color="auto" w:fill="FFFFFF"/>
                    <w:lang w:eastAsia="lt-LT"/>
                  </w:rPr>
                  <w:t xml:space="preserve"> atsižvelgiant į Sutarties dėl Europos Sąjungos veikimo 11 straipsnį, Jungtinių Tautų darnaus vystymosi tikslus, Jungtinių Tautų bendrosios klimato kaitos konvencijos Paryžiaus susitarimą. Jokia projekto veikla neturėtų daryti reikšmingos žalos </w:t>
                </w:r>
                <w:r>
                  <w:rPr>
                    <w:rFonts w:eastAsia="Calibri"/>
                  </w:rPr>
                  <w:t xml:space="preserve">6 aplinkos tikslams, nurodytiems 2020 m. birželio 18 d. Europos Parlamento ir Tarybos reglamente </w:t>
                </w:r>
                <w:fldSimple w:instr="HYPERLINK http://eur-lex.europa.eu/legal-content/LIT/TXT/?uri=CELEX:32020R0852&amp;locale=lt \t _blank">
                  <w:r>
                    <w:rPr>
                      <w:rFonts w:eastAsia="Calibri"/>
                      <w:u w:val="single"/>
                      <w:color w:val="0000FF" w:themeColor="hyperlink"/>
                    </w:rPr>
                    <w:t>(ES) 2020/852</w:t>
                  </w:r>
                </w:fldSimple>
                <w:r>
                  <w:rPr>
                    <w:rFonts w:eastAsia="Calibri"/>
                  </w:rPr>
                  <w:t xml:space="preserve"> dėl sistemos tvariam investavimui palengvinti sukūrimo, kuriuo iš dalies keičiamas Reglamentas </w:t>
                </w:r>
                <w:fldSimple w:instr="HYPERLINK http://eur-lex.europa.eu/legal-content/LIT/TXT/?uri=CELEX:32019R2088&amp;locale=lt \t _blank">
                  <w:r>
                    <w:rPr>
                      <w:rFonts w:eastAsia="Calibri"/>
                      <w:u w:val="single"/>
                      <w:color w:val="0000FF" w:themeColor="hyperlink"/>
                    </w:rPr>
                    <w:t>(ES) 2019/2088</w:t>
                  </w:r>
                </w:fldSimple>
                <w:r>
                  <w:rPr>
                    <w:rFonts w:eastAsia="Calibri"/>
                  </w:rPr>
                  <w:t>.</w:t>
                </w:r>
              </w:p>
            </w:tc>
          </w:tr>
          <w:tr>
            <w:tc>
              <w:tcPr>
                <w:tcW w:w="9873" w:type="dxa"/>
              </w:tcPr>
              <w:p>
                <w:pPr>
                  <w:jc w:val="both"/>
                  <w:rPr>
                    <w:i/>
                    <w:color w:val="808080"/>
                    <w:szCs w:val="24"/>
                  </w:rPr>
                </w:pPr>
                <w:r>
                  <w:rPr>
                    <w:b/>
                    <w:color w:val="000000"/>
                    <w:szCs w:val="24"/>
                  </w:rPr>
                  <w:t>6. Europos Sąjungos pagrindinių teisių chartijos (toliau – Chartija) reikalavimai</w:t>
                </w:r>
              </w:p>
            </w:tc>
          </w:tr>
          <w:tr>
            <w:tc>
              <w:tcPr>
                <w:tcW w:w="9873" w:type="dxa"/>
              </w:tcPr>
              <w:p>
                <w:pPr>
                  <w:jc w:val="both"/>
                  <w:rPr>
                    <w:color w:val="000000"/>
                    <w:szCs w:val="24"/>
                  </w:rPr>
                </w:pPr>
                <w:r>
                  <w:rPr>
                    <w:color w:val="000000"/>
                    <w:szCs w:val="24"/>
                  </w:rPr>
                  <w:t>Pagal Aprašą finansuojamos veiklos nepažeidžia Chartijos pagrindinių teisių: orumo; asmenų, privataus ir šeimos gyvenimo, sąžinės ir saviraiškos laisvės; asmens duomenų; prieglobsčio ir apsaugos perkėlimo, išsiuntimo ar išdavimo atveju;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p>
                <w:pPr>
                  <w:jc w:val="both"/>
                  <w:rPr>
                    <w:color w:val="000000"/>
                    <w:szCs w:val="24"/>
                    <w:shd w:val="clear" w:color="auto" w:fill="FFFFFF"/>
                  </w:rPr>
                </w:pPr>
                <w:r>
                  <w:rPr>
                    <w:szCs w:val="24"/>
                  </w:rPr>
                  <w:t>Įgyvendinant projekto veiklas, negali būti pažeista</w:t>
                </w:r>
                <w:r>
                  <w:rPr>
                    <w:color w:val="000000"/>
                    <w:szCs w:val="24"/>
                    <w:shd w:val="clear" w:color="auto" w:fill="FFFFFF"/>
                  </w:rPr>
                  <w:t xml:space="preserve"> Chartijoje įtvirtinta teisė į nuosavybę (žemę, kilnojamąjį turtą, materialųjį ir nematerialųjį turtą).</w:t>
                </w:r>
              </w:p>
            </w:tc>
          </w:tr>
          <w:tr>
            <w:tc>
              <w:tcPr>
                <w:tcW w:w="9873" w:type="dxa"/>
              </w:tcPr>
              <w:p>
                <w:pPr>
                  <w:rPr>
                    <w:b/>
                    <w:szCs w:val="24"/>
                  </w:rPr>
                </w:pPr>
                <w:r>
                  <w:rPr>
                    <w:b/>
                    <w:szCs w:val="24"/>
                  </w:rPr>
                  <w:t>7. Apskritis, kurioje gali būti įgyvendinami projektai</w:t>
                </w:r>
              </w:p>
            </w:tc>
          </w:tr>
          <w:tr>
            <w:tc>
              <w:tcPr>
                <w:tcW w:w="9873" w:type="dxa"/>
              </w:tcPr>
              <w:p>
                <w:pPr>
                  <w:jc w:val="both"/>
                  <w:rPr>
                    <w:iCs/>
                    <w:szCs w:val="24"/>
                  </w:rPr>
                </w:pPr>
                <w:r>
                  <w:rPr>
                    <w:iCs/>
                    <w:szCs w:val="24"/>
                  </w:rPr>
                  <w:t>Netaikoma. Projektai įgyvendinami Lietuvos Respublikos teritorijoje.</w:t>
                </w:r>
              </w:p>
            </w:tc>
          </w:tr>
          <w:tr>
            <w:tc>
              <w:tcPr>
                <w:tcW w:w="9873" w:type="dxa"/>
              </w:tcPr>
              <w:p>
                <w:pPr>
                  <w:jc w:val="both"/>
                  <w:rPr>
                    <w:iCs/>
                    <w:szCs w:val="24"/>
                  </w:rPr>
                </w:pPr>
                <w:r>
                  <w:rPr>
                    <w:b/>
                    <w:szCs w:val="24"/>
                  </w:rPr>
                  <w:t>8. Reikalavimai valstybės pagalbai</w:t>
                </w:r>
              </w:p>
            </w:tc>
          </w:tr>
          <w:tr>
            <w:tc>
              <w:tcPr>
                <w:tcW w:w="9873" w:type="dxa"/>
              </w:tcPr>
              <w:p>
                <w:pPr>
                  <w:jc w:val="both"/>
                </w:pPr>
                <w:r>
                  <w:t xml:space="preserve">8.1. Pagal Aprašą projektams teikiama valstybės pagalba, kaip ji apibrėžta Sutarties dėl Europos Sąjungos veikimo 107 straipsnyje. Finansavimas, skiriamas kaip valstybės pagalba projektams, yra investicinė pagalba, kuri teikiama pagal Reglamento </w:t>
                </w:r>
                <w:fldSimple w:instr="HYPERLINK http://eur-lex.europa.eu/legal-content/LIT/TXT/?uri=CELEX:32022R2472&amp;locale=lt \t _blank">
                  <w:r>
                    <w:rPr>
                      <w:u w:val="single"/>
                      <w:color w:val="0000FF" w:themeColor="hyperlink"/>
                    </w:rPr>
                    <w:t>(ES) 2022/2472</w:t>
                  </w:r>
                </w:fldSimple>
                <w:r>
                  <w:t xml:space="preserve"> 14 straipsnį. Teikiama valstybės pagalba turi atitikti Reglamento </w:t>
                </w:r>
                <w:fldSimple w:instr="HYPERLINK http://eur-lex.europa.eu/legal-content/LIT/TXT/?uri=CELEX:32022R2472&amp;locale=lt \t _blank">
                  <w:r>
                    <w:rPr>
                      <w:u w:val="single"/>
                      <w:color w:val="0000FF" w:themeColor="hyperlink"/>
                    </w:rPr>
                    <w:t>(ES) 2022/2472</w:t>
                  </w:r>
                </w:fldSimple>
                <w:r>
                  <w:t xml:space="preserve"> I skyriaus ir 14 straipsnio nuostatas.</w:t>
                </w:r>
              </w:p>
              <w:p>
                <w:pPr>
                  <w:jc w:val="both"/>
                  <w:rPr>
                    <w:bCs/>
                    <w:szCs w:val="24"/>
                  </w:rPr>
                </w:pPr>
                <w:r>
                  <w:rPr>
                    <w:bCs/>
                    <w:szCs w:val="24"/>
                  </w:rPr>
                  <w:t>8.2. Didžiausia galima skirti projektui finansavimo lėšų suma nurodyta Aprašo 2.6 ir 2.7 papunkčiuose.</w:t>
                </w:r>
              </w:p>
              <w:p>
                <w:pPr>
                  <w:jc w:val="both"/>
                  <w:rPr>
                    <w:bCs/>
                    <w:szCs w:val="24"/>
                  </w:rPr>
                </w:pPr>
                <w:r>
                  <w:rPr>
                    <w:bCs/>
                    <w:szCs w:val="24"/>
                  </w:rPr>
                  <w:t xml:space="preserve">8.3. Apskaičiuojant pagalbos intensyvumą ir tinkamas finansuoti išlaidas, visi skaičiai imami prieš mokesčių ar kitų rinkliavų atskaitymą. </w:t>
                </w:r>
              </w:p>
              <w:p>
                <w:pPr>
                  <w:jc w:val="both"/>
                  <w:rPr>
                    <w:bCs/>
                    <w:szCs w:val="24"/>
                  </w:rPr>
                </w:pPr>
                <w:r>
                  <w:rPr>
                    <w:bCs/>
                    <w:szCs w:val="24"/>
                  </w:rPr>
                  <w:t xml:space="preserve">8.4. Praėjus 12 mėn. nuo pagalbos suteikimo dienos, mokėtina pagalba, įskaitant keliomis dalimis mokamą pagalbą, diskontuojama iki suteikimo momentu esamos jos vertės. Tinkamos finansuoti išlaidos diskontuojamos iki jų vertės pagalbos suteikimo dieną. Palūkanų norma, naudojama diskontuojant, yra pagalbos suteikimo dieną taikoma diskonto norma. </w:t>
                </w:r>
              </w:p>
              <w:p>
                <w:pPr>
                  <w:jc w:val="both"/>
                  <w:rPr>
                    <w:bCs/>
                    <w:szCs w:val="24"/>
                  </w:rPr>
                </w:pPr>
                <w:r>
                  <w:rPr>
                    <w:bCs/>
                    <w:szCs w:val="24"/>
                  </w:rPr>
                  <w:t>8.5. Pagalbos suteikimo diena laikoma sprendimo finansuoti projektą pasirašymo diena.</w:t>
                </w:r>
              </w:p>
              <w:p>
                <w:pPr>
                  <w:jc w:val="both"/>
                  <w:rPr>
                    <w:bCs/>
                    <w:szCs w:val="24"/>
                  </w:rPr>
                </w:pPr>
                <w:r>
                  <w:rPr>
                    <w:bCs/>
                    <w:szCs w:val="24"/>
                  </w:rPr>
                  <w:t>8.6. Valstybės pagalba neteikiama:</w:t>
                </w:r>
              </w:p>
              <w:p>
                <w:pPr>
                  <w:tabs>
                    <w:tab w:val="left" w:pos="318"/>
                  </w:tabs>
                  <w:jc w:val="both"/>
                </w:pPr>
                <w:r>
                  <w:t>8.6.1. pareiškėjui, kuris yra patiriantis sunkumų, kaip tai apibrėžta</w:t>
                </w:r>
                <w:r>
                  <w:rPr>
                    <w:iCs/>
                    <w:szCs w:val="24"/>
                  </w:rPr>
                  <w:t xml:space="preserve"> </w:t>
                </w:r>
                <w:r>
                  <w:rPr>
                    <w:iCs/>
                  </w:rPr>
                  <w:t xml:space="preserve">Reglamento </w:t>
                </w:r>
                <w:fldSimple w:instr="HYPERLINK http://eur-lex.europa.eu/legal-content/LIT/TXT/?uri=CELEX:32651R2014&amp;locale=lt \t _blank">
                  <w:r>
                    <w:rPr>
                      <w:iCs/>
                      <w:u w:val="single"/>
                      <w:color w:val="0000FF" w:themeColor="hyperlink"/>
                    </w:rPr>
                    <w:t>(ES) 651/2014</w:t>
                  </w:r>
                </w:fldSimple>
                <w:r>
                  <w:t xml:space="preserve"> 2 straipsnio 18 dalyje ir (įskaitant ir su ūkio subjektu Reglamento </w:t>
                </w:r>
                <w:fldSimple w:instr="HYPERLINK http://eur-lex.europa.eu/legal-content/LIT/TXT/?uri=CELEX:32022R2472&amp;locale=lt \t _blank">
                  <w:r>
                    <w:rPr>
                      <w:u w:val="single"/>
                      <w:color w:val="0000FF" w:themeColor="hyperlink"/>
                    </w:rPr>
                    <w:t>(ES) 2022/2472</w:t>
                  </w:r>
                </w:fldSimple>
                <w:r>
                  <w:t xml:space="preserve"> I priedo 3 straipsnyje nurodytais ryšiais susijusius ūkio subjektus) Reglamento </w:t>
                </w:r>
                <w:fldSimple w:instr="HYPERLINK http://eur-lex.europa.eu/legal-content/LIT/TXT/?uri=CELEX:32022R2472&amp;locale=lt \t _blank">
                  <w:r>
                    <w:rPr>
                      <w:u w:val="single"/>
                      <w:color w:val="0000FF" w:themeColor="hyperlink"/>
                    </w:rPr>
                    <w:t>(ES) 2022/2472</w:t>
                  </w:r>
                </w:fldSimple>
                <w:r>
                  <w:t xml:space="preserve"> 2 straipsnio 59 punkte; </w:t>
                </w:r>
              </w:p>
              <w:p>
                <w:pPr>
                  <w:tabs>
                    <w:tab w:val="left" w:pos="318"/>
                  </w:tabs>
                  <w:jc w:val="both"/>
                  <w:rPr>
                    <w:bCs/>
                    <w:szCs w:val="24"/>
                  </w:rPr>
                </w:pPr>
                <w:r>
                  <w:rPr>
                    <w:bCs/>
                    <w:szCs w:val="24"/>
                  </w:rPr>
                  <w:t xml:space="preserve">8.6.2. pareiškėjui, kuris yra gavęs pagalbos, kuri  suteikta pagalbos teikėjo Lietuvoje ir kuri Europos Komisijos sprendimu (dėl individualios pagalbos arba pagalbos schemos) buvo pripažinta nesuderinama su bendrąja rinka, arba yra sugrąžinęs visą neteisėtos ir nesuderinamos pagalbos sumą, įskaitant palūkanas, teisės aktuose nustatyta tvarka; </w:t>
                </w:r>
              </w:p>
              <w:p>
                <w:pPr>
                  <w:tabs>
                    <w:tab w:val="left" w:pos="318"/>
                  </w:tabs>
                  <w:jc w:val="both"/>
                  <w:rPr>
                    <w:bCs/>
                    <w:szCs w:val="24"/>
                  </w:rPr>
                </w:pPr>
                <w:r>
                  <w:rPr>
                    <w:bCs/>
                    <w:szCs w:val="24"/>
                  </w:rPr>
                  <w:t>8.6.3. yra gavęs ar siekia paramos iš kitų nacionalinių ir (ar) ES programų ir (ar) priemonių išlaidoms, numatytoms paraiškoje, finansuoti; </w:t>
                </w:r>
              </w:p>
              <w:p>
                <w:pPr>
                  <w:jc w:val="both"/>
                  <w:rPr>
                    <w:bCs/>
                    <w:szCs w:val="24"/>
                  </w:rPr>
                </w:pPr>
                <w:r>
                  <w:rPr>
                    <w:bCs/>
                    <w:szCs w:val="24"/>
                  </w:rPr>
                  <w:t>8.6.4. ūkio subjektui, kuriam išduotas vykdomasis raštas sumoms išieškoti pagal ankstesnį Komisijos sprendimą, kuriame Lietuvos institucijų suteikta pagalba skelbiama neteisėta ir nesuderinama su vidaus rinka; nauja valstybės pagalba negali būti teikiama, kol bus grąžinta neteisėta ir nesuderinama su vidaus rinka Lietuvoje gauta valstybės pagalba.</w:t>
                </w:r>
              </w:p>
              <w:p>
                <w:pPr>
                  <w:jc w:val="both"/>
                  <w:rPr>
                    <w:bCs/>
                    <w:szCs w:val="24"/>
                  </w:rPr>
                </w:pPr>
                <w:r>
                  <w:rPr>
                    <w:bCs/>
                    <w:szCs w:val="24"/>
                  </w:rPr>
                  <w:t xml:space="preserve">8.7. Valstybės pagalbos atitiktį Reglamento </w:t>
                </w:r>
                <w:fldSimple w:instr="HYPERLINK http://eur-lex.europa.eu/legal-content/LIT/TXT/?uri=CELEX:32022R2472&amp;locale=lt \t _blank">
                  <w:r>
                    <w:rPr>
                      <w:bCs/>
                      <w:szCs w:val="24"/>
                      <w:u w:val="single"/>
                      <w:color w:val="0000FF" w:themeColor="hyperlink"/>
                    </w:rPr>
                    <w:t>(ES) 2022/2472</w:t>
                  </w:r>
                </w:fldSimple>
                <w:r>
                  <w:rPr>
                    <w:bCs/>
                    <w:szCs w:val="24"/>
                  </w:rPr>
                  <w:t xml:space="preserve"> nuostatoms atlieka Agentūra.</w:t>
                </w:r>
              </w:p>
              <w:p>
                <w:pPr>
                  <w:jc w:val="both"/>
                  <w:rPr>
                    <w:bCs/>
                    <w:szCs w:val="24"/>
                  </w:rPr>
                </w:pPr>
                <w:r>
                  <w:rPr>
                    <w:bCs/>
                    <w:szCs w:val="24"/>
                  </w:rPr>
                  <w:t>8.8. Pagal Aprašą teikiama valstybės pagalba gali būti sumuojama su:</w:t>
                </w:r>
              </w:p>
              <w:p>
                <w:pPr>
                  <w:jc w:val="both"/>
                  <w:rPr>
                    <w:bCs/>
                    <w:szCs w:val="24"/>
                  </w:rPr>
                </w:pPr>
                <w:r>
                  <w:rPr>
                    <w:bCs/>
                    <w:szCs w:val="24"/>
                  </w:rPr>
                  <w:t>8.8.1. kita valstybės pagalba, jei priemonės susijusios su skirtingomis tinkamomis finansuoti išlaidomis, kurias galima nustatyti;</w:t>
                </w:r>
              </w:p>
              <w:p>
                <w:pPr>
                  <w:jc w:val="both"/>
                  <w:rPr>
                    <w:bCs/>
                    <w:szCs w:val="24"/>
                  </w:rPr>
                </w:pPr>
                <w:r>
                  <w:rPr>
                    <w:bCs/>
                    <w:szCs w:val="24"/>
                  </w:rPr>
                  <w:t xml:space="preserve">8.8.2. kita valstybės pagalba, susijusia su tomis pačiomis tinkamomis finansuoti išlaidomis, kurios iš dalies arba visiškai sutampa, tik jeigu taip susumavus neviršijama didžiausia pagalbos suma ir dydis, taikomi tai pagalba pagal Reglamentą </w:t>
                </w:r>
                <w:fldSimple w:instr="HYPERLINK http://eur-lex.europa.eu/legal-content/LIT/TXT/?uri=CELEX:32022R2472&amp;locale=lt \t _blank">
                  <w:r>
                    <w:rPr>
                      <w:bCs/>
                      <w:szCs w:val="24"/>
                      <w:u w:val="single"/>
                      <w:color w:val="0000FF" w:themeColor="hyperlink"/>
                    </w:rPr>
                    <w:t>(ES) 2022/2472</w:t>
                  </w:r>
                </w:fldSimple>
                <w:r>
                  <w:rPr>
                    <w:bCs/>
                    <w:szCs w:val="24"/>
                  </w:rPr>
                  <w:t>.</w:t>
                </w:r>
              </w:p>
              <w:p>
                <w:pPr>
                  <w:jc w:val="both"/>
                  <w:rPr>
                    <w:bCs/>
                    <w:szCs w:val="24"/>
                  </w:rPr>
                </w:pPr>
                <w:r>
                  <w:rPr>
                    <w:bCs/>
                    <w:szCs w:val="24"/>
                  </w:rPr>
                  <w:t xml:space="preserve">8.9. Agentūra teisės aktų nustatyta tvarka skiriamą pagalbos sumą (jeigu taikoma, – diskontuotą  pagal Aprašo 8.4 papunktį) Suteiktos valstybės pagalbos ir </w:t>
                </w:r>
                <w:r>
                  <w:rPr>
                    <w:bCs/>
                    <w:i/>
                    <w:iCs/>
                    <w:szCs w:val="24"/>
                  </w:rPr>
                  <w:t> </w:t>
                </w:r>
                <w:r>
                  <w:rPr>
                    <w:bCs/>
                    <w:szCs w:val="24"/>
                  </w:rPr>
                  <w:t>nereikšmingos (</w:t>
                </w:r>
                <w:r>
                  <w:rPr>
                    <w:bCs/>
                    <w:i/>
                    <w:iCs/>
                    <w:szCs w:val="24"/>
                  </w:rPr>
                  <w:t>de minimis</w:t>
                </w:r>
                <w:r>
                  <w:rPr>
                    <w:bCs/>
                    <w:szCs w:val="24"/>
                  </w:rPr>
                  <w:t>) pagalbos registre registruoja</w:t>
                </w:r>
                <w:r>
                  <w:rPr>
                    <w:bCs/>
                    <w:i/>
                    <w:iCs/>
                    <w:szCs w:val="24"/>
                  </w:rPr>
                  <w:t> </w:t>
                </w:r>
                <w:r>
                  <w:rPr>
                    <w:bCs/>
                    <w:szCs w:val="24"/>
                  </w:rPr>
                  <w:t>vadovaudamasi Suteiktos valstybės pagalbos ir nereikšmingos (</w:t>
                </w:r>
                <w:r>
                  <w:rPr>
                    <w:bCs/>
                    <w:i/>
                    <w:iCs/>
                    <w:szCs w:val="24"/>
                  </w:rPr>
                  <w:t>de minimis</w:t>
                </w:r>
                <w:r>
                  <w:rPr>
                    <w:bCs/>
                    <w:szCs w:val="24"/>
                  </w:rPr>
                  <w:t>) pagalbos registro nuostatais.</w:t>
                </w:r>
              </w:p>
              <w:p>
                <w:pPr>
                  <w:jc w:val="both"/>
                  <w:rPr>
                    <w:bCs/>
                    <w:szCs w:val="24"/>
                  </w:rPr>
                </w:pPr>
                <w:r>
                  <w:rPr>
                    <w:bCs/>
                    <w:szCs w:val="24"/>
                  </w:rPr>
                  <w:t>8.10. Paaiškėjus, kad pagal Aprašą suteikta neteisėta ir (arba) nesuderinama pagalba, vadovaujantis Lietuvos Respublikos konkurencijos įstatymo 55</w:t>
                </w:r>
                <w:r>
                  <w:rPr>
                    <w:bCs/>
                    <w:szCs w:val="24"/>
                    <w:vertAlign w:val="superscript"/>
                  </w:rPr>
                  <w:t>1</w:t>
                </w:r>
                <w:r>
                  <w:rPr>
                    <w:bCs/>
                    <w:szCs w:val="24"/>
                  </w:rPr>
                  <w:t xml:space="preserve"> straipsnio nuostatomis, pagalbos gavėjas privalo išmokėtą pagalbos sumą sugrąžinti savanoriškai arba ši suma išieškoma ne ginčo tvarka.</w:t>
                </w:r>
              </w:p>
              <w:p>
                <w:pPr>
                  <w:jc w:val="both"/>
                  <w:rPr>
                    <w:szCs w:val="24"/>
                  </w:rPr>
                </w:pPr>
                <w:r>
                  <w:rPr>
                    <w:bCs/>
                    <w:szCs w:val="24"/>
                  </w:rPr>
                  <w:t>8.11. Agentūra elektroniniu paštu per 10 darbo dienų informuoja Lietuvos Respublikos aplinkos ministeriją apie pagalbą, viršijančią 100 000 eurų, nurodydama pareiškėjo pavadinimą, jo įmonės dydį, skirtą subsidiją.</w:t>
                </w:r>
              </w:p>
            </w:tc>
          </w:tr>
          <w:tr>
            <w:tc>
              <w:tcPr>
                <w:tcW w:w="9873" w:type="dxa"/>
              </w:tcPr>
              <w:p>
                <w:pPr>
                  <w:jc w:val="both"/>
                  <w:rPr>
                    <w:b/>
                    <w:szCs w:val="24"/>
                  </w:rPr>
                </w:pPr>
                <w:r>
                  <w:rPr>
                    <w:b/>
                    <w:szCs w:val="24"/>
                  </w:rPr>
                  <w:t xml:space="preserve">9. Projektų atrankos kriterijai </w:t>
                </w:r>
              </w:p>
              <w:p>
                <w:pPr>
                  <w:jc w:val="both"/>
                  <w:rPr>
                    <w:i/>
                    <w:szCs w:val="24"/>
                  </w:rPr>
                </w:pPr>
                <w:r>
                  <w:rPr>
                    <w:iCs/>
                    <w:color w:val="000000"/>
                    <w:szCs w:val="24"/>
                  </w:rPr>
                  <w:t>Kiekvienas projektas turi atitikti Projektų taisyklių 7 priede nustatytus projektų bendruosius atrankos kriterijus.</w:t>
                </w:r>
              </w:p>
            </w:tc>
          </w:tr>
          <w:tr>
            <w:trPr>
              <w:trHeight w:val="414"/>
            </w:trPr>
            <w:tc>
              <w:tcPr>
                <w:tcW w:w="9873" w:type="dxa"/>
              </w:tcPr>
              <w:p>
                <w:pPr>
                  <w:jc w:val="both"/>
                  <w:rPr>
                    <w:i/>
                    <w:szCs w:val="24"/>
                  </w:rPr>
                </w:pPr>
                <w:r>
                  <w:rPr>
                    <w:b/>
                    <w:bCs/>
                    <w:iCs/>
                    <w:color w:val="000000"/>
                    <w:szCs w:val="24"/>
                  </w:rPr>
                  <w:t xml:space="preserve">10. </w:t>
                </w:r>
                <w:r>
                  <w:rPr>
                    <w:b/>
                    <w:szCs w:val="22"/>
                  </w:rPr>
                  <w:t xml:space="preserve">Jungtinio projekto projektų atrankos kriterijai </w:t>
                </w:r>
                <w:r>
                  <w:rPr>
                    <w:szCs w:val="24"/>
                  </w:rPr>
                  <w:t>(</w:t>
                </w:r>
                <w:r>
                  <w:rPr>
                    <w:i/>
                    <w:szCs w:val="24"/>
                  </w:rPr>
                  <w:t>pildoma tik jungtiniam projektui</w:t>
                </w:r>
                <w:r>
                  <w:rPr>
                    <w:szCs w:val="24"/>
                  </w:rPr>
                  <w:t>)</w:t>
                </w:r>
              </w:p>
              <w:p>
                <w:pPr>
                  <w:jc w:val="both"/>
                  <w:rPr>
                    <w:b/>
                    <w:bCs/>
                    <w:iCs/>
                    <w:color w:val="808080"/>
                    <w:szCs w:val="24"/>
                  </w:rPr>
                </w:pPr>
                <w:r>
                  <w:rPr>
                    <w:iCs/>
                    <w:color w:val="000000"/>
                    <w:szCs w:val="24"/>
                  </w:rPr>
                  <w:t>Netaikomas</w:t>
                </w:r>
              </w:p>
            </w:tc>
          </w:tr>
          <w:tr>
            <w:tc>
              <w:tcPr>
                <w:tcW w:w="9873" w:type="dxa"/>
              </w:tcPr>
              <w:p>
                <w:pPr>
                  <w:rPr>
                    <w:b/>
                    <w:szCs w:val="24"/>
                  </w:rPr>
                </w:pPr>
                <w:r>
                  <w:rPr>
                    <w:b/>
                    <w:szCs w:val="24"/>
                  </w:rPr>
                  <w:t>11. Reikalavimai įgyvendinus projektų veiklas</w:t>
                </w:r>
              </w:p>
            </w:tc>
          </w:tr>
          <w:tr>
            <w:tc>
              <w:tcPr>
                <w:tcW w:w="9873" w:type="dxa"/>
              </w:tcPr>
              <w:p>
                <w:pPr>
                  <w:jc w:val="both"/>
                  <w:rPr>
                    <w:i/>
                    <w:iCs/>
                    <w:color w:val="808080"/>
                  </w:rPr>
                </w:pPr>
                <w:r>
                  <w:rPr>
                    <w:lang w:eastAsia="lt-LT"/>
                  </w:rPr>
                  <w:t xml:space="preserve">11.1. </w:t>
                </w:r>
                <w:r>
                  <w:rPr>
                    <w:color w:val="000000"/>
                  </w:rPr>
                  <w:t>Pasibaigus projekto finansavimui, 5 metus turi būti užtikrintas investicijų tęstinumas, t. y. įsigyta įranga naudojama Lietuvos Respublikos teritorijoje jos neperleidžiant ir neparduodant.</w:t>
                </w:r>
              </w:p>
              <w:p>
                <w:pPr>
                  <w:jc w:val="both"/>
                  <w:rPr>
                    <w:strike/>
                  </w:rPr>
                </w:pPr>
                <w:r>
                  <w:rPr>
                    <w:color w:val="000000"/>
                  </w:rPr>
                  <w:t xml:space="preserve">11.2. </w:t>
                </w:r>
                <w:r>
                  <w:rPr>
                    <w:rFonts w:eastAsia="Calibri"/>
                    <w:lang w:eastAsia="lt-LT"/>
                  </w:rPr>
                  <w:t>Projekto vykdytojas turi apdrausti projektui įgyvendinti skirtą ilgalaikį</w:t>
                </w:r>
                <w:r>
                  <w:rPr>
                    <w:rFonts w:eastAsia="Calibri"/>
                    <w:i/>
                    <w:iCs/>
                    <w:lang w:eastAsia="lt-LT"/>
                  </w:rPr>
                  <w:t xml:space="preserve"> </w:t>
                </w:r>
                <w:r>
                  <w:rPr>
                    <w:rFonts w:eastAsia="Calibri"/>
                    <w:lang w:eastAsia="lt-LT"/>
                  </w:rPr>
                  <w:t>materialųjį turtą, kuris įsigytas ar sukurtas iš projektui skirto finansavimo lėšų, maksimaliu turto atkuriamosios vertės draudimu nuo visų galimų rizikos atvejų; turtas turi būti</w:t>
                </w:r>
                <w:r>
                  <w:rPr>
                    <w:sz w:val="20"/>
                  </w:rPr>
                  <w:t xml:space="preserve"> </w:t>
                </w:r>
                <w:r>
                  <w:t>draudžiamas Aprašo 11.1 papunktyje nurodytą laikotarpį</w:t>
                </w:r>
                <w:r>
                  <w:rPr>
                    <w:rFonts w:eastAsia="Calibri"/>
                    <w:lang w:eastAsia="lt-LT"/>
                  </w:rPr>
                  <w:t>, kai yra įsigyjamas; draudžiamojo įvykio atveju projekto vykdytojas turi atkurti prarastą turtą.</w:t>
                </w:r>
              </w:p>
              <w:p>
                <w:pPr>
                  <w:jc w:val="both"/>
                  <w:rPr>
                    <w:color w:val="232323"/>
                  </w:rPr>
                </w:pPr>
                <w:r>
                  <w:rPr>
                    <w:szCs w:val="24"/>
                  </w:rPr>
                  <w:t xml:space="preserve">11.3. </w:t>
                </w:r>
                <w:r>
                  <w:rPr>
                    <w:rFonts w:eastAsia="Calibri"/>
                    <w:iCs/>
                    <w:szCs w:val="24"/>
                    <w:lang w:eastAsia="lt-LT"/>
                  </w:rPr>
                  <w:t xml:space="preserve">Projekto vykdytojas </w:t>
                </w:r>
                <w:r>
                  <w:rPr>
                    <w:color w:val="232323"/>
                  </w:rPr>
                  <w:t>turi užtikrinti, kad ilgalaikis materialusis turtas, įsigytas ar sukurtas iš projektui skirtų lėšų, būtų naudojamas ir prižiūrimas vadovaujantis gamintojo rekomendacijomis visą Aprašo 11.1 papunktyje nurodytą laikotarpį.</w:t>
                </w:r>
              </w:p>
            </w:tc>
          </w:tr>
          <w:tr>
            <w:tc>
              <w:tcPr>
                <w:tcW w:w="9873" w:type="dxa"/>
              </w:tcPr>
              <w:p>
                <w:pPr>
                  <w:jc w:val="both"/>
                  <w:rPr>
                    <w:b/>
                    <w:szCs w:val="24"/>
                  </w:rPr>
                </w:pPr>
                <w:r>
                  <w:rPr>
                    <w:b/>
                    <w:szCs w:val="24"/>
                  </w:rPr>
                  <w:t>12. Kiti reikalavimai</w:t>
                </w:r>
              </w:p>
            </w:tc>
          </w:tr>
          <w:tr>
            <w:tc>
              <w:tcPr>
                <w:tcW w:w="9873" w:type="dxa"/>
              </w:tcPr>
              <w:p>
                <w:pPr>
                  <w:tabs>
                    <w:tab w:val="left" w:pos="600"/>
                  </w:tabs>
                  <w:jc w:val="both"/>
                  <w:rPr>
                    <w:color w:val="000000"/>
                    <w:szCs w:val="24"/>
                  </w:rPr>
                </w:pPr>
                <w:r>
                  <w:rPr>
                    <w:szCs w:val="24"/>
                    <w:lang w:eastAsia="lt-LT"/>
                  </w:rPr>
                  <w:t xml:space="preserve">12.1. </w:t>
                </w:r>
                <w:r>
                  <w:rPr>
                    <w:color w:val="000000"/>
                    <w:szCs w:val="24"/>
                  </w:rPr>
                  <w:t>Ne vėliau kaip iki einamųjų metų sausio mėnesio 20 dienos</w:t>
                </w:r>
                <w:r>
                  <w:rPr>
                    <w:i/>
                    <w:iCs/>
                    <w:color w:val="000000"/>
                    <w:szCs w:val="24"/>
                  </w:rPr>
                  <w:t xml:space="preserve"> </w:t>
                </w:r>
                <w:r>
                  <w:rPr>
                    <w:color w:val="000000"/>
                    <w:szCs w:val="24"/>
                  </w:rPr>
                  <w:t xml:space="preserve">Agentūra pateikia Aplinkos ministerijai apibendrintą informaciją apie Klimato kaitos programos lėšomis finansuotus projektus,  projektų metu įsigytą ir naudojamą  įrangą ir (ar) techniką, sumažintą ŠESD kiekį.</w:t>
                </w:r>
              </w:p>
            </w:tc>
          </w:tr>
          <w:tr>
            <w:tc>
              <w:tcPr>
                <w:tcW w:w="9873" w:type="dxa"/>
              </w:tcPr>
              <w:p>
                <w:pPr>
                  <w:rPr>
                    <w:b/>
                    <w:szCs w:val="24"/>
                  </w:rPr>
                </w:pPr>
                <w:r>
                  <w:rPr>
                    <w:b/>
                    <w:szCs w:val="24"/>
                  </w:rPr>
                  <w:t>IŠLAIDŲ TINKAMUMO FINANSUOTI REIKALAVIMAI</w:t>
                </w:r>
              </w:p>
            </w:tc>
          </w:tr>
          <w:tr>
            <w:tc>
              <w:tcPr>
                <w:tcW w:w="9873" w:type="dxa"/>
              </w:tcPr>
              <w:p>
                <w:pPr>
                  <w:jc w:val="both"/>
                  <w:rPr>
                    <w:b/>
                    <w:szCs w:val="24"/>
                    <w:highlight w:val="yellow"/>
                  </w:rPr>
                </w:pPr>
                <w:r>
                  <w:rPr>
                    <w:b/>
                    <w:szCs w:val="24"/>
                  </w:rPr>
                  <w:t>13. Išlaidų tinkamumo finansuoti reikalavimai</w:t>
                </w:r>
              </w:p>
            </w:tc>
          </w:tr>
          <w:tr>
            <w:tc>
              <w:tcPr>
                <w:tcW w:w="9873" w:type="dxa"/>
              </w:tcPr>
              <w:p>
                <w:pPr>
                  <w:jc w:val="both"/>
                  <w:rPr>
                    <w:shd w:val="clear" w:color="auto" w:fill="FFFFFF"/>
                  </w:rPr>
                </w:pPr>
                <w:r>
                  <w:rPr>
                    <w:shd w:val="clear" w:color="auto" w:fill="FFFFFF"/>
                  </w:rPr>
                  <w:t xml:space="preserve">13.1. </w:t>
                </w:r>
                <w:r>
                  <w:t xml:space="preserve">Pagal Aprašą tinkamos finansuoti išlaidos – investicinės išlaidos, skirtos pirkti žemės ūkio techniką ir (ar) savaeiges mašinas, varomas biometanu, biodujomis ar elektra. </w:t>
                </w:r>
              </w:p>
              <w:p>
                <w:pPr>
                  <w:tabs>
                    <w:tab w:val="left" w:pos="426"/>
                    <w:tab w:val="left" w:pos="645"/>
                  </w:tabs>
                  <w:jc w:val="both"/>
                  <w:rPr>
                    <w:color w:val="000000"/>
                  </w:rPr>
                </w:pPr>
                <w:r>
                  <w:t>13.2. Projekto išlaidos apmokamos išlaidų kompensavimo būdu projekto vykdytojui deklaruojant apmokėtas išlaidas</w:t>
                </w:r>
                <w:r>
                  <w:rPr>
                    <w:szCs w:val="24"/>
                  </w:rPr>
                  <w:t xml:space="preserve"> </w:t>
                </w:r>
                <w:r>
                  <w:rPr>
                    <w:color w:val="000000"/>
                    <w:shd w:val="clear" w:color="auto" w:fill="FFFFFF"/>
                  </w:rPr>
                  <w:t>projekto finansavimo sutartyje nustatyta tvarka.</w:t>
                </w:r>
              </w:p>
              <w:p>
                <w:pPr>
                  <w:tabs>
                    <w:tab w:val="left" w:pos="426"/>
                    <w:tab w:val="left" w:pos="645"/>
                  </w:tabs>
                  <w:jc w:val="both"/>
                  <w:rPr>
                    <w:color w:val="000000"/>
                    <w:lang w:eastAsia="lt-LT"/>
                  </w:rPr>
                </w:pPr>
                <w:r>
                  <w:t xml:space="preserve">13.3. Projekto vykdytojo prašymu, Agentūra priima sprendimą skirti iki 30 proc. projektui įgyvendinti skirtos projekto finansavimo sumos avansą. </w:t>
                </w:r>
                <w:r>
                  <w:rPr>
                    <w:color w:val="000000"/>
                    <w:lang w:eastAsia="lt-LT"/>
                  </w:rPr>
                  <w:t>Avansinis mokėjimas skiriamas pateikus avansinio mokėjimo prašymą per APVIS ir finansų įstaigos ar draudimo įmonės garantiją, laidavimo raštą ar laidavimo draudimo raštą dėl avanso sumos. Jeigu finansų įstaiga ar draudimo įmonė registruota ne Lietuvoje, privaloma pateikti ir Lietuvos banko patvirtinimą. Sumokėta avanso suma proporcingai atskaitoma iš mokėjimo prašymo (-ų) sumos. Agentūra per 15 darbo dienų patikrina užpildytą avansinio mokėjimo prašymą ir, jei jis užpildytas tinkamai, nurodo Nacionaliniam bendrųjų funkcijų centrui prašyme nurodytą avansinio mokėjimo sumą išmokėti pareiškėjui į prašyme nurodytą banko sąskaitą arba nurodo pareiškėjui finansų įstaigos ar draudimo įmonės garantijos, laidavimo rašto ar laidavimo draudimo rašto trūkumus, kuriuos pareiškėjas turi ištaisyti per 5 darbo dienas.</w:t>
                </w:r>
              </w:p>
              <w:p>
                <w:pPr>
                  <w:tabs>
                    <w:tab w:val="left" w:pos="426"/>
                    <w:tab w:val="left" w:pos="645"/>
                  </w:tabs>
                  <w:jc w:val="both"/>
                  <w:rPr>
                    <w:color w:val="000000"/>
                    <w:lang w:eastAsia="lt-LT"/>
                  </w:rPr>
                </w:pPr>
                <w:r>
                  <w:rPr>
                    <w:color w:val="000000"/>
                    <w:szCs w:val="24"/>
                    <w:lang w:eastAsia="lt-LT"/>
                  </w:rPr>
                  <w:t>13.4.</w:t>
                </w:r>
                <w:r>
                  <w:rPr>
                    <w:color w:val="000000"/>
                    <w:lang w:eastAsia="lt-LT"/>
                  </w:rPr>
                  <w:t xml:space="preserve"> Įgyvendinęs projektą per projekto įgyvendinimo terminą, projekto vykdytojas per APVIS Agentūrai pateikia galutinį mokėjimo prašymą su privalomais dokumentais.</w:t>
                </w:r>
              </w:p>
              <w:p>
                <w:pPr>
                  <w:tabs>
                    <w:tab w:val="left" w:pos="426"/>
                    <w:tab w:val="left" w:pos="645"/>
                  </w:tabs>
                  <w:jc w:val="both"/>
                  <w:rPr>
                    <w:color w:val="000000"/>
                    <w:szCs w:val="24"/>
                    <w:lang w:eastAsia="lt-LT"/>
                  </w:rPr>
                </w:pPr>
                <w:r>
                  <w:rPr>
                    <w:color w:val="000000"/>
                    <w:szCs w:val="24"/>
                    <w:lang w:eastAsia="lt-LT"/>
                  </w:rPr>
                  <w:t>13.5. Agentūra, gavusi mokėjimo prašymą, vadovaudamasi projekto vykdytojo pateiktais projekto įgyvendinimą įrodančiais dokumentais, nustato, ar išlaidos atitinka nustatytus reikalavimus, ar neviršija Agentūros direktoriaus įsakyme nurodytos subsidijos sumos.</w:t>
                </w:r>
              </w:p>
              <w:p>
                <w:pPr>
                  <w:jc w:val="both"/>
                  <w:rPr>
                    <w:szCs w:val="24"/>
                  </w:rPr>
                </w:pPr>
                <w:r>
                  <w:rPr>
                    <w:szCs w:val="24"/>
                  </w:rPr>
                  <w:t>13.6. Pagal Aprašą netinkamomis finansuoti laikomos išlaidos:</w:t>
                </w:r>
              </w:p>
              <w:p>
                <w:pPr>
                  <w:tabs>
                    <w:tab w:val="left" w:pos="700"/>
                  </w:tabs>
                  <w:spacing w:line="259" w:lineRule="auto"/>
                  <w:jc w:val="both"/>
                  <w:rPr>
                    <w:lang w:eastAsia="lt-LT"/>
                  </w:rPr>
                </w:pPr>
                <w:r>
                  <w:t xml:space="preserve">13.6.1. </w:t>
                </w:r>
                <w:r>
                  <w:rPr>
                    <w:lang w:eastAsia="lt-LT"/>
                  </w:rPr>
                  <w:t>nurodytos Projektų taisyklių VII skyriaus trečiajame skirsnyje;</w:t>
                </w:r>
              </w:p>
              <w:p>
                <w:pPr>
                  <w:tabs>
                    <w:tab w:val="left" w:pos="700"/>
                  </w:tabs>
                  <w:spacing w:line="259" w:lineRule="auto"/>
                  <w:jc w:val="both"/>
                  <w:rPr>
                    <w:szCs w:val="24"/>
                    <w:lang w:eastAsia="lt-LT"/>
                  </w:rPr>
                </w:pPr>
                <w:r>
                  <w:rPr>
                    <w:szCs w:val="24"/>
                  </w:rPr>
                  <w:t>13</w:t>
                </w:r>
                <w:r>
                  <w:rPr>
                    <w:szCs w:val="24"/>
                    <w:lang w:eastAsia="lt-LT"/>
                  </w:rPr>
                  <w:t>.6.2. pridėtinės vertės mokestis;</w:t>
                </w:r>
              </w:p>
              <w:p>
                <w:pPr>
                  <w:tabs>
                    <w:tab w:val="left" w:pos="700"/>
                  </w:tabs>
                  <w:spacing w:line="259" w:lineRule="auto"/>
                  <w:jc w:val="both"/>
                  <w:rPr>
                    <w:szCs w:val="24"/>
                    <w:lang w:eastAsia="lt-LT"/>
                  </w:rPr>
                </w:pPr>
                <w:r>
                  <w:rPr>
                    <w:szCs w:val="24"/>
                  </w:rPr>
                  <w:t>13.6.3. žemės įsigijimo ar nuomos</w:t>
                </w:r>
                <w:r>
                  <w:rPr>
                    <w:szCs w:val="24"/>
                    <w:lang w:eastAsia="lt-LT"/>
                  </w:rPr>
                  <w:t>;</w:t>
                </w:r>
              </w:p>
              <w:p>
                <w:pPr>
                  <w:tabs>
                    <w:tab w:val="left" w:pos="700"/>
                  </w:tabs>
                  <w:spacing w:line="259" w:lineRule="auto"/>
                  <w:jc w:val="both"/>
                  <w:rPr>
                    <w:szCs w:val="24"/>
                    <w:lang w:eastAsia="lt-LT"/>
                  </w:rPr>
                </w:pPr>
                <w:r>
                  <w:rPr>
                    <w:szCs w:val="24"/>
                  </w:rPr>
                  <w:t>13</w:t>
                </w:r>
                <w:r>
                  <w:rPr>
                    <w:szCs w:val="24"/>
                    <w:lang w:eastAsia="lt-LT"/>
                  </w:rPr>
                  <w:t>.6.4. įrangos, įrenginių ir kito turto atsarginių ir (ar) pakaitinių dalių įsigijimo;</w:t>
                </w:r>
              </w:p>
              <w:p>
                <w:pPr>
                  <w:tabs>
                    <w:tab w:val="left" w:pos="700"/>
                  </w:tabs>
                  <w:spacing w:line="259" w:lineRule="auto"/>
                  <w:jc w:val="both"/>
                  <w:rPr>
                    <w:szCs w:val="24"/>
                  </w:rPr>
                </w:pPr>
                <w:r>
                  <w:rPr>
                    <w:szCs w:val="24"/>
                  </w:rPr>
                  <w:t xml:space="preserve">13.6.5. žemės ūkio technikos ir (ar) savaeigių mašinų  eksploatavimo ir susijusios išlaidos, įskaitant išlaidas energijai, draudimo ir techninės priežiūros išlaidas;</w:t>
                </w:r>
              </w:p>
              <w:p>
                <w:pPr>
                  <w:tabs>
                    <w:tab w:val="left" w:pos="700"/>
                  </w:tabs>
                  <w:spacing w:line="259" w:lineRule="auto"/>
                  <w:jc w:val="both"/>
                  <w:rPr>
                    <w:szCs w:val="24"/>
                  </w:rPr>
                </w:pPr>
                <w:r>
                  <w:rPr>
                    <w:szCs w:val="24"/>
                  </w:rPr>
                  <w:t>13.6.6. su išperkamosios nuomos (lizingo) sutartimis susijusios išlaidos (pvz., nuomotojo pelnas, palūkanų perfinansavimo išlaidos, pridėtinės išlaidos ir draudimo mokesčiai);</w:t>
                </w:r>
              </w:p>
              <w:p>
                <w:pPr>
                  <w:tabs>
                    <w:tab w:val="left" w:pos="700"/>
                  </w:tabs>
                  <w:spacing w:line="259" w:lineRule="auto"/>
                  <w:jc w:val="both"/>
                  <w:rPr>
                    <w:szCs w:val="24"/>
                  </w:rPr>
                </w:pPr>
                <w:r>
                  <w:rPr>
                    <w:szCs w:val="24"/>
                  </w:rPr>
                  <w:t>13.6.7. naudojamo ilgalaikio turto nusidėvėjimo (amortizacijos) sąnaudos;</w:t>
                </w:r>
              </w:p>
              <w:p>
                <w:pPr>
                  <w:tabs>
                    <w:tab w:val="left" w:pos="700"/>
                  </w:tabs>
                  <w:spacing w:line="259" w:lineRule="auto"/>
                  <w:jc w:val="both"/>
                  <w:rPr>
                    <w:szCs w:val="24"/>
                  </w:rPr>
                </w:pPr>
                <w:r>
                  <w:rPr>
                    <w:szCs w:val="24"/>
                  </w:rPr>
                  <w:t>13.6.8. projektą vykdančio personalo ir (arba) projekto veiklose dalyvaujančių asmenų darbo užmokestis, komandiruočių ir kelionių išlaidos;</w:t>
                </w:r>
              </w:p>
              <w:p>
                <w:pPr>
                  <w:tabs>
                    <w:tab w:val="left" w:pos="700"/>
                  </w:tabs>
                  <w:spacing w:line="259" w:lineRule="auto"/>
                  <w:jc w:val="both"/>
                  <w:rPr>
                    <w:szCs w:val="24"/>
                  </w:rPr>
                </w:pPr>
                <w:r>
                  <w:rPr>
                    <w:szCs w:val="24"/>
                  </w:rPr>
                  <w:t>13.6.9. netiesioginės ir kitos išlaidos pagal fiksuotąją projekto išlaidų normą.</w:t>
                </w:r>
              </w:p>
              <w:p>
                <w:pPr>
                  <w:tabs>
                    <w:tab w:val="left" w:pos="700"/>
                  </w:tabs>
                  <w:spacing w:line="259" w:lineRule="auto"/>
                  <w:jc w:val="both"/>
                  <w:rPr>
                    <w:color w:val="808080"/>
                    <w:sz w:val="22"/>
                    <w:szCs w:val="22"/>
                  </w:rPr>
                </w:pPr>
                <w:r>
                  <w:rPr>
                    <w:szCs w:val="24"/>
                  </w:rPr>
                  <w:t>13.7. Nepiniginis pareiškėjo įnašas laikomas netinkamomis finansuoti išlaidomis.</w:t>
                </w:r>
              </w:p>
            </w:tc>
          </w:tr>
          <w:tr>
            <w:tc>
              <w:tcPr>
                <w:tcW w:w="9873" w:type="dxa"/>
              </w:tcPr>
              <w:p>
                <w:pPr>
                  <w:jc w:val="both"/>
                  <w:rPr>
                    <w:b/>
                    <w:color w:val="000000"/>
                    <w:szCs w:val="24"/>
                  </w:rPr>
                </w:pPr>
                <w:r>
                  <w:rPr>
                    <w:b/>
                    <w:color w:val="000000"/>
                    <w:szCs w:val="24"/>
                  </w:rPr>
                  <w:t>14. Projektų veiklų ir jungtinio projekto projektų įgyvendinimui taikomi supaprastintai apmokamų išlaidų dydžiai</w:t>
                </w:r>
              </w:p>
              <w:p>
                <w:pPr>
                  <w:jc w:val="both"/>
                  <w:rPr>
                    <w:b/>
                    <w:color w:val="000000"/>
                    <w:szCs w:val="24"/>
                  </w:rPr>
                </w:pPr>
                <w:r>
                  <w:rPr>
                    <w:bCs/>
                    <w:szCs w:val="24"/>
                  </w:rPr>
                  <w:t>Netaikoma.</w:t>
                </w:r>
              </w:p>
            </w:tc>
          </w:tr>
        </w:tbl>
        <w:sdt>
          <w:sdtPr>
            <w:alias w:val="pabaiga"/>
            <w:tag w:val="part_d403da520ad44e1fb0449d4fb6b5e8bb"/>
            <w:lock w:val="sdtLocked"/>
            <w:richText/>
          </w:sdtPr>
          <w:sdtContent>
            <w:p>
              <w:pPr>
                <w:spacing w:line="276" w:lineRule="auto"/>
                <w:jc w:val="center"/>
                <w:rPr>
                  <w:sz w:val="14"/>
                  <w:szCs w:val="14"/>
                </w:rPr>
              </w:pPr>
              <w:r>
                <w:rPr>
                  <w:rFonts w:eastAsia="Calibri"/>
                  <w:szCs w:val="24"/>
                </w:rPr>
                <w:t>_______________</w:t>
              </w:r>
            </w:p>
            <w:p>
              <w:pPr>
                <w:jc w:val="both"/>
                <w:rPr>
                  <w:bCs/>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1296"/>
                  <w:titlePg/>
                  <w:docGrid w:linePitch="360"/>
                </w:sectPr>
              </w:pPr>
            </w:p>
            <w:p>
              <w:pPr>
                <w:tabs>
                  <w:tab w:val="center" w:pos="4986"/>
                  <w:tab w:val="right" w:pos="9972"/>
                </w:tabs>
              </w:pPr>
            </w:p>
          </w:sdtContent>
        </w:sdt>
      </w:sdtContent>
    </w:sdt>
    <w:sdt>
      <w:sdtPr>
        <w:alias w:val="1 pr."/>
        <w:tag w:val="part_d5a5406fce494655896da4f53da67638"/>
        <w:lock w:val="sdtLocked"/>
        <w:richText/>
      </w:sdtPr>
      <w:sdtContent>
        <w:p>
          <w:pPr>
            <w:ind w:left="10368"/>
            <w:jc w:val="both"/>
            <w:rPr>
              <w:bCs/>
              <w:lang w:eastAsia="lt-LT"/>
            </w:rPr>
          </w:pPr>
          <w:r>
            <w:rPr>
              <w:bCs/>
            </w:rPr>
            <w:t>2022–2030 metų Lietuvos Respublikos aplinkos ministerijos aplinkos apsaugos ir klimato kaitos valdymo plėtros programos pažangos priemonės Nr. 02-001-06-04-02 „Didinti klimato kaitos politikos veiksmingumą“ veiklos „</w:t>
          </w:r>
          <w:r>
            <w:rPr>
              <w:bCs/>
              <w:iCs/>
            </w:rPr>
            <w:t xml:space="preserve">Antros kartos biodegalais ir elektra varomos žemės ūkio technikos skatinimas“ </w:t>
          </w:r>
          <w:r>
            <w:rPr>
              <w:bCs/>
            </w:rPr>
            <w:t>projektų finansavimo sąlygų aprašo</w:t>
          </w:r>
        </w:p>
        <w:p>
          <w:pPr>
            <w:ind w:left="9781" w:firstLine="587"/>
            <w:jc w:val="both"/>
            <w:rPr>
              <w:szCs w:val="24"/>
            </w:rPr>
          </w:pPr>
          <w:sdt>
            <w:sdtPr>
              <w:alias w:val="Numeris"/>
              <w:tag w:val="nr_d5a5406fce494655896da4f53da67638"/>
              <w:lock w:val="sdtLocked"/>
              <w:richText/>
            </w:sdtPr>
            <w:sdtContent>
              <w:r>
                <w:rPr>
                  <w:szCs w:val="24"/>
                </w:rPr>
                <w:t>1</w:t>
              </w:r>
            </w:sdtContent>
          </w:sdt>
          <w:r>
            <w:rPr>
              <w:szCs w:val="24"/>
            </w:rPr>
            <w:t xml:space="preserve"> priedas</w:t>
          </w:r>
        </w:p>
        <w:p>
          <w:pPr>
            <w:jc w:val="center"/>
            <w:rPr>
              <w:rFonts w:eastAsia="Calibri"/>
              <w:b/>
              <w:bCs/>
              <w:szCs w:val="24"/>
            </w:rPr>
          </w:pPr>
        </w:p>
        <w:p>
          <w:pPr>
            <w:jc w:val="center"/>
            <w:rPr>
              <w:rFonts w:eastAsia="Calibri"/>
              <w:b/>
              <w:bCs/>
              <w:szCs w:val="24"/>
            </w:rPr>
          </w:pPr>
          <w:sdt>
            <w:sdtPr>
              <w:alias w:val="Pavadinimas"/>
              <w:tag w:val="title_d5a5406fce494655896da4f53da67638"/>
              <w:lock w:val="sdtLocked"/>
              <w:richText/>
            </w:sdtPr>
            <w:sdtContent>
              <w:r>
                <w:rPr>
                  <w:rFonts w:eastAsia="Calibri"/>
                  <w:b/>
                  <w:bCs/>
                  <w:szCs w:val="24"/>
                </w:rPr>
                <w:t>PROJEKTO (ĮSKAITANT JUNGTINĮ) ATITIKTIES REIKŠMINGOS ŽALOS NEDARYMO HORIZONTALIAJAM PRINCIPUI VERTINIMO REIKALAVIMŲ APRAŠAS</w:t>
              </w:r>
            </w:sdtContent>
          </w:sdt>
        </w:p>
        <w:p>
          <w:pPr>
            <w:jc w:val="center"/>
            <w:rPr>
              <w:rFonts w:eastAsia="Calibri"/>
              <w:b/>
              <w:bCs/>
              <w:szCs w:val="24"/>
            </w:rPr>
          </w:pPr>
        </w:p>
        <w:p>
          <w:pPr>
            <w:rPr>
              <w:rFonts w:eastAsia="Calibri"/>
              <w:b/>
              <w:bCs/>
              <w:szCs w:val="24"/>
            </w:rPr>
          </w:pPr>
          <w:r>
            <w:rPr>
              <w:rFonts w:eastAsia="Calibri"/>
              <w:bCs/>
              <w:szCs w:val="24"/>
            </w:rPr>
            <w:t xml:space="preserve">Finansavimo šaltinis, pagal kurį finansuojamas projektas: </w:t>
          </w:r>
          <w:r>
            <w:t>Klimato kaitos programa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8"/>
            <w:gridCol w:w="6575"/>
            <w:gridCol w:w="4927"/>
          </w:tblGrid>
          <w:tr>
            <w:tc>
              <w:tcPr>
                <w:tcW w:w="1050" w:type="pct"/>
              </w:tcPr>
              <w:p>
                <w:pPr>
                  <w:ind w:right="227"/>
                  <w:jc w:val="center"/>
                  <w:rPr>
                    <w:rFonts w:eastAsia="Calibri"/>
                    <w:b/>
                    <w:szCs w:val="24"/>
                  </w:rPr>
                </w:pPr>
                <w:r>
                  <w:rPr>
                    <w:rFonts w:eastAsia="Calibri"/>
                    <w:b/>
                    <w:szCs w:val="24"/>
                  </w:rPr>
                  <w:t>Aplinkos tikslai</w:t>
                </w:r>
              </w:p>
            </w:tc>
            <w:tc>
              <w:tcPr>
                <w:tcW w:w="2258" w:type="pct"/>
              </w:tcPr>
              <w:p>
                <w:pPr>
                  <w:jc w:val="center"/>
                  <w:rPr>
                    <w:rFonts w:eastAsia="Calibri"/>
                    <w:b/>
                    <w:szCs w:val="24"/>
                  </w:rPr>
                </w:pPr>
                <w:r>
                  <w:rPr>
                    <w:rFonts w:eastAsia="Calibri"/>
                    <w:b/>
                    <w:szCs w:val="24"/>
                  </w:rPr>
                  <w:t>Pagrindimas</w:t>
                </w:r>
              </w:p>
            </w:tc>
            <w:tc>
              <w:tcPr>
                <w:tcW w:w="1692" w:type="pct"/>
              </w:tcPr>
              <w:p>
                <w:pPr>
                  <w:jc w:val="center"/>
                  <w:rPr>
                    <w:rFonts w:eastAsia="Calibri"/>
                    <w:i/>
                    <w:szCs w:val="24"/>
                  </w:rPr>
                </w:pPr>
                <w:r>
                  <w:rPr>
                    <w:rFonts w:eastAsia="Calibri"/>
                    <w:b/>
                    <w:szCs w:val="24"/>
                  </w:rPr>
                  <w:t>Pagrindimo dokumentai</w:t>
                  <w:br/>
                </w:r>
                <w:r>
                  <w:rPr>
                    <w:i/>
                    <w:iCs/>
                    <w:szCs w:val="24"/>
                  </w:rPr>
                  <w:t>(pildo pareiškėjas, nurodydamas konkrečius su projektų įgyvendinimo planu teikiamus dokumentus)</w:t>
                </w:r>
              </w:p>
            </w:tc>
          </w:tr>
          <w:tr>
            <w:tc>
              <w:tcPr>
                <w:tcW w:w="1050" w:type="pct"/>
              </w:tcPr>
              <w:p>
                <w:pPr>
                  <w:tabs>
                    <w:tab w:val="left" w:pos="289"/>
                  </w:tabs>
                  <w:ind w:firstLine="5"/>
                  <w:jc w:val="both"/>
                  <w:rPr>
                    <w:rFonts w:eastAsia="Calibri"/>
                    <w:szCs w:val="24"/>
                  </w:rPr>
                </w:pPr>
                <w:r>
                  <w:rPr>
                    <w:rFonts w:eastAsia="Calibri"/>
                    <w:szCs w:val="24"/>
                  </w:rPr>
                  <w:t>1.</w:t>
                  <w:tab/>
                  <w:t>Klimato kaitos švelninimas</w:t>
                </w:r>
              </w:p>
            </w:tc>
            <w:tc>
              <w:tcPr>
                <w:tcW w:w="2258" w:type="pct"/>
              </w:tcPr>
              <w:p>
                <w:pPr>
                  <w:jc w:val="both"/>
                  <w:rPr>
                    <w:szCs w:val="24"/>
                  </w:rPr>
                </w:pPr>
                <w:r>
                  <w:rPr>
                    <w:szCs w:val="24"/>
                  </w:rPr>
                  <w:t xml:space="preserve">Vertinama, kad veikla </w:t>
                </w:r>
                <w:r>
                  <w:rPr>
                    <w:bCs/>
                    <w:szCs w:val="24"/>
                  </w:rPr>
                  <w:t>„</w:t>
                </w:r>
                <w:r>
                  <w:rPr>
                    <w:bCs/>
                    <w:iCs/>
                    <w:szCs w:val="24"/>
                  </w:rPr>
                  <w:t>Antros kartos biodegalais ir elektra varomos žemės ūkio technikos skatinimas</w:t>
                </w:r>
                <w:r>
                  <w:rPr>
                    <w:bCs/>
                    <w:szCs w:val="24"/>
                  </w:rPr>
                  <w:t>“</w:t>
                </w:r>
                <w:r>
                  <w:rPr>
                    <w:szCs w:val="24"/>
                  </w:rPr>
                  <w:t xml:space="preserve"> 100 procentų prisidedama prie klimato kaitos švelninimo – mažinamas šiltnamio efektą sukeliančių dujų kiekis (toliau – ŠESD).</w:t>
                </w:r>
              </w:p>
              <w:p>
                <w:pPr>
                  <w:jc w:val="both"/>
                  <w:rPr>
                    <w:szCs w:val="24"/>
                  </w:rPr>
                </w:pPr>
                <w:r>
                  <w:rPr>
                    <w:szCs w:val="24"/>
                  </w:rPr>
                  <w:t xml:space="preserve">Vadovaujantis </w:t>
                </w:r>
                <w:r>
                  <w:rPr>
                    <w:color w:val="000000"/>
                    <w:szCs w:val="24"/>
                    <w:lang w:eastAsia="lt-LT"/>
                  </w:rPr>
                  <w:t xml:space="preserve">2021 m. vasario 12 d. Europos Parlamento ir Tarybos </w:t>
                </w:r>
                <w:r>
                  <w:rPr>
                    <w:color w:val="000000"/>
                    <w:lang w:eastAsia="lt-LT"/>
                  </w:rPr>
                  <w:t>reglamento</w:t>
                </w:r>
                <w:r>
                  <w:rPr>
                    <w:szCs w:val="24"/>
                  </w:rPr>
                  <w:t xml:space="preserve"> </w:t>
                </w:r>
                <w:fldSimple w:instr="HYPERLINK http://eur-lex.europa.eu/legal-content/LIT/TXT/?uri=CELEX:32021R0241&amp;locale=lt \t _blank">
                  <w:r>
                    <w:rPr>
                      <w:szCs w:val="24"/>
                      <w:u w:val="single"/>
                      <w:color w:val="0000FF" w:themeColor="hyperlink"/>
                    </w:rPr>
                    <w:t>(ES) 2021/241</w:t>
                  </w:r>
                </w:fldSimple>
                <w:r>
                  <w:rPr>
                    <w:szCs w:val="24"/>
                  </w:rPr>
                  <w:t>,</w:t>
                </w:r>
                <w:r>
                  <w:rPr>
                    <w:color w:val="000000"/>
                    <w:szCs w:val="24"/>
                    <w:lang w:eastAsia="lt-LT"/>
                  </w:rPr>
                  <w:t xml:space="preserve"> kuriuo nustatoma ekonomikos gaivinimo ir atsparumo didinimo priemonė,</w:t>
                </w:r>
                <w:r>
                  <w:rPr>
                    <w:szCs w:val="24"/>
                  </w:rPr>
                  <w:t xml:space="preserve"> VI priedo klasifikatoriumi, taikomas 100 procentų paramos, siekiant su klimato kaita susijusių tikslų, skaičiavimo koeficientas (074).</w:t>
                </w:r>
              </w:p>
              <w:p>
                <w:pPr>
                  <w:jc w:val="both"/>
                </w:pPr>
                <w:r>
                  <w:rPr>
                    <w:rFonts w:eastAsia="Calibri"/>
                  </w:rPr>
                  <w:t xml:space="preserve">Šia investicija svariai prisidedama mažinant (ŠESD) emisijas, didinant švaraus ar neutralaus poveikio klimatui  priemonių didinimo, nes planuojama pirkti žemės ūkio technika ir (ar) savaeiges mašinos   bus varomos elektra ar biometanu ir biodujomis.</w:t>
                </w:r>
              </w:p>
            </w:tc>
            <w:tc>
              <w:tcPr>
                <w:tcW w:w="1692" w:type="pct"/>
              </w:tcPr>
              <w:p>
                <w:pPr>
                  <w:tabs>
                    <w:tab w:val="left" w:pos="589"/>
                  </w:tabs>
                  <w:jc w:val="both"/>
                  <w:rPr>
                    <w:szCs w:val="24"/>
                  </w:rPr>
                </w:pPr>
                <w:r>
                  <w:rPr>
                    <w:szCs w:val="24"/>
                  </w:rPr>
                  <w:t>Pagrindimo dokumentai neteikiami.</w:t>
                </w:r>
              </w:p>
              <w:p>
                <w:pPr>
                  <w:tabs>
                    <w:tab w:val="left" w:pos="589"/>
                  </w:tabs>
                  <w:jc w:val="both"/>
                  <w:rPr>
                    <w:szCs w:val="24"/>
                  </w:rPr>
                </w:pPr>
                <w:r>
                  <w:rPr>
                    <w:szCs w:val="24"/>
                  </w:rPr>
                  <w:t>Su mokėjimo prašymu projekto vykdytojas teiks projektų įgyvendinimo planus (toliau – PĮP) žemės ūkio technikos ir (ar) savaeigių mašinų įsigijimą įrodančius dokumentus.</w:t>
                </w:r>
              </w:p>
              <w:p>
                <w:pPr>
                  <w:tabs>
                    <w:tab w:val="left" w:pos="589"/>
                  </w:tabs>
                  <w:jc w:val="both"/>
                  <w:rPr>
                    <w:szCs w:val="24"/>
                  </w:rPr>
                </w:pPr>
              </w:p>
            </w:tc>
          </w:tr>
          <w:tr>
            <w:tc>
              <w:tcPr>
                <w:tcW w:w="1050" w:type="pct"/>
              </w:tcPr>
              <w:p>
                <w:pPr>
                  <w:tabs>
                    <w:tab w:val="left" w:pos="289"/>
                  </w:tabs>
                  <w:ind w:firstLine="5"/>
                  <w:jc w:val="both"/>
                  <w:rPr>
                    <w:rFonts w:eastAsia="Calibri"/>
                    <w:szCs w:val="24"/>
                  </w:rPr>
                </w:pPr>
                <w:r>
                  <w:rPr>
                    <w:rFonts w:eastAsia="Calibri"/>
                    <w:szCs w:val="24"/>
                  </w:rPr>
                  <w:t>2.</w:t>
                  <w:tab/>
                  <w:t>Prisitaikymas prie klimato kaitos</w:t>
                </w:r>
              </w:p>
            </w:tc>
            <w:tc>
              <w:tcPr>
                <w:tcW w:w="2258" w:type="pct"/>
              </w:tcPr>
              <w:p>
                <w:pPr>
                  <w:jc w:val="both"/>
                  <w:rPr>
                    <w:szCs w:val="24"/>
                  </w:rPr>
                </w:pPr>
                <w:r>
                  <w:rPr>
                    <w:szCs w:val="24"/>
                  </w:rPr>
                  <w:t>Vertinama, kad planuojama įgyvendinti veikla „</w:t>
                </w:r>
                <w:r>
                  <w:rPr>
                    <w:iCs/>
                    <w:szCs w:val="24"/>
                  </w:rPr>
                  <w:t>Antros kartos biodegalais ir elektra varomos žemės ūkio technikos skatinimas“</w:t>
                </w:r>
                <w:r>
                  <w:rPr>
                    <w:szCs w:val="24"/>
                  </w:rPr>
                  <w:t xml:space="preserve"> neturi jokio numatomo poveikio šiam aplinkos tikslui arba numatomas jos poveikis yra nereikšmingas, t. y. nedaro tiesioginio ir pirminio netiesioginio poveikio per visą gyvavimo ciklą, todėl laikoma, kad investicijos atitinka prisitaikymo prie klimato kaitos tikslą.</w:t>
                </w:r>
              </w:p>
              <w:p>
                <w:pPr>
                  <w:jc w:val="both"/>
                  <w:rPr>
                    <w:szCs w:val="24"/>
                  </w:rPr>
                </w:pPr>
                <w:r>
                  <w:rPr>
                    <w:szCs w:val="24"/>
                  </w:rPr>
                  <w:t>Planuojamos investicijos</w:t>
                </w:r>
                <w:r>
                  <w:t xml:space="preserve"> </w:t>
                </w:r>
                <w:r>
                  <w:rPr>
                    <w:szCs w:val="24"/>
                  </w:rPr>
                  <w:t>neturės neigiamos įtakos prisitaikymo prie klimato kaitos pastangoms ar atsparumui žmonių, gamtos, turto ir kitos ekonominės veiklos rizikai ir yra suderintos su vietos, sektoriaus ir šalies prisitaikymo pastangomis, nes neplanuojama kurti jokios infrastruktūros potvynių zonoje.</w:t>
                </w:r>
              </w:p>
              <w:p>
                <w:pPr>
                  <w:jc w:val="both"/>
                </w:pPr>
                <w:r>
                  <w:rPr>
                    <w:szCs w:val="24"/>
                  </w:rPr>
                  <w:t xml:space="preserve">Projekto finansuojama veikla ir rezultatas – įsigyta žemės ūkio technika ir (ar) savaeigės mašinos </w:t>
                </w:r>
                <w:r>
                  <w:rPr>
                    <w:iCs/>
                    <w:szCs w:val="24"/>
                  </w:rPr>
                  <w:t>neturės tiesioginio ar netiesioginio neigiamo poveikio prisitaikymo prie klimato kaitos tikslui, nes nenumatomas neigiamas poveikis žmonėms, gamtai ar turtui.</w:t>
                </w:r>
              </w:p>
            </w:tc>
            <w:tc>
              <w:tcPr>
                <w:tcW w:w="1692" w:type="pct"/>
              </w:tcPr>
              <w:p>
                <w:pPr>
                  <w:tabs>
                    <w:tab w:val="left" w:pos="589"/>
                  </w:tabs>
                  <w:jc w:val="both"/>
                  <w:rPr>
                    <w:szCs w:val="24"/>
                  </w:rPr>
                </w:pPr>
                <w:r>
                  <w:rPr>
                    <w:szCs w:val="24"/>
                  </w:rPr>
                  <w:t>Pagrindimo dokumentai neteikiami.</w:t>
                </w:r>
              </w:p>
              <w:p>
                <w:pPr>
                  <w:tabs>
                    <w:tab w:val="left" w:pos="589"/>
                  </w:tabs>
                  <w:jc w:val="both"/>
                  <w:rPr>
                    <w:iCs/>
                    <w:szCs w:val="24"/>
                  </w:rPr>
                </w:pPr>
                <w:r>
                  <w:rPr>
                    <w:szCs w:val="24"/>
                  </w:rPr>
                  <w:t>Su mokėjimo prašymu projekto vykdytojas teiks „</w:t>
                </w:r>
                <w:r>
                  <w:rPr>
                    <w:iCs/>
                    <w:szCs w:val="24"/>
                  </w:rPr>
                  <w:t>Antros kartos biodegalais ir elektra varomos žemės ūkio technikos skatinimas“</w:t>
                </w:r>
                <w:r>
                  <w:rPr>
                    <w:szCs w:val="24"/>
                  </w:rPr>
                  <w:t xml:space="preserve"> </w:t>
                </w:r>
                <w:r>
                  <w:t>projektų finansavimo sąlygų apraše (toliau – Aprašas)</w:t>
                </w:r>
                <w:r>
                  <w:rPr>
                    <w:szCs w:val="24"/>
                  </w:rPr>
                  <w:t xml:space="preserve"> ir (arba) kvietime teikti PĮP nurodytus</w:t>
                </w:r>
                <w:r>
                  <w:rPr>
                    <w:rFonts w:eastAsia="Calibri"/>
                    <w:iCs/>
                    <w:szCs w:val="24"/>
                  </w:rPr>
                  <w:t xml:space="preserve"> žemės ūkio technikos ir (ar) savaeigių mašinų  įsigijimą</w:t>
                </w:r>
                <w:r>
                  <w:rPr>
                    <w:szCs w:val="24"/>
                  </w:rPr>
                  <w:t xml:space="preserve"> įrodančius dokumentus.</w:t>
                </w:r>
              </w:p>
            </w:tc>
          </w:tr>
          <w:tr>
            <w:tc>
              <w:tcPr>
                <w:tcW w:w="1050" w:type="pct"/>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2258" w:type="pct"/>
              </w:tcPr>
              <w:p>
                <w:pPr>
                  <w:jc w:val="both"/>
                  <w:rPr>
                    <w:bCs/>
                    <w:szCs w:val="24"/>
                  </w:rPr>
                </w:pPr>
                <w:r>
                  <w:rPr>
                    <w:bCs/>
                    <w:szCs w:val="24"/>
                  </w:rPr>
                  <w:t>Vertinama, kad planuojama įgyvendinti veikla „</w:t>
                </w:r>
                <w:r>
                  <w:rPr>
                    <w:bCs/>
                    <w:iCs/>
                    <w:szCs w:val="24"/>
                  </w:rPr>
                  <w:t>Antros kartos biodegalais ir elektra varomos žemės ūkio technikos skatinimas</w:t>
                </w:r>
                <w:r>
                  <w:rPr>
                    <w:bCs/>
                    <w:szCs w:val="24"/>
                  </w:rPr>
                  <w:t>“ neturi jokio numatomo poveikio šiam aplinkos tikslui arba numatomas jos poveikis yra nereikšmingas, t. y. nedaro tiesioginio ir pirminio netiesioginio poveikio per visą gyvavimo ciklą, todėl laikoma, kad investicijos atitinka tausaus vandens ir jūrų išteklių naudojimo ir apsaugos tikslą.</w:t>
                </w:r>
              </w:p>
              <w:p>
                <w:pPr>
                  <w:tabs>
                    <w:tab w:val="left" w:pos="34"/>
                  </w:tabs>
                  <w:jc w:val="both"/>
                  <w:rPr>
                    <w:szCs w:val="24"/>
                  </w:rPr>
                </w:pPr>
                <w:r>
                  <w:rPr>
                    <w:szCs w:val="24"/>
                  </w:rPr>
                  <w:t>Planuojamos investicijos į visai netaršių transporto priemonių įsigijimą neturės jokio neigiamo tiesioginio ar netiesioginio poveikio tausaus vandens ir jūrų išteklių naudojimo ir apsaugos tikslui.</w:t>
                </w:r>
              </w:p>
            </w:tc>
            <w:tc>
              <w:tcPr>
                <w:tcW w:w="1692" w:type="pct"/>
              </w:tcPr>
              <w:p>
                <w:pPr>
                  <w:tabs>
                    <w:tab w:val="left" w:pos="556"/>
                  </w:tabs>
                  <w:jc w:val="both"/>
                  <w:rPr>
                    <w:szCs w:val="24"/>
                  </w:rPr>
                </w:pPr>
                <w:r>
                  <w:rPr>
                    <w:szCs w:val="24"/>
                  </w:rPr>
                  <w:t>Pagrindimo dokumentai neteikiami.</w:t>
                </w:r>
              </w:p>
              <w:p>
                <w:pPr>
                  <w:tabs>
                    <w:tab w:val="left" w:pos="556"/>
                  </w:tabs>
                  <w:jc w:val="both"/>
                  <w:rPr>
                    <w:rFonts w:eastAsia="Calibri"/>
                  </w:rPr>
                </w:pPr>
                <w:r>
                  <w:rPr>
                    <w:rFonts w:eastAsia="Calibri"/>
                  </w:rPr>
                  <w:t>Su mokėjimo prašymu projekto vykdytojas teiks PĮP ir žemės ūkio technikos ir (ar) savaeigių mašinų įsigijimą įrodančius dokumentus.</w:t>
                </w:r>
              </w:p>
            </w:tc>
          </w:tr>
          <w:tr>
            <w:tc>
              <w:tcPr>
                <w:tcW w:w="1050" w:type="pct"/>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2258" w:type="pct"/>
              </w:tcPr>
              <w:p>
                <w:pPr>
                  <w:tabs>
                    <w:tab w:val="left" w:pos="1245"/>
                  </w:tabs>
                  <w:jc w:val="both"/>
                </w:pPr>
                <w:r>
                  <w:t>Vertinama, kad planuojama įgyvendinti veikla „Antros kartos biodegalais ir elektra varomos žemės ūkio technikos skatinimas“ neturijokio numatomo poveikio šiam aplinkos tikslui arba numatomas jos poveikis yra nereikšmingas, t. y. nedaro tiesioginio ir pirminio netiesioginio poveikio per visą gyvavimo ciklą, todėl laikoma, kad investicijos atitinka žiedinės ekonomikos, įskaitant atliekų prevenciją ir perdirbimą, tikslą.</w:t>
                </w:r>
              </w:p>
            </w:tc>
            <w:tc>
              <w:tcPr>
                <w:tcW w:w="1692" w:type="pct"/>
              </w:tcPr>
              <w:p>
                <w:pPr>
                  <w:jc w:val="both"/>
                  <w:rPr>
                    <w:rFonts w:eastAsia="Calibri"/>
                    <w:bCs/>
                    <w:szCs w:val="24"/>
                  </w:rPr>
                </w:pPr>
                <w:r>
                  <w:rPr>
                    <w:rFonts w:eastAsia="Calibri"/>
                    <w:bCs/>
                    <w:szCs w:val="24"/>
                  </w:rPr>
                  <w:t>Pagrindimo dokumentai neteikiami.</w:t>
                </w:r>
              </w:p>
              <w:p>
                <w:pPr>
                  <w:jc w:val="both"/>
                  <w:rPr>
                    <w:rFonts w:eastAsia="Calibri"/>
                    <w:bCs/>
                    <w:szCs w:val="24"/>
                  </w:rPr>
                </w:pPr>
                <w:r>
                  <w:rPr>
                    <w:szCs w:val="24"/>
                  </w:rPr>
                  <w:t xml:space="preserve">Su mokėjimo prašymu projekto vykdytojas teiks PĮP </w:t>
                </w:r>
                <w:r>
                  <w:rPr>
                    <w:bCs/>
                    <w:szCs w:val="24"/>
                  </w:rPr>
                  <w:t>ir žemės ūkio technikos ir (ar) savaeigių mašinų įsigijimą įrodančius dokumentus.</w:t>
                </w:r>
                <w:r>
                  <w:rPr>
                    <w:rFonts w:eastAsia="Calibri"/>
                    <w:bCs/>
                    <w:szCs w:val="24"/>
                  </w:rPr>
                  <w:t xml:space="preserve"> </w:t>
                </w:r>
              </w:p>
            </w:tc>
          </w:tr>
          <w:tr>
            <w:tc>
              <w:tcPr>
                <w:tcW w:w="1050" w:type="pct"/>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2258" w:type="pct"/>
              </w:tcPr>
              <w:p>
                <w:pPr>
                  <w:jc w:val="both"/>
                </w:pPr>
                <w:r>
                  <w:t xml:space="preserve">Vertinama, kad planuojama įgyvendinti </w:t>
                </w:r>
                <w:r>
                  <w:rPr>
                    <w:szCs w:val="24"/>
                  </w:rPr>
                  <w:t>veikla „</w:t>
                </w:r>
                <w:r>
                  <w:rPr>
                    <w:iCs/>
                    <w:szCs w:val="24"/>
                  </w:rPr>
                  <w:t>Antros kartos biodegalais ir elektra varomos žemės ūkio technikos skatinimas“</w:t>
                </w:r>
                <w:r>
                  <w:rPr>
                    <w:szCs w:val="24"/>
                  </w:rPr>
                  <w:t xml:space="preserve">  </w:t>
                </w:r>
                <w:r>
                  <w:t>neturi jokio numatomo poveikio šiam aplinkos tikslui arba numatomas jos poveikis yra nereikšmingas, t. y. nedaro tiesioginio ir pirminio netiesioginio poveikio per visą gyvavimo ciklą, todėl laikoma, kad investicijos atitinka oro, vandens ar žemės taršos prevencijos ir kontrolės tikslą.</w:t>
                </w:r>
              </w:p>
            </w:tc>
            <w:tc>
              <w:tcPr>
                <w:tcW w:w="1692" w:type="pct"/>
              </w:tcPr>
              <w:p>
                <w:pPr>
                  <w:tabs>
                    <w:tab w:val="left" w:pos="556"/>
                  </w:tabs>
                  <w:jc w:val="both"/>
                  <w:rPr>
                    <w:rFonts w:eastAsia="Calibri"/>
                    <w:szCs w:val="24"/>
                  </w:rPr>
                </w:pPr>
                <w:r>
                  <w:rPr>
                    <w:rFonts w:eastAsia="Calibri"/>
                    <w:szCs w:val="24"/>
                  </w:rPr>
                  <w:t>Pagrindimo dokumentai neteikiami.</w:t>
                </w:r>
              </w:p>
              <w:p>
                <w:pPr>
                  <w:tabs>
                    <w:tab w:val="left" w:pos="556"/>
                  </w:tabs>
                  <w:jc w:val="both"/>
                  <w:rPr>
                    <w:rFonts w:eastAsia="Calibri"/>
                    <w:szCs w:val="24"/>
                  </w:rPr>
                </w:pPr>
                <w:r>
                  <w:rPr>
                    <w:szCs w:val="24"/>
                  </w:rPr>
                  <w:t xml:space="preserve">Su mokėjimo prašymu projekto vykdytojas teiks PĮP </w:t>
                </w:r>
                <w:r>
                  <w:rPr>
                    <w:bCs/>
                    <w:szCs w:val="24"/>
                  </w:rPr>
                  <w:t>ir žemės ūkio technikos ir (ar) savaeigių mašinų įsigijimą įrodančius dokumentus.</w:t>
                </w:r>
              </w:p>
            </w:tc>
          </w:tr>
          <w:tr>
            <w:tc>
              <w:tcPr>
                <w:tcW w:w="1050" w:type="pct"/>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2258" w:type="pct"/>
              </w:tcPr>
              <w:p>
                <w:pPr>
                  <w:jc w:val="both"/>
                  <w:rPr>
                    <w:bCs/>
                    <w:szCs w:val="24"/>
                  </w:rPr>
                </w:pPr>
                <w:r>
                  <w:rPr>
                    <w:bCs/>
                    <w:szCs w:val="24"/>
                  </w:rPr>
                  <w:t xml:space="preserve">Vertinama, kad planuojama įgyvendinti </w:t>
                </w:r>
                <w:r>
                  <w:rPr>
                    <w:szCs w:val="24"/>
                  </w:rPr>
                  <w:t>veikla „</w:t>
                </w:r>
                <w:r>
                  <w:rPr>
                    <w:iCs/>
                    <w:szCs w:val="24"/>
                  </w:rPr>
                  <w:t>Antros kartos biodegalais ir elektra varomos žemės ūkio technikos skatinimas“</w:t>
                </w:r>
                <w:r>
                  <w:rPr>
                    <w:szCs w:val="24"/>
                  </w:rPr>
                  <w:t xml:space="preserve">  </w:t>
                </w:r>
                <w:r>
                  <w:rPr>
                    <w:bCs/>
                    <w:szCs w:val="24"/>
                  </w:rPr>
                  <w:t>neturi jokio numatomo poveikio šiam aplinkos tikslui arba numatomas jos poveikis yra nereikšmingas, t. y. nedaro tiesioginio ir pirminio netiesioginio poveikio per visą gyvavimo ciklą, todėl laikoma, kad investicija atitinka biologinės įvairovės ir ekosistemų apsaugos ir atkūrimo tikslą.</w:t>
                </w:r>
              </w:p>
              <w:p>
                <w:pPr>
                  <w:jc w:val="both"/>
                  <w:rPr>
                    <w:i/>
                    <w:szCs w:val="24"/>
                  </w:rPr>
                </w:pPr>
                <w:r>
                  <w:rPr>
                    <w:szCs w:val="24"/>
                  </w:rPr>
                  <w:t>Nenumatoma, kad investicijos turės neigiamą poveikį biologinės įvairovės ir ekosistemų apsaugos ir atkūrimo tikslui</w:t>
                </w:r>
                <w:r>
                  <w:rPr>
                    <w:i/>
                    <w:szCs w:val="24"/>
                  </w:rPr>
                  <w:t>.</w:t>
                </w:r>
              </w:p>
            </w:tc>
            <w:tc>
              <w:tcPr>
                <w:tcW w:w="1692" w:type="pct"/>
              </w:tcPr>
              <w:p>
                <w:pPr>
                  <w:ind w:left="30"/>
                  <w:jc w:val="both"/>
                  <w:rPr>
                    <w:szCs w:val="24"/>
                  </w:rPr>
                </w:pPr>
                <w:r>
                  <w:rPr>
                    <w:szCs w:val="24"/>
                  </w:rPr>
                  <w:t>Pagrindimo dokumentai neteikiami.</w:t>
                </w:r>
              </w:p>
              <w:p>
                <w:pPr>
                  <w:jc w:val="both"/>
                  <w:rPr>
                    <w:szCs w:val="24"/>
                  </w:rPr>
                </w:pPr>
                <w:r>
                  <w:rPr>
                    <w:szCs w:val="24"/>
                  </w:rPr>
                  <w:t xml:space="preserve">Su mokėjimo prašymu projekto vykdytojas teiks PĮP </w:t>
                </w:r>
                <w:r>
                  <w:rPr>
                    <w:bCs/>
                    <w:szCs w:val="24"/>
                  </w:rPr>
                  <w:t>ir žemės ūkio technikos ir (ar) savaeigių mašinų įsigijimą įrodančius dokumentus</w:t>
                </w:r>
                <w:r>
                  <w:rPr>
                    <w:szCs w:val="24"/>
                  </w:rPr>
                  <w:t>.</w:t>
                </w:r>
              </w:p>
            </w:tc>
          </w:tr>
        </w:tbl>
        <w:sdt>
          <w:sdtPr>
            <w:alias w:val="pabaiga"/>
            <w:tag w:val="part_e7853c6246b84eb3bc299c4da8a34c44"/>
            <w:lock w:val="sdtLocked"/>
            <w:richText/>
          </w:sdtPr>
          <w:sdtContent>
            <w:p>
              <w:pPr>
                <w:spacing w:line="276" w:lineRule="auto"/>
                <w:jc w:val="center"/>
                <w:rPr>
                  <w:szCs w:val="24"/>
                </w:rPr>
              </w:pPr>
              <w:r>
                <w:rPr>
                  <w:rFonts w:eastAsia="Calibri"/>
                  <w:szCs w:val="24"/>
                </w:rPr>
                <w:t>________________</w:t>
              </w:r>
            </w:p>
            <w:p>
              <w:pPr>
                <w:spacing w:line="259" w:lineRule="auto"/>
                <w:rPr>
                  <w:szCs w:val="24"/>
                </w:rPr>
              </w:pPr>
            </w:p>
            <w:p>
              <w:pPr>
                <w:ind w:left="10368"/>
                <w:jc w:val="both"/>
                <w:rPr>
                  <w:bCs/>
                </w:rPr>
                <w:sectPr>
                  <w:pgSz w:w="16838" w:h="11906" w:orient="landscape"/>
                  <w:pgMar w:top="1134" w:right="567" w:bottom="567" w:left="1701" w:header="567" w:footer="567" w:gutter="0"/>
                  <w:pgNumType w:start="1"/>
                  <w:cols w:space="1296"/>
                  <w:titlePg/>
                  <w:docGrid w:linePitch="360"/>
                </w:sectPr>
              </w:pPr>
            </w:p>
            <w:p>
              <w:pPr>
                <w:tabs>
                  <w:tab w:val="center" w:pos="4986"/>
                  <w:tab w:val="right" w:pos="9972"/>
                </w:tabs>
              </w:pPr>
            </w:p>
          </w:sdtContent>
        </w:sdt>
      </w:sdtContent>
    </w:sdt>
    <w:sdt>
      <w:sdtPr>
        <w:alias w:val="2 pr."/>
        <w:tag w:val="part_40ba354457f24303be1ff5b124628702"/>
        <w:lock w:val="sdtLocked"/>
        <w:richText/>
      </w:sdtPr>
      <w:sdtContent>
        <w:p>
          <w:pPr>
            <w:ind w:left="10206"/>
            <w:jc w:val="both"/>
            <w:rPr>
              <w:bCs/>
              <w:lang w:eastAsia="lt-LT"/>
            </w:rPr>
          </w:pPr>
          <w:r>
            <w:rPr>
              <w:bCs/>
            </w:rPr>
            <w:t xml:space="preserve">2022–2030 metų Lietuvos Respublikos aplinkos ministerijos aplinkos apsaugos ir klimato kaitos valdymo plėtros programos pažangos priemonės Nr. 02-001-06-04-02 „Didinti klimato kaitos politikos veiksmingumą“ veiklos </w:t>
          </w:r>
          <w:r>
            <w:rPr>
              <w:bCs/>
              <w:iCs/>
            </w:rPr>
            <w:t>„Antros kartos biodegalais ir elektra varomos žemės ūkio technikos skatinimas“</w:t>
          </w:r>
          <w:r>
            <w:rPr>
              <w:bCs/>
            </w:rPr>
            <w:t xml:space="preserve"> projektų finansavimo sąlygų aprašo</w:t>
          </w:r>
        </w:p>
        <w:p>
          <w:pPr>
            <w:ind w:left="10206"/>
            <w:jc w:val="both"/>
            <w:rPr>
              <w:szCs w:val="24"/>
            </w:rPr>
          </w:pPr>
          <w:sdt>
            <w:sdtPr>
              <w:alias w:val="Numeris"/>
              <w:tag w:val="nr_40ba354457f24303be1ff5b124628702"/>
              <w:lock w:val="sdtLocked"/>
              <w:richText/>
            </w:sdtPr>
            <w:sdtContent>
              <w:r>
                <w:rPr>
                  <w:szCs w:val="24"/>
                </w:rPr>
                <w:t>2</w:t>
              </w:r>
            </w:sdtContent>
          </w:sdt>
          <w:r>
            <w:rPr>
              <w:szCs w:val="24"/>
            </w:rPr>
            <w:t xml:space="preserve"> priedas</w:t>
          </w:r>
        </w:p>
        <w:p>
          <w:pPr>
            <w:jc w:val="center"/>
            <w:rPr>
              <w:b/>
              <w:bCs/>
              <w:caps/>
              <w:color w:val="000000"/>
              <w:szCs w:val="24"/>
            </w:rPr>
          </w:pPr>
        </w:p>
        <w:p>
          <w:pPr>
            <w:jc w:val="center"/>
            <w:rPr>
              <w:b/>
              <w:bCs/>
              <w:caps/>
              <w:color w:val="000000"/>
              <w:szCs w:val="24"/>
            </w:rPr>
          </w:pPr>
        </w:p>
        <w:p>
          <w:pPr>
            <w:jc w:val="center"/>
            <w:rPr>
              <w:b/>
              <w:bCs/>
              <w:caps/>
              <w:color w:val="000000"/>
              <w:szCs w:val="24"/>
            </w:rPr>
          </w:pPr>
          <w:sdt>
            <w:sdtPr>
              <w:alias w:val="Pavadinimas"/>
              <w:tag w:val="title_40ba354457f24303be1ff5b124628702"/>
              <w:lock w:val="sdtLocked"/>
              <w:richText/>
            </w:sdtPr>
            <w:sdtContent>
              <w:r>
                <w:rPr>
                  <w:b/>
                  <w:bCs/>
                  <w:caps/>
                  <w:color w:val="000000"/>
                  <w:szCs w:val="24"/>
                </w:rPr>
                <w:t>PROJEKTŲ ATITIKTIES VALSTYBĖS PAGALBOS TAISYKLĖMS PATIKROS LAPAS</w:t>
              </w:r>
            </w:sdtContent>
          </w:sdt>
        </w:p>
        <w:p>
          <w:pPr>
            <w:jc w:val="center"/>
            <w:rPr>
              <w:b/>
              <w:bCs/>
              <w:caps/>
              <w:color w:val="000000"/>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tc>
              <w:tcPr>
                <w:tcW w:w="14596" w:type="dxa"/>
                <w:shd w:val="clear" w:color="auto" w:fill="C9C9C9" w:themeFill="accent3" w:themeFillTint="99"/>
              </w:tcPr>
              <w:p>
                <w:pPr>
                  <w:ind w:left="601" w:hanging="360"/>
                  <w:jc w:val="both"/>
                  <w:rPr>
                    <w:b/>
                    <w:bCs/>
                    <w:color w:val="000000"/>
                    <w:szCs w:val="24"/>
                  </w:rPr>
                </w:pPr>
                <w:r>
                  <w:rPr>
                    <w:b/>
                    <w:bCs/>
                    <w:color w:val="000000"/>
                    <w:kern w:val="2"/>
                    <w:szCs w:val="24"/>
                    <w14:ligatures w14:val="standardContextual"/>
                  </w:rPr>
                  <w:t>1.</w:t>
                  <w:tab/>
                </w:r>
                <w:r>
                  <w:rPr>
                    <w:b/>
                    <w:bCs/>
                    <w:color w:val="000000"/>
                    <w:szCs w:val="24"/>
                  </w:rPr>
                  <w:t xml:space="preserve">Priemonės teisinis pagrindas </w:t>
                </w:r>
              </w:p>
            </w:tc>
          </w:tr>
          <w:tr>
            <w:tc>
              <w:tcPr>
                <w:tcW w:w="14596" w:type="dxa"/>
                <w:shd w:val="clear" w:color="auto" w:fill="auto"/>
              </w:tcPr>
              <w:p>
                <w:pPr>
                  <w:jc w:val="both"/>
                  <w:rPr>
                    <w:color w:val="000000"/>
                    <w:szCs w:val="24"/>
                  </w:rPr>
                </w:pPr>
                <w:r>
                  <w:rPr>
                    <w:color w:val="000000"/>
                    <w:szCs w:val="24"/>
                  </w:rPr>
                  <w:t xml:space="preserve">2022 m. gruodžio 14 d. Komisijos reglamento </w:t>
                </w:r>
                <w:fldSimple w:instr="HYPERLINK http://eur-lex.europa.eu/legal-content/LIT/TXT/?uri=CELEX:32022R2472&amp;locale=lt \t _blank">
                  <w:r>
                    <w:rPr>
                      <w:color w:val="0000FF" w:themeColor="hyperlink"/>
                      <w:szCs w:val="24"/>
                      <w:u w:val="single"/>
                    </w:rPr>
                    <w:t>(ES)  2022/2472</w:t>
                  </w:r>
                </w:fldSimple>
                <w:r>
                  <w:rPr>
                    <w:color w:val="000000"/>
                    <w:szCs w:val="24"/>
                  </w:rPr>
                  <w:t xml:space="preserve">, kuriuo skelbiama, kad tam tikrų kategorijų pagalba žemės bei miškų ūkio sektoriuose ir kaimo vietovėse yra suderinama su vidaus rinka pagal Sutarties dėl Europos Sąjungos veikimo 107 ir 108 straipsnius (327, p. 1) (toliau – Reglamentas </w:t>
                </w:r>
                <w:fldSimple w:instr="HYPERLINK http://eur-lex.europa.eu/legal-content/LIT/TXT/?uri=CELEX:32022R2472&amp;locale=lt \t _blank">
                  <w:r>
                    <w:rPr>
                      <w:color w:val="0000FF" w:themeColor="hyperlink"/>
                      <w:szCs w:val="24"/>
                      <w:u w:val="single"/>
                    </w:rPr>
                    <w:t>2022/2472</w:t>
                  </w:r>
                </w:fldSimple>
                <w:r>
                  <w:rPr>
                    <w:color w:val="000000"/>
                    <w:szCs w:val="24"/>
                  </w:rPr>
                  <w:t>) 14 straipsnis</w:t>
                </w:r>
              </w:p>
            </w:tc>
          </w:tr>
        </w:tbl>
        <w:p>
          <w:pPr>
            <w:textAlignment w:val="baseline"/>
            <w:rPr>
              <w:szCs w:val="24"/>
            </w:rPr>
          </w:pPr>
        </w:p>
        <w:tbl>
          <w:tblPr>
            <w:tblW w:w="1459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80"/>
            <w:gridCol w:w="10213"/>
          </w:tblGrid>
          <w:tr>
            <w:trPr>
              <w:trHeight w:val="300"/>
            </w:trPr>
            <w:tc>
              <w:tcPr>
                <w:tcW w:w="14593" w:type="dxa"/>
                <w:gridSpan w:val="2"/>
                <w:tcBorders>
                  <w:top w:val="single" w:sz="6" w:space="0" w:color="auto"/>
                  <w:left w:val="single" w:sz="6" w:space="0" w:color="auto"/>
                  <w:bottom w:val="single" w:sz="6" w:space="0" w:color="auto"/>
                  <w:right w:val="single" w:sz="6" w:space="0" w:color="auto"/>
                </w:tcBorders>
                <w:shd w:val="clear" w:color="auto" w:fill="BFBFBF"/>
                <w:hideMark/>
              </w:tcPr>
              <w:p>
                <w:pPr>
                  <w:ind w:firstLine="414"/>
                  <w:jc w:val="both"/>
                  <w:textAlignment w:val="baseline"/>
                  <w:rPr>
                    <w:szCs w:val="24"/>
                  </w:rPr>
                </w:pPr>
                <w:r>
                  <w:rPr>
                    <w:b/>
                    <w:bCs/>
                    <w:color w:val="000000"/>
                    <w:szCs w:val="24"/>
                  </w:rPr>
                  <w:t>2. Duomenys apie paraišką / projektą / finansuojamas valstybės pagalbos (toliau – pagalba) gavėjo veiklas </w:t>
                </w:r>
                <w:r>
                  <w:rPr>
                    <w:color w:val="000000"/>
                    <w:szCs w:val="24"/>
                  </w:rPr>
                  <w:t> </w:t>
                </w:r>
              </w:p>
            </w:tc>
          </w:tr>
          <w:tr>
            <w:trPr>
              <w:trHeight w:val="300"/>
            </w:trPr>
            <w:tc>
              <w:tcPr>
                <w:tcW w:w="4380" w:type="dxa"/>
                <w:tcBorders>
                  <w:top w:val="single" w:sz="6" w:space="0" w:color="auto"/>
                  <w:left w:val="single" w:sz="6" w:space="0" w:color="auto"/>
                  <w:bottom w:val="single" w:sz="6" w:space="0" w:color="auto"/>
                  <w:right w:val="single" w:sz="6" w:space="0" w:color="auto"/>
                </w:tcBorders>
                <w:shd w:val="clear" w:color="auto" w:fill="auto"/>
                <w:hideMark/>
              </w:tcPr>
              <w:p>
                <w:pPr>
                  <w:ind w:left="127"/>
                  <w:jc w:val="both"/>
                  <w:textAlignment w:val="baseline"/>
                  <w:rPr>
                    <w:szCs w:val="24"/>
                  </w:rPr>
                </w:pPr>
                <w:r>
                  <w:rPr>
                    <w:b/>
                    <w:bCs/>
                    <w:color w:val="000000"/>
                    <w:szCs w:val="24"/>
                  </w:rPr>
                  <w:t>Pagalbos gavėją identifikuojantis numeris (jei taikoma) </w:t>
                </w:r>
                <w:r>
                  <w:rPr>
                    <w:color w:val="000000"/>
                    <w:szCs w:val="24"/>
                  </w:rPr>
                  <w:t> </w:t>
                </w:r>
              </w:p>
            </w:tc>
            <w:tc>
              <w:tcPr>
                <w:tcW w:w="10213" w:type="dxa"/>
                <w:tcBorders>
                  <w:top w:val="single" w:sz="6" w:space="0" w:color="auto"/>
                  <w:left w:val="single" w:sz="6" w:space="0" w:color="auto"/>
                  <w:bottom w:val="single" w:sz="6" w:space="0" w:color="auto"/>
                  <w:right w:val="single" w:sz="6" w:space="0" w:color="auto"/>
                </w:tcBorders>
                <w:shd w:val="clear" w:color="auto" w:fill="auto"/>
                <w:hideMark/>
              </w:tcPr>
              <w:p>
                <w:pPr>
                  <w:ind w:firstLine="62"/>
                  <w:jc w:val="both"/>
                  <w:textAlignment w:val="baseline"/>
                  <w:rPr>
                    <w:szCs w:val="24"/>
                  </w:rPr>
                </w:pPr>
              </w:p>
            </w:tc>
          </w:tr>
          <w:tr>
            <w:trPr>
              <w:trHeight w:val="300"/>
            </w:trPr>
            <w:tc>
              <w:tcPr>
                <w:tcW w:w="4380" w:type="dxa"/>
                <w:tcBorders>
                  <w:top w:val="single" w:sz="6" w:space="0" w:color="auto"/>
                  <w:left w:val="single" w:sz="6" w:space="0" w:color="auto"/>
                  <w:bottom w:val="single" w:sz="6" w:space="0" w:color="auto"/>
                  <w:right w:val="single" w:sz="6" w:space="0" w:color="auto"/>
                </w:tcBorders>
                <w:shd w:val="clear" w:color="auto" w:fill="auto"/>
                <w:hideMark/>
              </w:tcPr>
              <w:p>
                <w:pPr>
                  <w:ind w:left="127"/>
                  <w:textAlignment w:val="baseline"/>
                  <w:rPr>
                    <w:szCs w:val="24"/>
                  </w:rPr>
                </w:pPr>
                <w:r>
                  <w:rPr>
                    <w:b/>
                    <w:bCs/>
                    <w:color w:val="000000"/>
                    <w:szCs w:val="24"/>
                  </w:rPr>
                  <w:t>Pagalbos gavėjo pavadinimas </w:t>
                </w:r>
                <w:r>
                  <w:rPr>
                    <w:color w:val="000000"/>
                    <w:szCs w:val="24"/>
                  </w:rPr>
                  <w:t> </w:t>
                </w:r>
              </w:p>
            </w:tc>
            <w:tc>
              <w:tcPr>
                <w:tcW w:w="10213" w:type="dxa"/>
                <w:tcBorders>
                  <w:top w:val="single" w:sz="6" w:space="0" w:color="auto"/>
                  <w:left w:val="single" w:sz="6" w:space="0" w:color="auto"/>
                  <w:bottom w:val="single" w:sz="6" w:space="0" w:color="auto"/>
                  <w:right w:val="single" w:sz="6" w:space="0" w:color="auto"/>
                </w:tcBorders>
                <w:shd w:val="clear" w:color="auto" w:fill="auto"/>
                <w:hideMark/>
              </w:tcPr>
              <w:p>
                <w:pPr>
                  <w:ind w:firstLine="62"/>
                  <w:jc w:val="both"/>
                  <w:textAlignment w:val="baseline"/>
                  <w:rPr>
                    <w:szCs w:val="24"/>
                  </w:rPr>
                </w:pPr>
              </w:p>
            </w:tc>
          </w:tr>
          <w:tr>
            <w:trPr>
              <w:trHeight w:val="300"/>
            </w:trPr>
            <w:tc>
              <w:tcPr>
                <w:tcW w:w="4380" w:type="dxa"/>
                <w:tcBorders>
                  <w:top w:val="single" w:sz="6" w:space="0" w:color="auto"/>
                  <w:left w:val="single" w:sz="6" w:space="0" w:color="auto"/>
                  <w:bottom w:val="single" w:sz="6" w:space="0" w:color="auto"/>
                  <w:right w:val="single" w:sz="6" w:space="0" w:color="auto"/>
                </w:tcBorders>
                <w:shd w:val="clear" w:color="auto" w:fill="auto"/>
                <w:hideMark/>
              </w:tcPr>
              <w:p>
                <w:pPr>
                  <w:ind w:left="127"/>
                  <w:jc w:val="both"/>
                  <w:textAlignment w:val="baseline"/>
                  <w:rPr>
                    <w:szCs w:val="24"/>
                  </w:rPr>
                </w:pPr>
                <w:r>
                  <w:rPr>
                    <w:b/>
                    <w:bCs/>
                    <w:color w:val="000000"/>
                    <w:szCs w:val="24"/>
                  </w:rPr>
                  <w:t>Projekto pavadinimas </w:t>
                </w:r>
                <w:r>
                  <w:rPr>
                    <w:color w:val="000000"/>
                    <w:szCs w:val="24"/>
                  </w:rPr>
                  <w:t> </w:t>
                </w:r>
              </w:p>
            </w:tc>
            <w:tc>
              <w:tcPr>
                <w:tcW w:w="10213" w:type="dxa"/>
                <w:tcBorders>
                  <w:top w:val="single" w:sz="6" w:space="0" w:color="auto"/>
                  <w:left w:val="single" w:sz="6" w:space="0" w:color="auto"/>
                  <w:bottom w:val="single" w:sz="6" w:space="0" w:color="auto"/>
                  <w:right w:val="single" w:sz="6" w:space="0" w:color="auto"/>
                </w:tcBorders>
                <w:shd w:val="clear" w:color="auto" w:fill="auto"/>
                <w:hideMark/>
              </w:tcPr>
              <w:p>
                <w:pPr>
                  <w:ind w:firstLine="62"/>
                  <w:jc w:val="both"/>
                  <w:textAlignment w:val="baseline"/>
                  <w:rPr>
                    <w:szCs w:val="24"/>
                  </w:rPr>
                </w:pPr>
              </w:p>
            </w:tc>
          </w:tr>
        </w:tbl>
        <w:p>
          <w:pPr>
            <w:ind w:firstLine="62"/>
            <w:textAlignment w:val="baseline"/>
            <w:rPr>
              <w:szCs w:val="24"/>
            </w:rPr>
          </w:pPr>
        </w:p>
        <w:tbl>
          <w:tblPr>
            <w:tblW w:w="14593"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985"/>
            <w:gridCol w:w="4961"/>
            <w:gridCol w:w="1417"/>
            <w:gridCol w:w="851"/>
            <w:gridCol w:w="850"/>
            <w:gridCol w:w="5529"/>
          </w:tblGrid>
          <w:tr>
            <w:trPr>
              <w:trHeight w:val="735"/>
            </w:trPr>
            <w:tc>
              <w:tcPr>
                <w:tcW w:w="985" w:type="dxa"/>
                <w:tcBorders>
                  <w:top w:val="single" w:sz="6" w:space="0" w:color="auto"/>
                  <w:left w:val="single" w:sz="6" w:space="0" w:color="auto"/>
                  <w:bottom w:val="single" w:sz="6" w:space="0" w:color="auto"/>
                  <w:right w:val="single" w:sz="6" w:space="0" w:color="auto"/>
                </w:tcBorders>
                <w:shd w:val="clear" w:color="auto" w:fill="auto"/>
                <w:vAlign w:val="center"/>
                <w:hideMark/>
              </w:tcPr>
              <w:p>
                <w:pPr>
                  <w:ind w:left="127"/>
                  <w:jc w:val="center"/>
                  <w:textAlignment w:val="baseline"/>
                  <w:rPr>
                    <w:szCs w:val="24"/>
                  </w:rPr>
                </w:pPr>
                <w:r>
                  <w:rPr>
                    <w:b/>
                    <w:bCs/>
                    <w:color w:val="000000"/>
                    <w:szCs w:val="24"/>
                  </w:rPr>
                  <w:t>Eil. Nr.</w:t>
                </w:r>
              </w:p>
            </w:tc>
            <w:tc>
              <w:tcPr>
                <w:tcW w:w="496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b/>
                    <w:bCs/>
                    <w:color w:val="000000"/>
                    <w:szCs w:val="24"/>
                  </w:rPr>
                  <w:t>Klausimai</w:t>
                </w:r>
                <w:r>
                  <w:rPr>
                    <w:color w:val="000000"/>
                    <w:szCs w:val="24"/>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rPr>
                </w:pPr>
                <w:r>
                  <w:rPr>
                    <w:b/>
                    <w:bCs/>
                    <w:color w:val="000000"/>
                    <w:szCs w:val="24"/>
                  </w:rPr>
                  <w:t xml:space="preserve">Reglamento </w:t>
                </w:r>
                <w:fldSimple w:instr="HYPERLINK http://eur-lex.europa.eu/legal-content/LIT/TXT/?uri=CELEX:32022R2472&amp;locale=lt \t _blank">
                  <w:r>
                    <w:rPr>
                      <w:b/>
                      <w:bCs/>
                      <w:color w:val="0000FF" w:themeColor="hyperlink"/>
                      <w:szCs w:val="24"/>
                      <w:u w:val="single"/>
                    </w:rPr>
                    <w:t>2022/2472</w:t>
                  </w:r>
                </w:fldSimple>
                <w:r>
                  <w:rPr>
                    <w:b/>
                    <w:bCs/>
                    <w:color w:val="000000"/>
                    <w:szCs w:val="24"/>
                  </w:rPr>
                  <w:t xml:space="preserve"> straipsnis</w:t>
                </w:r>
                <w:r>
                  <w:rPr>
                    <w:color w:val="000000"/>
                    <w:szCs w:val="24"/>
                  </w:rPr>
                  <w:t> </w:t>
                </w:r>
              </w:p>
            </w:tc>
            <w:tc>
              <w:tcPr>
                <w:tcW w:w="851" w:type="dxa"/>
                <w:tcBorders>
                  <w:top w:val="single" w:sz="6" w:space="0" w:color="auto"/>
                  <w:left w:val="single" w:sz="6" w:space="0" w:color="auto"/>
                  <w:right w:val="single" w:sz="6" w:space="0" w:color="auto"/>
                </w:tcBorders>
                <w:shd w:val="clear" w:color="auto" w:fill="auto"/>
                <w:vAlign w:val="center"/>
                <w:hideMark/>
              </w:tcPr>
              <w:p>
                <w:pPr>
                  <w:ind w:firstLine="62"/>
                  <w:jc w:val="center"/>
                  <w:textAlignment w:val="baseline"/>
                  <w:rPr>
                    <w:szCs w:val="24"/>
                  </w:rPr>
                </w:pPr>
                <w:r>
                  <w:rPr>
                    <w:b/>
                    <w:bCs/>
                    <w:color w:val="000000"/>
                    <w:szCs w:val="24"/>
                  </w:rPr>
                  <w:t>Taip</w:t>
                </w:r>
                <w:r>
                  <w:rPr>
                    <w:color w:val="000000"/>
                    <w:szCs w:val="24"/>
                  </w:rPr>
                  <w:t> </w:t>
                </w:r>
              </w:p>
            </w:tc>
            <w:tc>
              <w:tcPr>
                <w:tcW w:w="850" w:type="dxa"/>
                <w:tcBorders>
                  <w:top w:val="single" w:sz="6" w:space="0" w:color="auto"/>
                  <w:left w:val="single" w:sz="6" w:space="0" w:color="auto"/>
                  <w:right w:val="single" w:sz="6" w:space="0" w:color="auto"/>
                </w:tcBorders>
                <w:shd w:val="clear" w:color="auto" w:fill="auto"/>
                <w:vAlign w:val="center"/>
              </w:tcPr>
              <w:p>
                <w:pPr>
                  <w:jc w:val="center"/>
                  <w:textAlignment w:val="baseline"/>
                  <w:rPr>
                    <w:szCs w:val="24"/>
                  </w:rPr>
                </w:pPr>
                <w:r>
                  <w:rPr>
                    <w:b/>
                    <w:bCs/>
                    <w:color w:val="000000"/>
                    <w:szCs w:val="24"/>
                  </w:rPr>
                  <w:t>Ne</w:t>
                </w:r>
                <w:r>
                  <w:rPr>
                    <w:color w:val="000000"/>
                    <w:szCs w:val="24"/>
                  </w:rPr>
                  <w:t> </w:t>
                </w:r>
              </w:p>
            </w:tc>
            <w:tc>
              <w:tcPr>
                <w:tcW w:w="5529" w:type="dxa"/>
                <w:tcBorders>
                  <w:top w:val="single" w:sz="6" w:space="0" w:color="auto"/>
                  <w:left w:val="single" w:sz="6" w:space="0" w:color="auto"/>
                  <w:right w:val="single" w:sz="6" w:space="0" w:color="auto"/>
                </w:tcBorders>
                <w:shd w:val="clear" w:color="auto" w:fill="auto"/>
                <w:vAlign w:val="center"/>
              </w:tcPr>
              <w:p>
                <w:pPr>
                  <w:jc w:val="center"/>
                  <w:textAlignment w:val="baseline"/>
                  <w:rPr>
                    <w:szCs w:val="24"/>
                  </w:rPr>
                </w:pPr>
                <w:r>
                  <w:rPr>
                    <w:b/>
                    <w:bCs/>
                    <w:color w:val="000000"/>
                    <w:szCs w:val="24"/>
                  </w:rPr>
                  <w:t>Pastabos</w:t>
                </w:r>
              </w:p>
            </w:tc>
          </w:tr>
          <w:tr>
            <w:trPr>
              <w:trHeight w:val="376"/>
            </w:trPr>
            <w:tc>
              <w:tcPr>
                <w:tcW w:w="14593" w:type="dxa"/>
                <w:gridSpan w:val="6"/>
                <w:tcBorders>
                  <w:top w:val="single" w:sz="6" w:space="0" w:color="auto"/>
                  <w:left w:val="single" w:sz="6" w:space="0" w:color="auto"/>
                  <w:bottom w:val="single" w:sz="6" w:space="0" w:color="auto"/>
                  <w:right w:val="single" w:sz="6" w:space="0" w:color="auto"/>
                </w:tcBorders>
                <w:shd w:val="clear" w:color="auto" w:fill="auto"/>
                <w:vAlign w:val="center"/>
              </w:tcPr>
              <w:p>
                <w:pPr>
                  <w:textAlignment w:val="baseline"/>
                  <w:rPr>
                    <w:i/>
                    <w:iCs/>
                    <w:color w:val="000000"/>
                    <w:szCs w:val="24"/>
                  </w:rPr>
                </w:pPr>
                <w:r>
                  <w:rPr>
                    <w:i/>
                    <w:iCs/>
                    <w:color w:val="000000"/>
                    <w:szCs w:val="24"/>
                  </w:rPr>
                  <w:t>Pastaba: jei nors vienas langelis pažymimas „NE“, pagalba negali būti teikiama</w:t>
                </w: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tcPr>
              <w:p>
                <w:pPr>
                  <w:ind w:left="450" w:right="-465" w:hanging="360"/>
                  <w:textAlignment w:val="baseline"/>
                  <w:rPr>
                    <w:color w:val="000000"/>
                    <w:szCs w:val="24"/>
                  </w:rPr>
                </w:pPr>
                <w:r>
                  <w:rPr>
                    <w:color w:val="000000"/>
                    <w:kern w:val="2"/>
                    <w:szCs w:val="24"/>
                    <w14:ligatures w14:val="standardContextual"/>
                  </w:rPr>
                  <w:t>1.</w:t>
                  <w:tab/>
                </w:r>
              </w:p>
            </w:tc>
            <w:tc>
              <w:tcPr>
                <w:tcW w:w="4961" w:type="dxa"/>
                <w:tcBorders>
                  <w:top w:val="single" w:sz="6" w:space="0" w:color="auto"/>
                  <w:left w:val="single" w:sz="6" w:space="0" w:color="auto"/>
                  <w:bottom w:val="single" w:sz="6" w:space="0" w:color="auto"/>
                  <w:right w:val="single" w:sz="6" w:space="0" w:color="auto"/>
                </w:tcBorders>
                <w:shd w:val="clear" w:color="auto" w:fill="auto"/>
              </w:tcPr>
              <w:p>
                <w:pPr>
                  <w:ind w:left="41" w:right="200"/>
                  <w:jc w:val="both"/>
                  <w:textAlignment w:val="baseline"/>
                  <w:rPr>
                    <w:color w:val="000000"/>
                    <w:szCs w:val="24"/>
                  </w:rPr>
                </w:pPr>
                <w:r>
                  <w:rPr>
                    <w:color w:val="000000"/>
                    <w:szCs w:val="24"/>
                  </w:rPr>
                  <w:t xml:space="preserve">Ar pagalbos gavėjas yra labai maža, maža ar vidutinė įmonė, kaip ji apibrėžta Reglamento </w:t>
                </w:r>
                <w:fldSimple w:instr="HYPERLINK http://eur-lex.europa.eu/legal-content/LIT/TXT/?uri=CELEX:32022R2472&amp;locale=lt \t _blank">
                  <w:r>
                    <w:rPr>
                      <w:color w:val="0000FF" w:themeColor="hyperlink"/>
                      <w:szCs w:val="24"/>
                      <w:u w:val="single"/>
                    </w:rPr>
                    <w:t>2022/2472</w:t>
                  </w:r>
                </w:fldSimple>
                <w:r>
                  <w:rPr>
                    <w:color w:val="000000"/>
                    <w:szCs w:val="24"/>
                  </w:rPr>
                  <w:t xml:space="preserve"> I priede?</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color w:val="000000"/>
                    <w:szCs w:val="24"/>
                  </w:rPr>
                  <w:t>1a, I priedas</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i/>
                    <w:iCs/>
                    <w:color w:val="000000"/>
                    <w:szCs w:val="24"/>
                  </w:rPr>
                </w:pP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hideMark/>
              </w:tcPr>
              <w:p>
                <w:pPr>
                  <w:ind w:left="450" w:right="-465" w:hanging="360"/>
                  <w:textAlignment w:val="baseline"/>
                  <w:rPr>
                    <w:szCs w:val="24"/>
                  </w:rPr>
                </w:pPr>
                <w:r>
                  <w:rPr>
                    <w:kern w:val="2"/>
                    <w:szCs w:val="24"/>
                    <w14:ligatures w14:val="standardContextual"/>
                  </w:rPr>
                  <w:t>2.</w:t>
                  <w:tab/>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pPr>
                  <w:ind w:left="41" w:right="200"/>
                  <w:jc w:val="both"/>
                  <w:textAlignment w:val="baseline"/>
                  <w:rPr>
                    <w:szCs w:val="24"/>
                  </w:rPr>
                </w:pPr>
                <w:r>
                  <w:rPr>
                    <w:color w:val="000000"/>
                    <w:szCs w:val="24"/>
                  </w:rPr>
                  <w:t xml:space="preserve">Ar pagalbos gavėjas vykdo pirminės žemės ūkio gamybos veiklą, kaip ji apibrėžta Reglamento </w:t>
                </w:r>
                <w:fldSimple w:instr="HYPERLINK http://eur-lex.europa.eu/legal-content/LIT/TXT/?uri=CELEX:32022R4722&amp;locale=lt \t _blank">
                  <w:r>
                    <w:rPr>
                      <w:color w:val="0000FF" w:themeColor="hyperlink"/>
                      <w:szCs w:val="24"/>
                      <w:u w:val="single"/>
                    </w:rPr>
                    <w:t>2022/24722</w:t>
                  </w:r>
                </w:fldSimple>
                <w:r>
                  <w:rPr>
                    <w:color w:val="000000"/>
                    <w:szCs w:val="24"/>
                  </w:rPr>
                  <w:t xml:space="preserve"> 2 straipsnio 44 papunktyje?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color w:val="000000"/>
                    <w:szCs w:val="24"/>
                  </w:rPr>
                  <w:t>1.1a </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rPr>
                </w:pP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hideMark/>
              </w:tcPr>
              <w:p>
                <w:pPr>
                  <w:ind w:left="450" w:right="-465" w:hanging="360"/>
                  <w:jc w:val="both"/>
                  <w:textAlignment w:val="baseline"/>
                  <w:rPr>
                    <w:szCs w:val="24"/>
                  </w:rPr>
                </w:pPr>
                <w:r>
                  <w:rPr>
                    <w:kern w:val="2"/>
                    <w:szCs w:val="24"/>
                    <w14:ligatures w14:val="standardContextual"/>
                  </w:rPr>
                  <w:t>3.</w:t>
                  <w:tab/>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pPr>
                  <w:ind w:left="41" w:right="200"/>
                  <w:jc w:val="both"/>
                  <w:textAlignment w:val="baseline"/>
                  <w:rPr>
                    <w:szCs w:val="24"/>
                  </w:rPr>
                </w:pPr>
                <w:r>
                  <w:rPr>
                    <w:color w:val="000000"/>
                    <w:szCs w:val="24"/>
                  </w:rPr>
                  <w:t>Ar pagalba nėra teikiama su eksportu susijusiai veiklai trečiosiose šalyse arba valstybėse narėse, t. y. pagalbai, tiesiogiai susijusiai su eksportuojamais kiekiais, platinimo tinklo kūrimu bei veikla arba su kitomis einamosiomis išlaidomis, susijusiomis su eksporto veikla?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color w:val="000000"/>
                    <w:szCs w:val="24"/>
                  </w:rPr>
                  <w:t>1.3c </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rPr>
                </w:pPr>
                <w:r>
                  <w:rPr>
                    <w:i/>
                    <w:iCs/>
                    <w:color w:val="000000"/>
                    <w:szCs w:val="24"/>
                  </w:rPr>
                  <w:t>Jeigu sąlyga tenkinama, žymima „TAIP“</w:t>
                </w:r>
                <w:r>
                  <w:rPr>
                    <w:color w:val="000000"/>
                    <w:szCs w:val="24"/>
                  </w:rPr>
                  <w:t> </w:t>
                </w: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hideMark/>
              </w:tcPr>
              <w:p>
                <w:pPr>
                  <w:ind w:left="450" w:right="-465" w:hanging="360"/>
                  <w:jc w:val="both"/>
                  <w:textAlignment w:val="baseline"/>
                  <w:rPr>
                    <w:szCs w:val="24"/>
                  </w:rPr>
                </w:pPr>
                <w:r>
                  <w:rPr>
                    <w:kern w:val="2"/>
                    <w:szCs w:val="24"/>
                    <w14:ligatures w14:val="standardContextual"/>
                  </w:rPr>
                  <w:t>4.</w:t>
                  <w:tab/>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pPr>
                  <w:ind w:left="41" w:right="200"/>
                  <w:jc w:val="both"/>
                  <w:textAlignment w:val="baseline"/>
                  <w:rPr>
                    <w:szCs w:val="24"/>
                  </w:rPr>
                </w:pPr>
                <w:r>
                  <w:rPr>
                    <w:color w:val="000000"/>
                    <w:szCs w:val="24"/>
                  </w:rPr>
                  <w:t>A teikiant pagalbą nėra remiamas vietinių prekių naudojimas vietoj importuojamų prekių?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color w:val="000000"/>
                    <w:szCs w:val="24"/>
                  </w:rPr>
                  <w:t>1.3d </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rPr>
                </w:pPr>
                <w:r>
                  <w:rPr>
                    <w:i/>
                    <w:iCs/>
                    <w:color w:val="000000"/>
                    <w:szCs w:val="24"/>
                  </w:rPr>
                  <w:t>Jeigu sąlyga tenkinama, žymima „TAIP“</w:t>
                </w:r>
                <w:r>
                  <w:rPr>
                    <w:color w:val="000000"/>
                    <w:szCs w:val="24"/>
                  </w:rPr>
                  <w:t> </w:t>
                </w: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hideMark/>
              </w:tcPr>
              <w:p>
                <w:pPr>
                  <w:ind w:left="450" w:right="-465" w:hanging="360"/>
                  <w:jc w:val="both"/>
                  <w:textAlignment w:val="baseline"/>
                  <w:rPr>
                    <w:szCs w:val="24"/>
                  </w:rPr>
                </w:pPr>
                <w:r>
                  <w:rPr>
                    <w:kern w:val="2"/>
                    <w:szCs w:val="24"/>
                    <w14:ligatures w14:val="standardContextual"/>
                  </w:rPr>
                  <w:t>5.</w:t>
                  <w:tab/>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pPr>
                  <w:ind w:left="41" w:right="200"/>
                  <w:jc w:val="both"/>
                  <w:textAlignment w:val="baseline"/>
                  <w:rPr>
                    <w:szCs w:val="24"/>
                  </w:rPr>
                </w:pPr>
                <w:r>
                  <w:rPr>
                    <w:color w:val="000000"/>
                    <w:szCs w:val="24"/>
                  </w:rPr>
                  <w:t xml:space="preserve">Ar pagalbos gavėjas nėra sunkumų patirianti įmonė (ūkio subjektas) kaip ji apibrėžta Reglamento  </w:t>
                </w:r>
                <w:fldSimple w:instr="HYPERLINK http://eur-lex.europa.eu/legal-content/LIT/TXT/?uri=CELEX:32022R2472&amp;locale=lt \t _blank">
                  <w:r>
                    <w:rPr>
                      <w:color w:val="0000FF" w:themeColor="hyperlink"/>
                      <w:szCs w:val="24"/>
                      <w:u w:val="single"/>
                    </w:rPr>
                    <w:t>2022/2472</w:t>
                  </w:r>
                </w:fldSimple>
                <w:r>
                  <w:rPr>
                    <w:color w:val="000000"/>
                    <w:szCs w:val="24"/>
                  </w:rPr>
                  <w:t xml:space="preserve"> 2 straipsnio 59 papunktyje?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color w:val="000000"/>
                    <w:szCs w:val="24"/>
                  </w:rPr>
                  <w:t>1.5 </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rPr>
                </w:pPr>
                <w:r>
                  <w:rPr>
                    <w:i/>
                    <w:iCs/>
                    <w:color w:val="000000"/>
                    <w:szCs w:val="24"/>
                  </w:rPr>
                  <w:t>Jeigu sąlyga tenkinama, žymima „TAIP“</w:t>
                </w:r>
                <w:r>
                  <w:rPr>
                    <w:color w:val="000000"/>
                    <w:szCs w:val="24"/>
                  </w:rPr>
                  <w:t xml:space="preserve"> . </w:t>
                </w: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hideMark/>
              </w:tcPr>
              <w:p>
                <w:pPr>
                  <w:ind w:right="-465" w:firstLine="90"/>
                  <w:jc w:val="both"/>
                  <w:textAlignment w:val="baseline"/>
                  <w:rPr>
                    <w:szCs w:val="24"/>
                  </w:rPr>
                </w:pPr>
                <w:r>
                  <w:rPr>
                    <w:color w:val="000000"/>
                    <w:szCs w:val="24"/>
                  </w:rPr>
                  <w:t>6.</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pPr>
                  <w:ind w:left="41" w:right="200"/>
                  <w:jc w:val="both"/>
                  <w:textAlignment w:val="baseline"/>
                  <w:rPr>
                    <w:szCs w:val="24"/>
                  </w:rPr>
                </w:pPr>
                <w:r>
                  <w:rPr>
                    <w:color w:val="000000"/>
                    <w:szCs w:val="24"/>
                  </w:rPr>
                  <w:t>Ar teikiant pagalbą pagalbos gavėjas nėra įpareigojamas naudoti nacionalinėje teritorijoje pagamintas  prekes arba nacionalines paslaugas?.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color w:val="000000"/>
                    <w:szCs w:val="24"/>
                  </w:rPr>
                  <w:t>1.6(a) </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szCs w:val="24"/>
                  </w:rPr>
                </w:pPr>
                <w:r>
                  <w:rPr>
                    <w:i/>
                    <w:iCs/>
                    <w:color w:val="000000"/>
                    <w:szCs w:val="24"/>
                  </w:rPr>
                  <w:t>Jeigu sąlyga tenkinama, žymima „TAIP“</w:t>
                </w:r>
                <w:r>
                  <w:rPr>
                    <w:color w:val="000000"/>
                    <w:szCs w:val="24"/>
                  </w:rPr>
                  <w:t> </w:t>
                </w: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hideMark/>
              </w:tcPr>
              <w:p>
                <w:pPr>
                  <w:ind w:right="-465" w:firstLine="90"/>
                  <w:jc w:val="both"/>
                  <w:textAlignment w:val="baseline"/>
                  <w:rPr>
                    <w:szCs w:val="24"/>
                  </w:rPr>
                </w:pPr>
                <w:r>
                  <w:rPr>
                    <w:color w:val="000000"/>
                    <w:szCs w:val="24"/>
                  </w:rPr>
                  <w:t>7.</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pPr>
                  <w:ind w:left="41" w:right="200"/>
                  <w:jc w:val="both"/>
                  <w:textAlignment w:val="baseline"/>
                  <w:rPr>
                    <w:szCs w:val="24"/>
                  </w:rPr>
                </w:pPr>
                <w:r>
                  <w:rPr>
                    <w:color w:val="000000"/>
                    <w:szCs w:val="24"/>
                  </w:rPr>
                  <w:t>Ar teikiant pagalbą nėra ribojamos pagalbos gavėjo galimybės naudoti mokslinių tyrimų, plėtros ir inovacijų rezultatus kitose valstybėse narėse?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color w:val="000000"/>
                    <w:szCs w:val="24"/>
                  </w:rPr>
                  <w:t>1.6(b) </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szCs w:val="24"/>
                  </w:rPr>
                </w:pPr>
                <w:r>
                  <w:rPr>
                    <w:i/>
                    <w:iCs/>
                    <w:color w:val="000000"/>
                    <w:szCs w:val="24"/>
                  </w:rPr>
                  <w:t>Jeigu sąlyga tenkinama, žymima „TAIP“</w:t>
                </w:r>
                <w:r>
                  <w:rPr>
                    <w:color w:val="000000"/>
                    <w:szCs w:val="24"/>
                  </w:rPr>
                  <w:t> </w:t>
                </w: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hideMark/>
              </w:tcPr>
              <w:p>
                <w:pPr>
                  <w:ind w:right="-465" w:firstLine="90"/>
                  <w:jc w:val="both"/>
                  <w:textAlignment w:val="baseline"/>
                  <w:rPr>
                    <w:color w:val="000000"/>
                    <w:szCs w:val="24"/>
                  </w:rPr>
                </w:pPr>
                <w:r>
                  <w:rPr>
                    <w:color w:val="000000"/>
                    <w:szCs w:val="24"/>
                  </w:rPr>
                  <w:t>8.</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pPr>
                  <w:ind w:left="41" w:right="200"/>
                  <w:jc w:val="both"/>
                  <w:textAlignment w:val="baseline"/>
                  <w:rPr>
                    <w:color w:val="000000"/>
                    <w:szCs w:val="24"/>
                  </w:rPr>
                </w:pPr>
                <w:r>
                  <w:rPr>
                    <w:color w:val="000000"/>
                    <w:szCs w:val="24"/>
                  </w:rPr>
                  <w:t>Ar individuali pagalba neviršija 600 000 EUR vienos įmonės vienam investiciniam projektui?</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color w:val="000000"/>
                    <w:szCs w:val="24"/>
                  </w:rPr>
                </w:pPr>
                <w:r>
                  <w:rPr>
                    <w:color w:val="000000"/>
                    <w:szCs w:val="24"/>
                  </w:rPr>
                  <w:t>4.1(a) </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b/>
                    <w:bCs/>
                    <w:i/>
                    <w:iCs/>
                    <w:color w:val="000000"/>
                    <w:szCs w:val="24"/>
                  </w:rPr>
                </w:pPr>
                <w:r>
                  <w:rPr>
                    <w:i/>
                    <w:iCs/>
                    <w:color w:val="000000"/>
                    <w:szCs w:val="24"/>
                  </w:rPr>
                  <w:t>Jeigu sąlyga tenkinama, žymima „TAIP“</w:t>
                </w:r>
                <w:r>
                  <w:rPr>
                    <w:color w:val="000000"/>
                    <w:szCs w:val="24"/>
                  </w:rPr>
                  <w:t> </w:t>
                </w:r>
              </w:p>
            </w:tc>
          </w:tr>
          <w:tr>
            <w:trPr>
              <w:trHeight w:val="467"/>
            </w:trPr>
            <w:tc>
              <w:tcPr>
                <w:tcW w:w="985" w:type="dxa"/>
                <w:tcBorders>
                  <w:top w:val="single" w:sz="6" w:space="0" w:color="auto"/>
                  <w:left w:val="single" w:sz="6" w:space="0" w:color="auto"/>
                  <w:bottom w:val="single" w:sz="6" w:space="0" w:color="auto"/>
                  <w:right w:val="single" w:sz="6" w:space="0" w:color="auto"/>
                </w:tcBorders>
                <w:shd w:val="clear" w:color="auto" w:fill="auto"/>
                <w:hideMark/>
              </w:tcPr>
              <w:p>
                <w:pPr>
                  <w:ind w:right="-465" w:firstLine="90"/>
                  <w:textAlignment w:val="baseline"/>
                  <w:rPr>
                    <w:szCs w:val="24"/>
                  </w:rPr>
                </w:pPr>
                <w:r>
                  <w:rPr>
                    <w:szCs w:val="24"/>
                  </w:rPr>
                  <w:t>9.</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pPr>
                  <w:ind w:left="41" w:right="200"/>
                  <w:jc w:val="both"/>
                  <w:textAlignment w:val="baseline"/>
                  <w:rPr>
                    <w:szCs w:val="24"/>
                  </w:rPr>
                </w:pPr>
                <w:r>
                  <w:rPr>
                    <w:color w:val="000000"/>
                    <w:szCs w:val="24"/>
                  </w:rPr>
                  <w:t xml:space="preserve">Ar pagalba turi skatinamąjį poveikį, kaip apibrėžta Reglamento </w:t>
                </w:r>
                <w:fldSimple w:instr="HYPERLINK http://eur-lex.europa.eu/legal-content/LIT/TXT/?uri=CELEX:32022R2472&amp;locale=lt \t _blank">
                  <w:r>
                    <w:rPr>
                      <w:color w:val="0000FF" w:themeColor="hyperlink"/>
                      <w:szCs w:val="24"/>
                      <w:u w:val="single"/>
                    </w:rPr>
                    <w:t>2022/2472</w:t>
                  </w:r>
                </w:fldSimple>
                <w:r>
                  <w:rPr>
                    <w:color w:val="000000"/>
                    <w:szCs w:val="24"/>
                  </w:rPr>
                  <w:t xml:space="preserve"> 6 straipsnio 2 dalyje?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szCs w:val="24"/>
                  </w:rPr>
                  <w:t>6.2</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hideMark/>
              </w:tcPr>
              <w:p>
                <w:pPr>
                  <w:ind w:firstLine="30"/>
                  <w:jc w:val="both"/>
                  <w:textAlignment w:val="baseline"/>
                  <w:rPr>
                    <w:szCs w:val="24"/>
                  </w:rPr>
                </w:pPr>
              </w:p>
            </w:tc>
          </w:tr>
          <w:tr>
            <w:trPr>
              <w:trHeight w:val="690"/>
            </w:trPr>
            <w:tc>
              <w:tcPr>
                <w:tcW w:w="985" w:type="dxa"/>
                <w:tcBorders>
                  <w:top w:val="single" w:sz="6" w:space="0" w:color="auto"/>
                  <w:left w:val="single" w:sz="6" w:space="0" w:color="auto"/>
                  <w:bottom w:val="single" w:sz="6" w:space="0" w:color="auto"/>
                  <w:right w:val="single" w:sz="6" w:space="0" w:color="auto"/>
                </w:tcBorders>
                <w:shd w:val="clear" w:color="auto" w:fill="auto"/>
                <w:hideMark/>
              </w:tcPr>
              <w:p>
                <w:pPr>
                  <w:ind w:right="-465" w:firstLine="90"/>
                  <w:textAlignment w:val="baseline"/>
                  <w:rPr>
                    <w:szCs w:val="24"/>
                  </w:rPr>
                </w:pPr>
                <w:r>
                  <w:rPr>
                    <w:szCs w:val="24"/>
                  </w:rPr>
                  <w:t>10.</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pPr>
                  <w:ind w:left="41" w:right="200"/>
                  <w:jc w:val="both"/>
                  <w:textAlignment w:val="baseline"/>
                  <w:rPr>
                    <w:szCs w:val="24"/>
                  </w:rPr>
                </w:pPr>
                <w:r>
                  <w:rPr>
                    <w:color w:val="000000"/>
                    <w:szCs w:val="24"/>
                  </w:rPr>
                  <w:t xml:space="preserve">Ar teikiamos pagalbos suma dydis  ir tinkamos finansuoti išlaidos apskaičiuoti kaip nustatyta Reglamento </w:t>
                </w:r>
                <w:fldSimple w:instr="HYPERLINK http://eur-lex.europa.eu/legal-content/LIT/TXT/?uri=CELEX:32022R2472&amp;locale=lt \t _blank">
                  <w:r>
                    <w:rPr>
                      <w:color w:val="0000FF" w:themeColor="hyperlink"/>
                      <w:szCs w:val="24"/>
                      <w:u w:val="single"/>
                    </w:rPr>
                    <w:t>2022/2472</w:t>
                  </w:r>
                </w:fldSimple>
                <w:r>
                  <w:rPr>
                    <w:color w:val="000000"/>
                    <w:szCs w:val="24"/>
                  </w:rPr>
                  <w:t xml:space="preserve"> 7 straipsnyje?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szCs w:val="24"/>
                  </w:rPr>
                  <w:t>7 </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hideMark/>
              </w:tcPr>
              <w:p>
                <w:pPr>
                  <w:ind w:firstLine="30"/>
                  <w:jc w:val="both"/>
                  <w:textAlignment w:val="baseline"/>
                  <w:rPr>
                    <w:szCs w:val="24"/>
                  </w:rPr>
                </w:pP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hideMark/>
              </w:tcPr>
              <w:p>
                <w:pPr>
                  <w:ind w:right="-465" w:firstLine="90"/>
                  <w:jc w:val="both"/>
                  <w:textAlignment w:val="baseline"/>
                  <w:rPr>
                    <w:szCs w:val="24"/>
                  </w:rPr>
                </w:pPr>
                <w:r>
                  <w:rPr>
                    <w:color w:val="000000"/>
                    <w:szCs w:val="24"/>
                  </w:rPr>
                  <w:t>11.</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pPr>
                  <w:ind w:left="41" w:right="200"/>
                  <w:jc w:val="both"/>
                  <w:textAlignment w:val="baseline"/>
                  <w:rPr>
                    <w:szCs w:val="24"/>
                  </w:rPr>
                </w:pPr>
                <w:r>
                  <w:rPr>
                    <w:color w:val="000000"/>
                    <w:szCs w:val="24"/>
                  </w:rPr>
                  <w:t xml:space="preserve">Ar laikomasi pagalbos sumavimo reikalavimų, nustatytų </w:t>
                </w:r>
                <w:r>
                  <w:rPr>
                    <w:i/>
                    <w:iCs/>
                    <w:color w:val="000000"/>
                    <w:szCs w:val="24"/>
                  </w:rPr>
                  <w:t xml:space="preserve">Reglamento </w:t>
                </w:r>
                <w:fldSimple w:instr="HYPERLINK http://eur-lex.europa.eu/legal-content/LIT/TXT/?uri=CELEX:32022R2472&amp;locale=lt \t _blank">
                  <w:r>
                    <w:rPr>
                      <w:color w:val="0000FF" w:themeColor="hyperlink"/>
                      <w:szCs w:val="24"/>
                      <w:u w:val="single"/>
                    </w:rPr>
                    <w:t>2022/2472</w:t>
                  </w:r>
                </w:fldSimple>
                <w:r>
                  <w:rPr>
                    <w:color w:val="000000"/>
                    <w:szCs w:val="24"/>
                  </w:rPr>
                  <w:t>  8 straipsnyje?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color w:val="000000"/>
                    <w:szCs w:val="24"/>
                  </w:rPr>
                  <w:t>8 </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rPr>
                </w:pP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tcPr>
              <w:p>
                <w:pPr>
                  <w:ind w:right="-465" w:firstLine="90"/>
                  <w:jc w:val="both"/>
                  <w:textAlignment w:val="baseline"/>
                  <w:rPr>
                    <w:color w:val="000000"/>
                    <w:szCs w:val="24"/>
                  </w:rPr>
                </w:pPr>
                <w:r>
                  <w:rPr>
                    <w:color w:val="000000"/>
                    <w:szCs w:val="24"/>
                  </w:rPr>
                  <w:t>12.</w:t>
                </w:r>
              </w:p>
            </w:tc>
            <w:tc>
              <w:tcPr>
                <w:tcW w:w="4961" w:type="dxa"/>
                <w:tcBorders>
                  <w:top w:val="single" w:sz="6" w:space="0" w:color="auto"/>
                  <w:left w:val="single" w:sz="6" w:space="0" w:color="auto"/>
                  <w:bottom w:val="single" w:sz="6" w:space="0" w:color="auto"/>
                  <w:right w:val="single" w:sz="6" w:space="0" w:color="auto"/>
                </w:tcBorders>
                <w:shd w:val="clear" w:color="auto" w:fill="auto"/>
              </w:tcPr>
              <w:p>
                <w:pPr>
                  <w:ind w:left="41" w:right="200"/>
                  <w:jc w:val="both"/>
                  <w:textAlignment w:val="baseline"/>
                  <w:rPr>
                    <w:color w:val="000000"/>
                    <w:szCs w:val="24"/>
                  </w:rPr>
                </w:pPr>
                <w:r>
                  <w:rPr>
                    <w:color w:val="000000"/>
                    <w:szCs w:val="24"/>
                  </w:rPr>
                  <w:t xml:space="preserve">Ar investicijos atitinka Reglamento </w:t>
                </w:r>
                <w:fldSimple w:instr="HYPERLINK http://eur-lex.europa.eu/legal-content/LIT/TXT/?uri=CELEX:32022R2472&amp;locale=lt \t _blank">
                  <w:r>
                    <w:rPr>
                      <w:color w:val="0000FF" w:themeColor="hyperlink"/>
                      <w:szCs w:val="24"/>
                      <w:u w:val="single"/>
                    </w:rPr>
                    <w:t>2022/2472</w:t>
                  </w:r>
                </w:fldSimple>
                <w:r>
                  <w:rPr>
                    <w:color w:val="000000"/>
                    <w:szCs w:val="24"/>
                  </w:rPr>
                  <w:t xml:space="preserve"> 14 straipsnio 2 dalies nuostatas?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color w:val="000000"/>
                    <w:szCs w:val="24"/>
                  </w:rPr>
                  <w:t>14.2</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szCs w:val="24"/>
                  </w:rPr>
                </w:pP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tcPr>
              <w:p>
                <w:pPr>
                  <w:ind w:right="-465" w:firstLine="90"/>
                  <w:jc w:val="both"/>
                  <w:textAlignment w:val="baseline"/>
                  <w:rPr>
                    <w:color w:val="000000"/>
                    <w:szCs w:val="24"/>
                  </w:rPr>
                </w:pPr>
                <w:r>
                  <w:rPr>
                    <w:color w:val="000000"/>
                    <w:szCs w:val="24"/>
                  </w:rPr>
                  <w:t>13.</w:t>
                </w:r>
              </w:p>
            </w:tc>
            <w:tc>
              <w:tcPr>
                <w:tcW w:w="4961" w:type="dxa"/>
                <w:tcBorders>
                  <w:top w:val="single" w:sz="6" w:space="0" w:color="auto"/>
                  <w:left w:val="single" w:sz="6" w:space="0" w:color="auto"/>
                  <w:bottom w:val="single" w:sz="6" w:space="0" w:color="auto"/>
                  <w:right w:val="single" w:sz="6" w:space="0" w:color="auto"/>
                </w:tcBorders>
                <w:shd w:val="clear" w:color="auto" w:fill="auto"/>
              </w:tcPr>
              <w:p>
                <w:pPr>
                  <w:ind w:left="41" w:right="200"/>
                  <w:jc w:val="both"/>
                  <w:textAlignment w:val="baseline"/>
                  <w:rPr>
                    <w:color w:val="000000"/>
                    <w:szCs w:val="24"/>
                  </w:rPr>
                </w:pPr>
                <w:r>
                  <w:rPr>
                    <w:color w:val="000000"/>
                    <w:szCs w:val="24"/>
                  </w:rPr>
                  <w:t xml:space="preserve">Ar investicijomis siekiama vieno arba kelių Reglamento </w:t>
                </w:r>
                <w:fldSimple w:instr="HYPERLINK http://eur-lex.europa.eu/legal-content/LIT/TXT/?uri=CELEX:32022R2472&amp;locale=lt \t _blank">
                  <w:r>
                    <w:rPr>
                      <w:color w:val="0000FF" w:themeColor="hyperlink"/>
                      <w:szCs w:val="24"/>
                      <w:u w:val="single"/>
                    </w:rPr>
                    <w:t>2022/2472</w:t>
                  </w:r>
                </w:fldSimple>
                <w:r>
                  <w:rPr>
                    <w:color w:val="000000"/>
                    <w:szCs w:val="24"/>
                  </w:rPr>
                  <w:t xml:space="preserve"> 14 straipsnio 3 dalyje nustatytų tikslų?</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color w:val="000000"/>
                    <w:szCs w:val="24"/>
                  </w:rPr>
                  <w:t>14.3</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szCs w:val="24"/>
                  </w:rPr>
                </w:pP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tcPr>
              <w:p>
                <w:pPr>
                  <w:ind w:right="-465" w:firstLine="90"/>
                  <w:jc w:val="both"/>
                  <w:textAlignment w:val="baseline"/>
                  <w:rPr>
                    <w:color w:val="000000"/>
                    <w:szCs w:val="24"/>
                  </w:rPr>
                </w:pPr>
                <w:r>
                  <w:rPr>
                    <w:color w:val="000000"/>
                    <w:szCs w:val="24"/>
                  </w:rPr>
                  <w:t>14.</w:t>
                </w:r>
              </w:p>
            </w:tc>
            <w:tc>
              <w:tcPr>
                <w:tcW w:w="4961" w:type="dxa"/>
                <w:tcBorders>
                  <w:top w:val="single" w:sz="6" w:space="0" w:color="auto"/>
                  <w:left w:val="single" w:sz="6" w:space="0" w:color="auto"/>
                  <w:bottom w:val="single" w:sz="6" w:space="0" w:color="auto"/>
                  <w:right w:val="single" w:sz="6" w:space="0" w:color="auto"/>
                </w:tcBorders>
                <w:shd w:val="clear" w:color="auto" w:fill="auto"/>
              </w:tcPr>
              <w:p>
                <w:pPr>
                  <w:ind w:left="41" w:right="200"/>
                  <w:jc w:val="both"/>
                  <w:textAlignment w:val="baseline"/>
                  <w:rPr>
                    <w:color w:val="000000"/>
                    <w:szCs w:val="24"/>
                  </w:rPr>
                </w:pPr>
                <w:r>
                  <w:rPr>
                    <w:color w:val="000000"/>
                    <w:szCs w:val="24"/>
                  </w:rPr>
                  <w:t xml:space="preserve">Ar tinkamos finansuoti išlaidos atitinka Reglamento </w:t>
                </w:r>
                <w:fldSimple w:instr="HYPERLINK http://eur-lex.europa.eu/legal-content/LIT/TXT/?uri=CELEX:32022R2472&amp;locale=lt \t _blank">
                  <w:r>
                    <w:rPr>
                      <w:color w:val="0000FF" w:themeColor="hyperlink"/>
                      <w:szCs w:val="24"/>
                      <w:u w:val="single"/>
                    </w:rPr>
                    <w:t>2022/2472</w:t>
                  </w:r>
                </w:fldSimple>
                <w:r>
                  <w:rPr>
                    <w:color w:val="000000"/>
                    <w:szCs w:val="24"/>
                  </w:rPr>
                  <w:t xml:space="preserve"> 14 straipsnio 6 ir 7 dalių nuostatas?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color w:val="000000"/>
                    <w:szCs w:val="24"/>
                  </w:rPr>
                  <w:t>14.6, 14.7</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szCs w:val="24"/>
                  </w:rPr>
                </w:pP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tcPr>
              <w:p>
                <w:pPr>
                  <w:ind w:right="-465" w:firstLine="90"/>
                  <w:jc w:val="both"/>
                  <w:textAlignment w:val="baseline"/>
                  <w:rPr>
                    <w:color w:val="000000"/>
                    <w:szCs w:val="24"/>
                  </w:rPr>
                </w:pPr>
                <w:r>
                  <w:rPr>
                    <w:color w:val="000000"/>
                    <w:szCs w:val="24"/>
                  </w:rPr>
                  <w:t>15.</w:t>
                </w:r>
              </w:p>
            </w:tc>
            <w:tc>
              <w:tcPr>
                <w:tcW w:w="4961" w:type="dxa"/>
                <w:tcBorders>
                  <w:top w:val="single" w:sz="6" w:space="0" w:color="auto"/>
                  <w:left w:val="single" w:sz="6" w:space="0" w:color="auto"/>
                  <w:bottom w:val="single" w:sz="6" w:space="0" w:color="auto"/>
                  <w:right w:val="single" w:sz="6" w:space="0" w:color="auto"/>
                </w:tcBorders>
                <w:shd w:val="clear" w:color="auto" w:fill="auto"/>
              </w:tcPr>
              <w:p>
                <w:pPr>
                  <w:ind w:left="41" w:right="200"/>
                  <w:jc w:val="both"/>
                  <w:textAlignment w:val="baseline"/>
                  <w:rPr>
                    <w:color w:val="000000"/>
                    <w:szCs w:val="24"/>
                  </w:rPr>
                </w:pPr>
                <w:r>
                  <w:rPr>
                    <w:color w:val="000000"/>
                    <w:szCs w:val="24"/>
                  </w:rPr>
                  <w:t xml:space="preserve">Ar pagalba nėra teikiama Reglamento </w:t>
                </w:r>
                <w:fldSimple w:instr="HYPERLINK http://eur-lex.europa.eu/legal-content/LIT/TXT/?uri=CELEX:32022R2472&amp;locale=lt \t _blank">
                  <w:r>
                    <w:rPr>
                      <w:color w:val="0000FF" w:themeColor="hyperlink"/>
                      <w:szCs w:val="24"/>
                      <w:u w:val="single"/>
                    </w:rPr>
                    <w:t>2022/2472</w:t>
                  </w:r>
                </w:fldSimple>
                <w:r>
                  <w:rPr>
                    <w:color w:val="000000"/>
                    <w:szCs w:val="24"/>
                  </w:rPr>
                  <w:t xml:space="preserve"> 14 straipsnio 9 dalyje nustatytoms išlaidoms?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color w:val="000000"/>
                    <w:szCs w:val="24"/>
                  </w:rPr>
                  <w:t>14.9</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szCs w:val="24"/>
                  </w:rPr>
                </w:pPr>
                <w:r>
                  <w:rPr>
                    <w:i/>
                    <w:iCs/>
                    <w:color w:val="000000"/>
                    <w:szCs w:val="24"/>
                  </w:rPr>
                  <w:t>Jeigu sąlyga tenkinama, žymima „TAIP“</w:t>
                </w:r>
                <w:r>
                  <w:rPr>
                    <w:color w:val="000000"/>
                    <w:szCs w:val="24"/>
                  </w:rPr>
                  <w:t> </w:t>
                </w: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tcPr>
              <w:p>
                <w:pPr>
                  <w:ind w:right="-465" w:firstLine="90"/>
                  <w:jc w:val="both"/>
                  <w:textAlignment w:val="baseline"/>
                  <w:rPr>
                    <w:color w:val="000000"/>
                    <w:szCs w:val="24"/>
                  </w:rPr>
                </w:pPr>
                <w:r>
                  <w:rPr>
                    <w:color w:val="000000"/>
                    <w:szCs w:val="24"/>
                  </w:rPr>
                  <w:t>16.</w:t>
                </w:r>
              </w:p>
            </w:tc>
            <w:tc>
              <w:tcPr>
                <w:tcW w:w="4961" w:type="dxa"/>
                <w:tcBorders>
                  <w:top w:val="single" w:sz="6" w:space="0" w:color="auto"/>
                  <w:left w:val="single" w:sz="6" w:space="0" w:color="auto"/>
                  <w:bottom w:val="single" w:sz="6" w:space="0" w:color="auto"/>
                  <w:right w:val="single" w:sz="6" w:space="0" w:color="auto"/>
                </w:tcBorders>
                <w:shd w:val="clear" w:color="auto" w:fill="auto"/>
              </w:tcPr>
              <w:p>
                <w:pPr>
                  <w:ind w:left="41" w:right="200"/>
                  <w:jc w:val="both"/>
                  <w:textAlignment w:val="baseline"/>
                  <w:rPr>
                    <w:color w:val="000000"/>
                    <w:szCs w:val="24"/>
                  </w:rPr>
                </w:pPr>
                <w:r>
                  <w:rPr>
                    <w:color w:val="000000"/>
                    <w:szCs w:val="24"/>
                  </w:rPr>
                  <w:t xml:space="preserve">Ar tenkinamos Reglamento </w:t>
                </w:r>
                <w:fldSimple w:instr="HYPERLINK http://eur-lex.europa.eu/legal-content/LIT/TXT/?uri=CELEX:32022R2472&amp;locale=lt \t _blank">
                  <w:r>
                    <w:rPr>
                      <w:color w:val="0000FF" w:themeColor="hyperlink"/>
                      <w:szCs w:val="24"/>
                      <w:u w:val="single"/>
                    </w:rPr>
                    <w:t>2022/2472</w:t>
                  </w:r>
                </w:fldSimple>
                <w:r>
                  <w:rPr>
                    <w:color w:val="000000"/>
                    <w:szCs w:val="24"/>
                  </w:rPr>
                  <w:t xml:space="preserve"> 14 straipsnio 10 dalies nuostatos?</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color w:val="000000"/>
                    <w:szCs w:val="24"/>
                  </w:rPr>
                  <w:t>14.10</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i/>
                    <w:iCs/>
                    <w:color w:val="000000"/>
                    <w:szCs w:val="24"/>
                  </w:rPr>
                </w:pP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tcPr>
              <w:p>
                <w:pPr>
                  <w:ind w:right="-465" w:firstLine="90"/>
                  <w:jc w:val="both"/>
                  <w:textAlignment w:val="baseline"/>
                  <w:rPr>
                    <w:color w:val="000000"/>
                    <w:szCs w:val="24"/>
                  </w:rPr>
                </w:pPr>
                <w:r>
                  <w:rPr>
                    <w:color w:val="000000"/>
                    <w:szCs w:val="24"/>
                  </w:rPr>
                  <w:t>17.</w:t>
                </w:r>
              </w:p>
            </w:tc>
            <w:tc>
              <w:tcPr>
                <w:tcW w:w="4961" w:type="dxa"/>
                <w:tcBorders>
                  <w:top w:val="single" w:sz="6" w:space="0" w:color="auto"/>
                  <w:left w:val="single" w:sz="6" w:space="0" w:color="auto"/>
                  <w:bottom w:val="single" w:sz="6" w:space="0" w:color="auto"/>
                  <w:right w:val="single" w:sz="6" w:space="0" w:color="auto"/>
                </w:tcBorders>
                <w:shd w:val="clear" w:color="auto" w:fill="auto"/>
              </w:tcPr>
              <w:p>
                <w:pPr>
                  <w:ind w:left="41" w:right="200"/>
                  <w:jc w:val="both"/>
                  <w:textAlignment w:val="baseline"/>
                  <w:rPr>
                    <w:color w:val="000000"/>
                    <w:szCs w:val="24"/>
                  </w:rPr>
                </w:pPr>
                <w:r>
                  <w:rPr>
                    <w:color w:val="000000"/>
                    <w:szCs w:val="24"/>
                  </w:rPr>
                  <w:t xml:space="preserve">Ar pagalbos sumadydis neviršija Reglamento </w:t>
                </w:r>
                <w:fldSimple w:instr="HYPERLINK http://eur-lex.europa.eu/legal-content/LIT/TXT/?uri=CELEX:32022R2472&amp;locale=lt \t _blank">
                  <w:r>
                    <w:rPr>
                      <w:color w:val="0000FF" w:themeColor="hyperlink"/>
                      <w:szCs w:val="24"/>
                      <w:u w:val="single"/>
                    </w:rPr>
                    <w:t>2022/2472</w:t>
                  </w:r>
                </w:fldSimple>
                <w:r>
                  <w:rPr>
                    <w:color w:val="000000"/>
                    <w:szCs w:val="24"/>
                  </w:rPr>
                  <w:t xml:space="preserve"> 14 straipsnio 11-15 dalyse nustatytų dydžių?</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color w:val="000000"/>
                    <w:szCs w:val="24"/>
                  </w:rPr>
                  <w:t>14.11-15</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color w:val="000000"/>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i/>
                    <w:iCs/>
                    <w:color w:val="000000"/>
                    <w:szCs w:val="24"/>
                  </w:rPr>
                </w:pPr>
                <w:r>
                  <w:rPr>
                    <w:i/>
                    <w:iCs/>
                    <w:color w:val="000000"/>
                    <w:szCs w:val="24"/>
                  </w:rPr>
                  <w:t>Jeigu sąlyga tenkinama, žymima „TAIP“</w:t>
                </w:r>
                <w:r>
                  <w:rPr>
                    <w:color w:val="000000"/>
                    <w:szCs w:val="24"/>
                  </w:rPr>
                  <w:t> </w:t>
                </w:r>
              </w:p>
            </w:tc>
          </w:tr>
          <w:tr>
            <w:trPr>
              <w:trHeight w:val="450"/>
            </w:trPr>
            <w:tc>
              <w:tcPr>
                <w:tcW w:w="985" w:type="dxa"/>
                <w:tcBorders>
                  <w:top w:val="single" w:sz="6" w:space="0" w:color="auto"/>
                  <w:left w:val="single" w:sz="6" w:space="0" w:color="auto"/>
                  <w:bottom w:val="single" w:sz="6" w:space="0" w:color="auto"/>
                  <w:right w:val="single" w:sz="6" w:space="0" w:color="auto"/>
                </w:tcBorders>
                <w:shd w:val="clear" w:color="auto" w:fill="auto"/>
                <w:hideMark/>
              </w:tcPr>
              <w:p>
                <w:pPr>
                  <w:ind w:right="-465" w:firstLine="90"/>
                  <w:jc w:val="both"/>
                  <w:textAlignment w:val="baseline"/>
                  <w:rPr>
                    <w:szCs w:val="24"/>
                  </w:rPr>
                </w:pPr>
                <w:r>
                  <w:rPr>
                    <w:color w:val="000000"/>
                    <w:szCs w:val="24"/>
                  </w:rPr>
                  <w:t>18. </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pPr>
                  <w:ind w:left="41" w:right="200"/>
                  <w:jc w:val="both"/>
                  <w:textAlignment w:val="baseline"/>
                  <w:rPr>
                    <w:szCs w:val="24"/>
                  </w:rPr>
                </w:pPr>
                <w:r>
                  <w:rPr>
                    <w:color w:val="000000"/>
                    <w:szCs w:val="24"/>
                  </w:rPr>
                  <w:t xml:space="preserve">Ar teikiama pagalba patenka į </w:t>
                </w:r>
                <w:r>
                  <w:rPr>
                    <w:szCs w:val="24"/>
                  </w:rPr>
                  <w:t>Reglamento</w:t>
                </w:r>
                <w:r>
                  <w:rPr>
                    <w:i/>
                    <w:iCs/>
                    <w:szCs w:val="24"/>
                  </w:rPr>
                  <w:t xml:space="preserve">  </w:t>
                </w:r>
                <w:fldSimple w:instr="HYPERLINK http://eur-lex.europa.eu/legal-content/LIT/TXT/?uri=CELEX:32022R2472&amp;locale=lt \t _blank">
                  <w:r>
                    <w:rPr>
                      <w:szCs w:val="24"/>
                      <w:u w:val="single"/>
                      <w:color w:val="0000FF" w:themeColor="hyperlink"/>
                    </w:rPr>
                    <w:t>2022/2472</w:t>
                  </w:r>
                </w:fldSimple>
                <w:r>
                  <w:rPr>
                    <w:i/>
                    <w:iCs/>
                    <w:szCs w:val="24"/>
                  </w:rPr>
                  <w:t xml:space="preserve"> </w:t>
                </w:r>
                <w:r>
                  <w:rPr>
                    <w:color w:val="000000"/>
                    <w:szCs w:val="24"/>
                  </w:rPr>
                  <w:t>taikymo laikotarpį?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color w:val="000000"/>
                    <w:szCs w:val="24"/>
                  </w:rPr>
                  <w:t>64 </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5529"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rPr>
                </w:pPr>
                <w:r>
                  <w:rPr>
                    <w:i/>
                    <w:iCs/>
                    <w:color w:val="000000"/>
                    <w:szCs w:val="24"/>
                  </w:rPr>
                  <w:t xml:space="preserve">Reglamentas </w:t>
                </w:r>
                <w:fldSimple w:instr="HYPERLINK http://eur-lex.europa.eu/legal-content/LIT/TXT/?uri=CELEX:32022R2472&amp;locale=lt \t _blank">
                  <w:r>
                    <w:rPr>
                      <w:i/>
                      <w:iCs/>
                      <w:color w:val="0000FF" w:themeColor="hyperlink"/>
                      <w:szCs w:val="24"/>
                      <w:u w:val="single"/>
                    </w:rPr>
                    <w:t>2022/2472</w:t>
                  </w:r>
                </w:fldSimple>
                <w:r>
                  <w:rPr>
                    <w:i/>
                    <w:iCs/>
                    <w:color w:val="000000"/>
                    <w:szCs w:val="24"/>
                  </w:rPr>
                  <w:t xml:space="preserve"> taikomas nuo 2023 m. sausio 1 d. iki 2029 m. gruodžio 31 d. (+6 mėn. pereinamasis laikotarpis)</w:t>
                </w:r>
              </w:p>
            </w:tc>
          </w:tr>
        </w:tbl>
        <w:p>
          <w:pPr>
            <w:ind w:firstLine="62"/>
            <w:textAlignment w:val="baseline"/>
            <w:rPr>
              <w:szCs w:val="24"/>
            </w:rPr>
          </w:pPr>
        </w:p>
        <w:tbl>
          <w:tblPr>
            <w:tblW w:w="1459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5"/>
            <w:gridCol w:w="6003"/>
            <w:gridCol w:w="851"/>
            <w:gridCol w:w="709"/>
            <w:gridCol w:w="6235"/>
          </w:tblGrid>
          <w:tr>
            <w:trPr>
              <w:trHeight w:val="300"/>
            </w:trPr>
            <w:tc>
              <w:tcPr>
                <w:tcW w:w="14593" w:type="dxa"/>
                <w:gridSpan w:val="5"/>
                <w:tcBorders>
                  <w:top w:val="single" w:sz="6" w:space="0" w:color="auto"/>
                  <w:left w:val="single" w:sz="6" w:space="0" w:color="auto"/>
                  <w:bottom w:val="single" w:sz="6" w:space="0" w:color="auto"/>
                  <w:right w:val="single" w:sz="6" w:space="0" w:color="auto"/>
                </w:tcBorders>
                <w:shd w:val="clear" w:color="auto" w:fill="BFBFBF"/>
                <w:hideMark/>
              </w:tcPr>
              <w:p>
                <w:pPr>
                  <w:ind w:firstLine="310"/>
                  <w:textAlignment w:val="baseline"/>
                  <w:rPr>
                    <w:szCs w:val="24"/>
                  </w:rPr>
                </w:pPr>
                <w:r>
                  <w:rPr>
                    <w:b/>
                    <w:bCs/>
                    <w:color w:val="000000"/>
                    <w:szCs w:val="24"/>
                  </w:rPr>
                  <w:t xml:space="preserve">Pagalbos atitikties Reglamento </w:t>
                </w:r>
                <w:fldSimple w:instr="HYPERLINK http://eur-lex.europa.eu/legal-content/LIT/TXT/?uri=CELEX:32022R2472&amp;locale=lt \t _blank">
                  <w:r>
                    <w:rPr>
                      <w:b/>
                      <w:bCs/>
                      <w:color w:val="0000FF" w:themeColor="hyperlink"/>
                      <w:szCs w:val="24"/>
                      <w:u w:val="single"/>
                    </w:rPr>
                    <w:t>2022/2472</w:t>
                  </w:r>
                </w:fldSimple>
                <w:r>
                  <w:rPr>
                    <w:b/>
                    <w:bCs/>
                    <w:color w:val="000000"/>
                    <w:szCs w:val="24"/>
                  </w:rPr>
                  <w:t xml:space="preserve"> nuostatoms vertinimas </w:t>
                </w:r>
                <w:r>
                  <w:rPr>
                    <w:color w:val="000000"/>
                    <w:szCs w:val="24"/>
                  </w:rPr>
                  <w:t> </w:t>
                </w:r>
              </w:p>
              <w:p>
                <w:pPr>
                  <w:ind w:firstLine="782"/>
                  <w:textAlignment w:val="baseline"/>
                  <w:rPr>
                    <w:szCs w:val="24"/>
                  </w:rPr>
                </w:pPr>
              </w:p>
            </w:tc>
          </w:tr>
          <w:tr>
            <w:trPr>
              <w:trHeight w:val="495"/>
            </w:trPr>
            <w:tc>
              <w:tcPr>
                <w:tcW w:w="795" w:type="dxa"/>
                <w:tcBorders>
                  <w:top w:val="single" w:sz="6" w:space="0" w:color="auto"/>
                  <w:left w:val="single" w:sz="6" w:space="0" w:color="auto"/>
                  <w:bottom w:val="single" w:sz="6" w:space="0" w:color="auto"/>
                  <w:right w:val="single" w:sz="6" w:space="0" w:color="auto"/>
                </w:tcBorders>
                <w:shd w:val="clear" w:color="auto" w:fill="auto"/>
                <w:hideMark/>
              </w:tcPr>
              <w:p>
                <w:pPr>
                  <w:ind w:right="-465" w:firstLine="62"/>
                  <w:textAlignment w:val="baseline"/>
                  <w:rPr>
                    <w:szCs w:val="24"/>
                  </w:rPr>
                </w:pPr>
                <w:r>
                  <w:rPr>
                    <w:color w:val="000000"/>
                    <w:szCs w:val="24"/>
                  </w:rPr>
                  <w:t>19.  </w:t>
                </w:r>
              </w:p>
              <w:p>
                <w:pPr>
                  <w:ind w:firstLine="782"/>
                  <w:jc w:val="both"/>
                  <w:textAlignment w:val="baseline"/>
                  <w:rPr>
                    <w:szCs w:val="24"/>
                  </w:rPr>
                </w:pPr>
              </w:p>
            </w:tc>
            <w:tc>
              <w:tcPr>
                <w:tcW w:w="6003" w:type="dxa"/>
                <w:tcBorders>
                  <w:top w:val="single" w:sz="6" w:space="0" w:color="auto"/>
                  <w:left w:val="single" w:sz="6" w:space="0" w:color="auto"/>
                  <w:bottom w:val="single" w:sz="6" w:space="0" w:color="auto"/>
                  <w:right w:val="single" w:sz="6" w:space="0" w:color="auto"/>
                </w:tcBorders>
                <w:shd w:val="clear" w:color="auto" w:fill="auto"/>
                <w:hideMark/>
              </w:tcPr>
              <w:p>
                <w:pPr>
                  <w:tabs>
                    <w:tab w:val="left" w:pos="4875"/>
                  </w:tabs>
                  <w:ind w:right="172"/>
                  <w:jc w:val="both"/>
                  <w:textAlignment w:val="baseline"/>
                  <w:rPr>
                    <w:szCs w:val="24"/>
                  </w:rPr>
                </w:pPr>
                <w:r>
                  <w:rPr>
                    <w:color w:val="000000"/>
                    <w:szCs w:val="24"/>
                  </w:rPr>
                  <w:t xml:space="preserve">Ar pagalbos gavėjui teikiama pagalba atitinka Reglamento </w:t>
                </w:r>
                <w:fldSimple w:instr="HYPERLINK http://eur-lex.europa.eu/legal-content/LIT/TXT/?uri=CELEX:32022R2472&amp;locale=lt \t _blank">
                  <w:r>
                    <w:rPr>
                      <w:color w:val="0000FF" w:themeColor="hyperlink"/>
                      <w:szCs w:val="24"/>
                      <w:u w:val="single"/>
                    </w:rPr>
                    <w:t>2022/2472</w:t>
                  </w:r>
                </w:fldSimple>
                <w:r>
                  <w:rPr>
                    <w:color w:val="000000"/>
                    <w:szCs w:val="24"/>
                  </w:rPr>
                  <w:t xml:space="preserve"> I skyriaus ir 14 straipsnio nuostatas?  </w:t>
                </w:r>
              </w:p>
            </w:tc>
            <w:tc>
              <w:tcPr>
                <w:tcW w:w="851"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szCs w:val="24"/>
                  </w:rPr>
                </w:pPr>
                <w:r>
                  <w:rPr>
                    <w:rFonts w:eastAsia="Calibri"/>
                    <w:szCs w:val="24"/>
                  </w:rPr>
                  <w:fldChar w:fldCharType="begin" w:fldLock="1">
                    <w:ffData>
                      <w:name w:val="Tikrinti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tc>
            <w:tc>
              <w:tcPr>
                <w:tcW w:w="6235" w:type="dxa"/>
                <w:tcBorders>
                  <w:top w:val="single" w:sz="6" w:space="0" w:color="auto"/>
                  <w:left w:val="single" w:sz="6" w:space="0" w:color="auto"/>
                  <w:bottom w:val="single" w:sz="6" w:space="0" w:color="auto"/>
                  <w:right w:val="single" w:sz="6" w:space="0" w:color="auto"/>
                </w:tcBorders>
                <w:shd w:val="clear" w:color="auto" w:fill="auto"/>
                <w:hideMark/>
              </w:tcPr>
              <w:p>
                <w:pPr>
                  <w:ind w:firstLine="782"/>
                  <w:jc w:val="both"/>
                  <w:textAlignment w:val="baseline"/>
                  <w:rPr>
                    <w:szCs w:val="24"/>
                  </w:rPr>
                </w:pPr>
              </w:p>
            </w:tc>
          </w:tr>
        </w:tbl>
        <w:p>
          <w:pPr>
            <w:rPr>
              <w:szCs w:val="24"/>
            </w:rPr>
          </w:pPr>
        </w:p>
        <w:tbl>
          <w:tblPr>
            <w:tblW w:w="4755" w:type="pct"/>
            <w:tblLook w:val="04A0" w:firstRow="1" w:lastRow="0" w:firstColumn="1" w:lastColumn="0" w:noHBand="0" w:noVBand="1"/>
          </w:tblPr>
          <w:tblGrid>
            <w:gridCol w:w="296"/>
            <w:gridCol w:w="4672"/>
            <w:gridCol w:w="2453"/>
            <w:gridCol w:w="2453"/>
            <w:gridCol w:w="2502"/>
            <w:gridCol w:w="1480"/>
          </w:tblGrid>
          <w:tr>
            <w:trPr>
              <w:trHeight w:val="424"/>
            </w:trPr>
            <w:tc>
              <w:tcPr>
                <w:tcW w:w="1793" w:type="pct"/>
                <w:gridSpan w:val="2"/>
                <w:tcBorders>
                  <w:left w:val="nil"/>
                  <w:bottom w:val="nil"/>
                  <w:right w:val="nil"/>
                </w:tcBorders>
              </w:tcPr>
              <w:p>
                <w:pPr>
                  <w:jc w:val="center"/>
                  <w:rPr>
                    <w:sz w:val="22"/>
                    <w:szCs w:val="22"/>
                  </w:rPr>
                </w:pPr>
                <w:r>
                  <w:rPr>
                    <w:sz w:val="22"/>
                    <w:szCs w:val="22"/>
                  </w:rPr>
                  <w:t>__________________________________</w:t>
                </w:r>
              </w:p>
              <w:p>
                <w:pPr>
                  <w:jc w:val="center"/>
                  <w:rPr>
                    <w:iCs/>
                    <w:sz w:val="22"/>
                    <w:szCs w:val="22"/>
                  </w:rPr>
                </w:pPr>
                <w:r>
                  <w:rPr>
                    <w:iCs/>
                    <w:sz w:val="22"/>
                    <w:szCs w:val="22"/>
                  </w:rPr>
                  <w:t>(vertintojas)</w:t>
                </w:r>
              </w:p>
            </w:tc>
            <w:tc>
              <w:tcPr>
                <w:tcW w:w="885" w:type="pct"/>
                <w:tcBorders>
                  <w:top w:val="nil"/>
                  <w:left w:val="nil"/>
                  <w:bottom w:val="nil"/>
                  <w:right w:val="nil"/>
                </w:tcBorders>
              </w:tcPr>
              <w:p>
                <w:pPr>
                  <w:jc w:val="center"/>
                  <w:rPr>
                    <w:sz w:val="22"/>
                    <w:szCs w:val="22"/>
                  </w:rPr>
                </w:pPr>
              </w:p>
            </w:tc>
            <w:tc>
              <w:tcPr>
                <w:tcW w:w="885" w:type="pct"/>
                <w:tcBorders>
                  <w:top w:val="nil"/>
                  <w:left w:val="nil"/>
                  <w:bottom w:val="nil"/>
                  <w:right w:val="nil"/>
                </w:tcBorders>
              </w:tcPr>
              <w:p>
                <w:pPr>
                  <w:jc w:val="center"/>
                  <w:rPr>
                    <w:sz w:val="22"/>
                    <w:szCs w:val="22"/>
                  </w:rPr>
                </w:pPr>
                <w:r>
                  <w:rPr>
                    <w:sz w:val="22"/>
                    <w:szCs w:val="22"/>
                  </w:rPr>
                  <w:t>____________</w:t>
                </w:r>
              </w:p>
              <w:p>
                <w:pPr>
                  <w:jc w:val="center"/>
                  <w:rPr>
                    <w:iCs/>
                    <w:sz w:val="22"/>
                    <w:szCs w:val="22"/>
                  </w:rPr>
                </w:pPr>
                <w:r>
                  <w:rPr>
                    <w:iCs/>
                    <w:sz w:val="22"/>
                    <w:szCs w:val="22"/>
                  </w:rPr>
                  <w:t>(parašas)</w:t>
                </w:r>
              </w:p>
            </w:tc>
            <w:tc>
              <w:tcPr>
                <w:tcW w:w="1437" w:type="pct"/>
                <w:gridSpan w:val="2"/>
                <w:tcBorders>
                  <w:top w:val="nil"/>
                  <w:left w:val="nil"/>
                  <w:bottom w:val="nil"/>
                  <w:right w:val="nil"/>
                </w:tcBorders>
              </w:tcPr>
              <w:p>
                <w:pPr>
                  <w:jc w:val="center"/>
                  <w:rPr>
                    <w:sz w:val="22"/>
                    <w:szCs w:val="22"/>
                  </w:rPr>
                </w:pPr>
                <w:r>
                  <w:rPr>
                    <w:sz w:val="22"/>
                    <w:szCs w:val="22"/>
                  </w:rPr>
                  <w:t>____________</w:t>
                </w:r>
              </w:p>
              <w:p>
                <w:pPr>
                  <w:jc w:val="center"/>
                  <w:rPr>
                    <w:iCs/>
                    <w:sz w:val="22"/>
                    <w:szCs w:val="22"/>
                  </w:rPr>
                </w:pPr>
                <w:r>
                  <w:rPr>
                    <w:iCs/>
                    <w:sz w:val="22"/>
                    <w:szCs w:val="22"/>
                  </w:rPr>
                  <w:t>(data)</w:t>
                </w:r>
              </w:p>
            </w:tc>
          </w:tr>
          <w:tr>
            <w:trPr>
              <w:gridAfter w:val="1"/>
              <w:wAfter w:w="534" w:type="pct"/>
              <w:trHeight w:val="735"/>
            </w:trPr>
            <w:tc>
              <w:tcPr>
                <w:tcW w:w="107" w:type="pct"/>
                <w:tcBorders>
                  <w:top w:val="nil"/>
                  <w:left w:val="nil"/>
                  <w:bottom w:val="nil"/>
                  <w:right w:val="nil"/>
                </w:tcBorders>
              </w:tcPr>
              <w:p>
                <w:pPr>
                  <w:rPr>
                    <w:b/>
                    <w:bCs/>
                    <w:szCs w:val="24"/>
                  </w:rPr>
                </w:pPr>
              </w:p>
            </w:tc>
            <w:tc>
              <w:tcPr>
                <w:tcW w:w="4359" w:type="pct"/>
                <w:gridSpan w:val="4"/>
                <w:tcBorders>
                  <w:top w:val="nil"/>
                  <w:left w:val="nil"/>
                  <w:bottom w:val="nil"/>
                  <w:right w:val="nil"/>
                </w:tcBorders>
              </w:tcPr>
              <w:p>
                <w:pPr>
                  <w:ind w:left="-3189" w:firstLine="3189"/>
                  <w:rPr>
                    <w:szCs w:val="24"/>
                  </w:rPr>
                </w:pPr>
                <w:r>
                  <w:rPr>
                    <w:b/>
                    <w:bCs/>
                    <w:szCs w:val="24"/>
                  </w:rPr>
                  <w:t>Patikros peržiūra:</w:t>
                </w:r>
              </w:p>
              <w:p>
                <w:pPr>
                  <w:ind w:left="-3189" w:firstLine="3189"/>
                  <w:rPr>
                    <w:szCs w:val="24"/>
                  </w:rPr>
                </w:pPr>
                <w:r>
                  <w:rPr>
                    <w:szCs w:val="24"/>
                  </w:rPr>
                  <w:t>□ Vertintojo išvadai pritarti</w:t>
                </w:r>
              </w:p>
              <w:p>
                <w:pPr>
                  <w:ind w:left="-3189" w:firstLine="3189"/>
                  <w:rPr>
                    <w:szCs w:val="24"/>
                  </w:rPr>
                </w:pPr>
                <w:r>
                  <w:rPr>
                    <w:szCs w:val="24"/>
                  </w:rPr>
                  <w:t>□ Vertintojo išvadai nepritarti</w:t>
                </w:r>
              </w:p>
              <w:p>
                <w:pPr>
                  <w:ind w:left="-3189" w:firstLine="3189"/>
                  <w:rPr>
                    <w:szCs w:val="24"/>
                  </w:rPr>
                </w:pPr>
                <w:r>
                  <w:rPr>
                    <w:b/>
                    <w:bCs/>
                    <w:szCs w:val="24"/>
                  </w:rPr>
                  <w:t>Pastabos:</w:t>
                </w:r>
                <w:r>
                  <w:rPr>
                    <w:szCs w:val="24"/>
                  </w:rPr>
                  <w:t>_______________________________________________________________________</w:t>
                </w:r>
              </w:p>
            </w:tc>
          </w:tr>
          <w:tr>
            <w:trPr>
              <w:trHeight w:val="240"/>
            </w:trPr>
            <w:tc>
              <w:tcPr>
                <w:tcW w:w="1793" w:type="pct"/>
                <w:gridSpan w:val="2"/>
                <w:tcBorders>
                  <w:top w:val="nil"/>
                  <w:left w:val="nil"/>
                  <w:right w:val="nil"/>
                </w:tcBorders>
              </w:tcPr>
              <w:p>
                <w:pPr>
                  <w:jc w:val="center"/>
                  <w:rPr>
                    <w:sz w:val="22"/>
                    <w:szCs w:val="22"/>
                  </w:rPr>
                </w:pPr>
              </w:p>
              <w:p>
                <w:pPr>
                  <w:jc w:val="center"/>
                  <w:rPr>
                    <w:sz w:val="22"/>
                    <w:szCs w:val="22"/>
                  </w:rPr>
                </w:pPr>
                <w:r>
                  <w:rPr>
                    <w:sz w:val="22"/>
                    <w:szCs w:val="22"/>
                  </w:rPr>
                  <w:t>______________________________________</w:t>
                </w:r>
              </w:p>
              <w:p>
                <w:pPr>
                  <w:jc w:val="center"/>
                  <w:rPr>
                    <w:iCs/>
                    <w:sz w:val="22"/>
                    <w:szCs w:val="22"/>
                  </w:rPr>
                </w:pPr>
                <w:r>
                  <w:rPr>
                    <w:iCs/>
                    <w:sz w:val="22"/>
                    <w:szCs w:val="22"/>
                  </w:rPr>
                  <w:t>(vertintojo tiesioginis vadovas)</w:t>
                </w:r>
              </w:p>
            </w:tc>
            <w:tc>
              <w:tcPr>
                <w:tcW w:w="885" w:type="pct"/>
                <w:tcBorders>
                  <w:top w:val="nil"/>
                  <w:left w:val="nil"/>
                  <w:bottom w:val="nil"/>
                  <w:right w:val="nil"/>
                </w:tcBorders>
              </w:tcPr>
              <w:p>
                <w:pPr>
                  <w:jc w:val="center"/>
                  <w:rPr>
                    <w:sz w:val="22"/>
                    <w:szCs w:val="22"/>
                  </w:rPr>
                </w:pPr>
              </w:p>
            </w:tc>
            <w:tc>
              <w:tcPr>
                <w:tcW w:w="885" w:type="pct"/>
                <w:tcBorders>
                  <w:top w:val="nil"/>
                  <w:left w:val="nil"/>
                  <w:bottom w:val="nil"/>
                  <w:right w:val="nil"/>
                </w:tcBorders>
              </w:tcPr>
              <w:p>
                <w:pPr>
                  <w:jc w:val="center"/>
                  <w:rPr>
                    <w:sz w:val="22"/>
                    <w:szCs w:val="22"/>
                  </w:rPr>
                </w:pPr>
              </w:p>
              <w:p>
                <w:pPr>
                  <w:jc w:val="center"/>
                  <w:rPr>
                    <w:sz w:val="22"/>
                    <w:szCs w:val="22"/>
                  </w:rPr>
                </w:pPr>
                <w:r>
                  <w:rPr>
                    <w:sz w:val="22"/>
                    <w:szCs w:val="22"/>
                  </w:rPr>
                  <w:t>____________</w:t>
                </w:r>
              </w:p>
              <w:p>
                <w:pPr>
                  <w:jc w:val="center"/>
                  <w:rPr>
                    <w:iCs/>
                    <w:sz w:val="22"/>
                    <w:szCs w:val="22"/>
                  </w:rPr>
                </w:pPr>
                <w:r>
                  <w:rPr>
                    <w:iCs/>
                    <w:sz w:val="22"/>
                    <w:szCs w:val="22"/>
                  </w:rPr>
                  <w:t>(parašas)</w:t>
                </w:r>
              </w:p>
            </w:tc>
            <w:tc>
              <w:tcPr>
                <w:tcW w:w="1437" w:type="pct"/>
                <w:gridSpan w:val="2"/>
                <w:tcBorders>
                  <w:top w:val="nil"/>
                  <w:left w:val="nil"/>
                  <w:bottom w:val="nil"/>
                  <w:right w:val="nil"/>
                </w:tcBorders>
              </w:tcPr>
              <w:p>
                <w:pPr>
                  <w:jc w:val="center"/>
                  <w:rPr>
                    <w:sz w:val="22"/>
                    <w:szCs w:val="22"/>
                  </w:rPr>
                </w:pPr>
              </w:p>
              <w:p>
                <w:pPr>
                  <w:jc w:val="center"/>
                  <w:rPr>
                    <w:sz w:val="22"/>
                    <w:szCs w:val="22"/>
                  </w:rPr>
                </w:pPr>
                <w:r>
                  <w:rPr>
                    <w:sz w:val="22"/>
                    <w:szCs w:val="22"/>
                  </w:rPr>
                  <w:t>____________</w:t>
                </w:r>
              </w:p>
              <w:p>
                <w:pPr>
                  <w:jc w:val="center"/>
                  <w:rPr>
                    <w:iCs/>
                    <w:sz w:val="22"/>
                    <w:szCs w:val="22"/>
                  </w:rPr>
                </w:pPr>
                <w:r>
                  <w:rPr>
                    <w:iCs/>
                    <w:sz w:val="22"/>
                    <w:szCs w:val="22"/>
                  </w:rPr>
                  <w:t>(data)</w:t>
                </w:r>
              </w:p>
            </w:tc>
          </w:tr>
        </w:tbl>
        <w:p>
          <w:pPr>
            <w:suppressAutoHyphens/>
            <w:jc w:val="both"/>
            <w:textAlignment w:val="baseline"/>
            <w:rPr>
              <w:sz w:val="22"/>
              <w:szCs w:val="22"/>
            </w:rPr>
          </w:pPr>
        </w:p>
        <w:p>
          <w:pPr>
            <w:spacing w:line="259" w:lineRule="auto"/>
            <w:jc w:val="center"/>
            <w:rPr>
              <w:szCs w:val="24"/>
            </w:rPr>
          </w:pPr>
        </w:p>
        <w:p>
          <w:pPr>
            <w:spacing w:line="259" w:lineRule="auto"/>
            <w:jc w:val="center"/>
            <w:rPr>
              <w:szCs w:val="24"/>
            </w:rPr>
          </w:pPr>
        </w:p>
        <w:p>
          <w:pPr>
            <w:spacing w:line="259" w:lineRule="auto"/>
            <w:jc w:val="center"/>
            <w:rPr>
              <w:color w:val="000000"/>
              <w:szCs w:val="24"/>
            </w:rPr>
          </w:pPr>
          <w:r>
            <w:rPr>
              <w:szCs w:val="24"/>
            </w:rPr>
            <w:t>_________________________________________________</w:t>
          </w:r>
        </w:p>
      </w:sdtContent>
    </w:sdt>
    <w:sectPr>
      <w:pgSz w:w="16838" w:h="11906" w:orient="landscape"/>
      <w:pgMar w:top="1134" w:right="567" w:bottom="567"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2</w:t>
    </w:r>
    <w:r>
      <w:fldChar w:fldCharType="end"/>
    </w:r>
  </w:p>
  <w:p>
    <w:pPr>
      <w:tabs>
        <w:tab w:val="center" w:pos="4819"/>
        <w:tab w:val="right" w:pos="9638"/>
      </w:tabs>
      <w:jc w:val="right"/>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5DB095D-06D3-4834-A06F-2E49AEC60F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8890836">
      <w:bodyDiv w:val="1"/>
      <w:marLeft w:val="0"/>
      <w:marRight w:val="0"/>
      <w:marTop w:val="0"/>
      <w:marBottom w:val="0"/>
      <w:divBdr>
        <w:top w:val="none" w:sz="0" w:space="0" w:color="auto"/>
        <w:left w:val="none" w:sz="0" w:space="0" w:color="auto"/>
        <w:bottom w:val="none" w:sz="0" w:space="0" w:color="auto"/>
        <w:right w:val="none" w:sz="0" w:space="0" w:color="auto"/>
      </w:divBdr>
    </w:div>
    <w:div w:id="378818025">
      <w:bodyDiv w:val="1"/>
      <w:marLeft w:val="0"/>
      <w:marRight w:val="0"/>
      <w:marTop w:val="0"/>
      <w:marBottom w:val="0"/>
      <w:divBdr>
        <w:top w:val="none" w:sz="0" w:space="0" w:color="auto"/>
        <w:left w:val="none" w:sz="0" w:space="0" w:color="auto"/>
        <w:bottom w:val="none" w:sz="0" w:space="0" w:color="auto"/>
        <w:right w:val="none" w:sz="0" w:space="0" w:color="auto"/>
      </w:divBdr>
    </w:div>
    <w:div w:id="410660396">
      <w:bodyDiv w:val="1"/>
      <w:marLeft w:val="0"/>
      <w:marRight w:val="0"/>
      <w:marTop w:val="0"/>
      <w:marBottom w:val="0"/>
      <w:divBdr>
        <w:top w:val="none" w:sz="0" w:space="0" w:color="auto"/>
        <w:left w:val="none" w:sz="0" w:space="0" w:color="auto"/>
        <w:bottom w:val="none" w:sz="0" w:space="0" w:color="auto"/>
        <w:right w:val="none" w:sz="0" w:space="0" w:color="auto"/>
      </w:divBdr>
    </w:div>
    <w:div w:id="423108511">
      <w:bodyDiv w:val="1"/>
      <w:marLeft w:val="0"/>
      <w:marRight w:val="0"/>
      <w:marTop w:val="0"/>
      <w:marBottom w:val="0"/>
      <w:divBdr>
        <w:top w:val="none" w:sz="0" w:space="0" w:color="auto"/>
        <w:left w:val="none" w:sz="0" w:space="0" w:color="auto"/>
        <w:bottom w:val="none" w:sz="0" w:space="0" w:color="auto"/>
        <w:right w:val="none" w:sz="0" w:space="0" w:color="auto"/>
      </w:divBdr>
      <w:divsChild>
        <w:div w:id="377751066">
          <w:marLeft w:val="0"/>
          <w:marRight w:val="0"/>
          <w:marTop w:val="0"/>
          <w:marBottom w:val="0"/>
          <w:divBdr>
            <w:top w:val="none" w:sz="0" w:space="0" w:color="auto"/>
            <w:left w:val="none" w:sz="0" w:space="0" w:color="auto"/>
            <w:bottom w:val="none" w:sz="0" w:space="0" w:color="auto"/>
            <w:right w:val="none" w:sz="0" w:space="0" w:color="auto"/>
          </w:divBdr>
        </w:div>
        <w:div w:id="414282837">
          <w:marLeft w:val="0"/>
          <w:marRight w:val="0"/>
          <w:marTop w:val="0"/>
          <w:marBottom w:val="0"/>
          <w:divBdr>
            <w:top w:val="none" w:sz="0" w:space="0" w:color="auto"/>
            <w:left w:val="none" w:sz="0" w:space="0" w:color="auto"/>
            <w:bottom w:val="none" w:sz="0" w:space="0" w:color="auto"/>
            <w:right w:val="none" w:sz="0" w:space="0" w:color="auto"/>
          </w:divBdr>
        </w:div>
        <w:div w:id="482553439">
          <w:marLeft w:val="0"/>
          <w:marRight w:val="0"/>
          <w:marTop w:val="0"/>
          <w:marBottom w:val="0"/>
          <w:divBdr>
            <w:top w:val="none" w:sz="0" w:space="0" w:color="auto"/>
            <w:left w:val="none" w:sz="0" w:space="0" w:color="auto"/>
            <w:bottom w:val="none" w:sz="0" w:space="0" w:color="auto"/>
            <w:right w:val="none" w:sz="0" w:space="0" w:color="auto"/>
          </w:divBdr>
        </w:div>
        <w:div w:id="2029482519">
          <w:marLeft w:val="0"/>
          <w:marRight w:val="0"/>
          <w:marTop w:val="0"/>
          <w:marBottom w:val="0"/>
          <w:divBdr>
            <w:top w:val="none" w:sz="0" w:space="0" w:color="auto"/>
            <w:left w:val="none" w:sz="0" w:space="0" w:color="auto"/>
            <w:bottom w:val="none" w:sz="0" w:space="0" w:color="auto"/>
            <w:right w:val="none" w:sz="0" w:space="0" w:color="auto"/>
          </w:divBdr>
        </w:div>
      </w:divsChild>
    </w:div>
    <w:div w:id="424692418">
      <w:bodyDiv w:val="1"/>
      <w:marLeft w:val="0"/>
      <w:marRight w:val="0"/>
      <w:marTop w:val="0"/>
      <w:marBottom w:val="0"/>
      <w:divBdr>
        <w:top w:val="none" w:sz="0" w:space="0" w:color="auto"/>
        <w:left w:val="none" w:sz="0" w:space="0" w:color="auto"/>
        <w:bottom w:val="none" w:sz="0" w:space="0" w:color="auto"/>
        <w:right w:val="none" w:sz="0" w:space="0" w:color="auto"/>
      </w:divBdr>
      <w:divsChild>
        <w:div w:id="635836468">
          <w:marLeft w:val="0"/>
          <w:marRight w:val="0"/>
          <w:marTop w:val="0"/>
          <w:marBottom w:val="0"/>
          <w:divBdr>
            <w:top w:val="none" w:sz="0" w:space="0" w:color="auto"/>
            <w:left w:val="none" w:sz="0" w:space="0" w:color="auto"/>
            <w:bottom w:val="none" w:sz="0" w:space="0" w:color="auto"/>
            <w:right w:val="none" w:sz="0" w:space="0" w:color="auto"/>
          </w:divBdr>
        </w:div>
        <w:div w:id="1734354727">
          <w:marLeft w:val="0"/>
          <w:marRight w:val="0"/>
          <w:marTop w:val="0"/>
          <w:marBottom w:val="0"/>
          <w:divBdr>
            <w:top w:val="none" w:sz="0" w:space="0" w:color="auto"/>
            <w:left w:val="none" w:sz="0" w:space="0" w:color="auto"/>
            <w:bottom w:val="none" w:sz="0" w:space="0" w:color="auto"/>
            <w:right w:val="none" w:sz="0" w:space="0" w:color="auto"/>
          </w:divBdr>
        </w:div>
      </w:divsChild>
    </w:div>
    <w:div w:id="465926852">
      <w:bodyDiv w:val="1"/>
      <w:marLeft w:val="0"/>
      <w:marRight w:val="0"/>
      <w:marTop w:val="0"/>
      <w:marBottom w:val="0"/>
      <w:divBdr>
        <w:top w:val="none" w:sz="0" w:space="0" w:color="auto"/>
        <w:left w:val="none" w:sz="0" w:space="0" w:color="auto"/>
        <w:bottom w:val="none" w:sz="0" w:space="0" w:color="auto"/>
        <w:right w:val="none" w:sz="0" w:space="0" w:color="auto"/>
      </w:divBdr>
    </w:div>
    <w:div w:id="8257094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1551389">
      <w:bodyDiv w:val="1"/>
      <w:marLeft w:val="0"/>
      <w:marRight w:val="0"/>
      <w:marTop w:val="0"/>
      <w:marBottom w:val="0"/>
      <w:divBdr>
        <w:top w:val="none" w:sz="0" w:space="0" w:color="auto"/>
        <w:left w:val="none" w:sz="0" w:space="0" w:color="auto"/>
        <w:bottom w:val="none" w:sz="0" w:space="0" w:color="auto"/>
        <w:right w:val="none" w:sz="0" w:space="0" w:color="auto"/>
      </w:divBdr>
      <w:divsChild>
        <w:div w:id="404960141">
          <w:marLeft w:val="0"/>
          <w:marRight w:val="0"/>
          <w:marTop w:val="0"/>
          <w:marBottom w:val="0"/>
          <w:divBdr>
            <w:top w:val="none" w:sz="0" w:space="0" w:color="auto"/>
            <w:left w:val="none" w:sz="0" w:space="0" w:color="auto"/>
            <w:bottom w:val="none" w:sz="0" w:space="0" w:color="auto"/>
            <w:right w:val="none" w:sz="0" w:space="0" w:color="auto"/>
          </w:divBdr>
        </w:div>
        <w:div w:id="897932420">
          <w:marLeft w:val="0"/>
          <w:marRight w:val="0"/>
          <w:marTop w:val="0"/>
          <w:marBottom w:val="0"/>
          <w:divBdr>
            <w:top w:val="none" w:sz="0" w:space="0" w:color="auto"/>
            <w:left w:val="none" w:sz="0" w:space="0" w:color="auto"/>
            <w:bottom w:val="none" w:sz="0" w:space="0" w:color="auto"/>
            <w:right w:val="none" w:sz="0" w:space="0" w:color="auto"/>
          </w:divBdr>
        </w:div>
        <w:div w:id="1663847137">
          <w:marLeft w:val="0"/>
          <w:marRight w:val="0"/>
          <w:marTop w:val="0"/>
          <w:marBottom w:val="0"/>
          <w:divBdr>
            <w:top w:val="none" w:sz="0" w:space="0" w:color="auto"/>
            <w:left w:val="none" w:sz="0" w:space="0" w:color="auto"/>
            <w:bottom w:val="none" w:sz="0" w:space="0" w:color="auto"/>
            <w:right w:val="none" w:sz="0" w:space="0" w:color="auto"/>
          </w:divBdr>
        </w:div>
      </w:divsChild>
    </w:div>
    <w:div w:id="1251625197">
      <w:bodyDiv w:val="1"/>
      <w:marLeft w:val="0"/>
      <w:marRight w:val="0"/>
      <w:marTop w:val="0"/>
      <w:marBottom w:val="0"/>
      <w:divBdr>
        <w:top w:val="none" w:sz="0" w:space="0" w:color="auto"/>
        <w:left w:val="none" w:sz="0" w:space="0" w:color="auto"/>
        <w:bottom w:val="none" w:sz="0" w:space="0" w:color="auto"/>
        <w:right w:val="none" w:sz="0" w:space="0" w:color="auto"/>
      </w:divBdr>
    </w:div>
    <w:div w:id="1254162541">
      <w:bodyDiv w:val="1"/>
      <w:marLeft w:val="0"/>
      <w:marRight w:val="0"/>
      <w:marTop w:val="0"/>
      <w:marBottom w:val="0"/>
      <w:divBdr>
        <w:top w:val="none" w:sz="0" w:space="0" w:color="auto"/>
        <w:left w:val="none" w:sz="0" w:space="0" w:color="auto"/>
        <w:bottom w:val="none" w:sz="0" w:space="0" w:color="auto"/>
        <w:right w:val="none" w:sz="0" w:space="0" w:color="auto"/>
      </w:divBdr>
    </w:div>
    <w:div w:id="1319528756">
      <w:bodyDiv w:val="1"/>
      <w:marLeft w:val="0"/>
      <w:marRight w:val="0"/>
      <w:marTop w:val="0"/>
      <w:marBottom w:val="0"/>
      <w:divBdr>
        <w:top w:val="none" w:sz="0" w:space="0" w:color="auto"/>
        <w:left w:val="none" w:sz="0" w:space="0" w:color="auto"/>
        <w:bottom w:val="none" w:sz="0" w:space="0" w:color="auto"/>
        <w:right w:val="none" w:sz="0" w:space="0" w:color="auto"/>
      </w:divBdr>
    </w:div>
    <w:div w:id="1324506439">
      <w:bodyDiv w:val="1"/>
      <w:marLeft w:val="0"/>
      <w:marRight w:val="0"/>
      <w:marTop w:val="0"/>
      <w:marBottom w:val="0"/>
      <w:divBdr>
        <w:top w:val="none" w:sz="0" w:space="0" w:color="auto"/>
        <w:left w:val="none" w:sz="0" w:space="0" w:color="auto"/>
        <w:bottom w:val="none" w:sz="0" w:space="0" w:color="auto"/>
        <w:right w:val="none" w:sz="0" w:space="0" w:color="auto"/>
      </w:divBdr>
      <w:divsChild>
        <w:div w:id="448086748">
          <w:marLeft w:val="0"/>
          <w:marRight w:val="0"/>
          <w:marTop w:val="0"/>
          <w:marBottom w:val="0"/>
          <w:divBdr>
            <w:top w:val="none" w:sz="0" w:space="0" w:color="auto"/>
            <w:left w:val="none" w:sz="0" w:space="0" w:color="auto"/>
            <w:bottom w:val="none" w:sz="0" w:space="0" w:color="auto"/>
            <w:right w:val="none" w:sz="0" w:space="0" w:color="auto"/>
          </w:divBdr>
        </w:div>
        <w:div w:id="547685298">
          <w:marLeft w:val="0"/>
          <w:marRight w:val="0"/>
          <w:marTop w:val="0"/>
          <w:marBottom w:val="0"/>
          <w:divBdr>
            <w:top w:val="none" w:sz="0" w:space="0" w:color="auto"/>
            <w:left w:val="none" w:sz="0" w:space="0" w:color="auto"/>
            <w:bottom w:val="none" w:sz="0" w:space="0" w:color="auto"/>
            <w:right w:val="none" w:sz="0" w:space="0" w:color="auto"/>
          </w:divBdr>
        </w:div>
      </w:divsChild>
    </w:div>
    <w:div w:id="1669626407">
      <w:bodyDiv w:val="1"/>
      <w:marLeft w:val="0"/>
      <w:marRight w:val="0"/>
      <w:marTop w:val="0"/>
      <w:marBottom w:val="0"/>
      <w:divBdr>
        <w:top w:val="none" w:sz="0" w:space="0" w:color="auto"/>
        <w:left w:val="none" w:sz="0" w:space="0" w:color="auto"/>
        <w:bottom w:val="none" w:sz="0" w:space="0" w:color="auto"/>
        <w:right w:val="none" w:sz="0" w:space="0" w:color="auto"/>
      </w:divBdr>
      <w:divsChild>
        <w:div w:id="227493959">
          <w:marLeft w:val="0"/>
          <w:marRight w:val="0"/>
          <w:marTop w:val="0"/>
          <w:marBottom w:val="0"/>
          <w:divBdr>
            <w:top w:val="none" w:sz="0" w:space="0" w:color="auto"/>
            <w:left w:val="none" w:sz="0" w:space="0" w:color="auto"/>
            <w:bottom w:val="none" w:sz="0" w:space="0" w:color="auto"/>
            <w:right w:val="none" w:sz="0" w:space="0" w:color="auto"/>
          </w:divBdr>
        </w:div>
        <w:div w:id="1667786606">
          <w:marLeft w:val="0"/>
          <w:marRight w:val="0"/>
          <w:marTop w:val="0"/>
          <w:marBottom w:val="0"/>
          <w:divBdr>
            <w:top w:val="none" w:sz="0" w:space="0" w:color="auto"/>
            <w:left w:val="none" w:sz="0" w:space="0" w:color="auto"/>
            <w:bottom w:val="none" w:sz="0" w:space="0" w:color="auto"/>
            <w:right w:val="none" w:sz="0" w:space="0" w:color="auto"/>
          </w:divBdr>
        </w:div>
      </w:divsChild>
    </w:div>
    <w:div w:id="1701317305">
      <w:bodyDiv w:val="1"/>
      <w:marLeft w:val="0"/>
      <w:marRight w:val="0"/>
      <w:marTop w:val="0"/>
      <w:marBottom w:val="0"/>
      <w:divBdr>
        <w:top w:val="none" w:sz="0" w:space="0" w:color="auto"/>
        <w:left w:val="none" w:sz="0" w:space="0" w:color="auto"/>
        <w:bottom w:val="none" w:sz="0" w:space="0" w:color="auto"/>
        <w:right w:val="none" w:sz="0" w:space="0" w:color="auto"/>
      </w:divBdr>
      <w:divsChild>
        <w:div w:id="66072470">
          <w:marLeft w:val="0"/>
          <w:marRight w:val="0"/>
          <w:marTop w:val="0"/>
          <w:marBottom w:val="0"/>
          <w:divBdr>
            <w:top w:val="none" w:sz="0" w:space="0" w:color="auto"/>
            <w:left w:val="none" w:sz="0" w:space="0" w:color="auto"/>
            <w:bottom w:val="none" w:sz="0" w:space="0" w:color="auto"/>
            <w:right w:val="none" w:sz="0" w:space="0" w:color="auto"/>
          </w:divBdr>
        </w:div>
        <w:div w:id="377823617">
          <w:marLeft w:val="0"/>
          <w:marRight w:val="0"/>
          <w:marTop w:val="0"/>
          <w:marBottom w:val="0"/>
          <w:divBdr>
            <w:top w:val="none" w:sz="0" w:space="0" w:color="auto"/>
            <w:left w:val="none" w:sz="0" w:space="0" w:color="auto"/>
            <w:bottom w:val="none" w:sz="0" w:space="0" w:color="auto"/>
            <w:right w:val="none" w:sz="0" w:space="0" w:color="auto"/>
          </w:divBdr>
        </w:div>
        <w:div w:id="657805113">
          <w:marLeft w:val="0"/>
          <w:marRight w:val="0"/>
          <w:marTop w:val="0"/>
          <w:marBottom w:val="0"/>
          <w:divBdr>
            <w:top w:val="none" w:sz="0" w:space="0" w:color="auto"/>
            <w:left w:val="none" w:sz="0" w:space="0" w:color="auto"/>
            <w:bottom w:val="none" w:sz="0" w:space="0" w:color="auto"/>
            <w:right w:val="none" w:sz="0" w:space="0" w:color="auto"/>
          </w:divBdr>
        </w:div>
        <w:div w:id="1768188719">
          <w:marLeft w:val="0"/>
          <w:marRight w:val="0"/>
          <w:marTop w:val="0"/>
          <w:marBottom w:val="0"/>
          <w:divBdr>
            <w:top w:val="none" w:sz="0" w:space="0" w:color="auto"/>
            <w:left w:val="none" w:sz="0" w:space="0" w:color="auto"/>
            <w:bottom w:val="none" w:sz="0" w:space="0" w:color="auto"/>
            <w:right w:val="none" w:sz="0" w:space="0" w:color="auto"/>
          </w:divBdr>
        </w:div>
      </w:divsChild>
    </w:div>
    <w:div w:id="1796868310">
      <w:bodyDiv w:val="1"/>
      <w:marLeft w:val="0"/>
      <w:marRight w:val="0"/>
      <w:marTop w:val="0"/>
      <w:marBottom w:val="0"/>
      <w:divBdr>
        <w:top w:val="none" w:sz="0" w:space="0" w:color="auto"/>
        <w:left w:val="none" w:sz="0" w:space="0" w:color="auto"/>
        <w:bottom w:val="none" w:sz="0" w:space="0" w:color="auto"/>
        <w:right w:val="none" w:sz="0" w:space="0" w:color="auto"/>
      </w:divBdr>
      <w:divsChild>
        <w:div w:id="1081483893">
          <w:marLeft w:val="0"/>
          <w:marRight w:val="0"/>
          <w:marTop w:val="0"/>
          <w:marBottom w:val="0"/>
          <w:divBdr>
            <w:top w:val="none" w:sz="0" w:space="0" w:color="auto"/>
            <w:left w:val="none" w:sz="0" w:space="0" w:color="auto"/>
            <w:bottom w:val="none" w:sz="0" w:space="0" w:color="auto"/>
            <w:right w:val="none" w:sz="0" w:space="0" w:color="auto"/>
          </w:divBdr>
        </w:div>
        <w:div w:id="1178039816">
          <w:marLeft w:val="0"/>
          <w:marRight w:val="0"/>
          <w:marTop w:val="0"/>
          <w:marBottom w:val="0"/>
          <w:divBdr>
            <w:top w:val="none" w:sz="0" w:space="0" w:color="auto"/>
            <w:left w:val="none" w:sz="0" w:space="0" w:color="auto"/>
            <w:bottom w:val="none" w:sz="0" w:space="0" w:color="auto"/>
            <w:right w:val="none" w:sz="0" w:space="0" w:color="auto"/>
          </w:divBdr>
        </w:div>
        <w:div w:id="1228879518">
          <w:marLeft w:val="0"/>
          <w:marRight w:val="0"/>
          <w:marTop w:val="0"/>
          <w:marBottom w:val="0"/>
          <w:divBdr>
            <w:top w:val="none" w:sz="0" w:space="0" w:color="auto"/>
            <w:left w:val="none" w:sz="0" w:space="0" w:color="auto"/>
            <w:bottom w:val="none" w:sz="0" w:space="0" w:color="auto"/>
            <w:right w:val="none" w:sz="0" w:space="0" w:color="auto"/>
          </w:divBdr>
        </w:div>
        <w:div w:id="2112626902">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99456229">
      <w:bodyDiv w:val="1"/>
      <w:marLeft w:val="0"/>
      <w:marRight w:val="0"/>
      <w:marTop w:val="0"/>
      <w:marBottom w:val="0"/>
      <w:divBdr>
        <w:top w:val="none" w:sz="0" w:space="0" w:color="auto"/>
        <w:left w:val="none" w:sz="0" w:space="0" w:color="auto"/>
        <w:bottom w:val="none" w:sz="0" w:space="0" w:color="auto"/>
        <w:right w:val="none" w:sz="0" w:space="0" w:color="auto"/>
      </w:divBdr>
      <w:divsChild>
        <w:div w:id="646936104">
          <w:marLeft w:val="0"/>
          <w:marRight w:val="0"/>
          <w:marTop w:val="0"/>
          <w:marBottom w:val="0"/>
          <w:divBdr>
            <w:top w:val="none" w:sz="0" w:space="0" w:color="auto"/>
            <w:left w:val="none" w:sz="0" w:space="0" w:color="auto"/>
            <w:bottom w:val="none" w:sz="0" w:space="0" w:color="auto"/>
            <w:right w:val="none" w:sz="0" w:space="0" w:color="auto"/>
          </w:divBdr>
        </w:div>
        <w:div w:id="1255431736">
          <w:marLeft w:val="0"/>
          <w:marRight w:val="0"/>
          <w:marTop w:val="0"/>
          <w:marBottom w:val="0"/>
          <w:divBdr>
            <w:top w:val="none" w:sz="0" w:space="0" w:color="auto"/>
            <w:left w:val="none" w:sz="0" w:space="0" w:color="auto"/>
            <w:bottom w:val="none" w:sz="0" w:space="0" w:color="auto"/>
            <w:right w:val="none" w:sz="0" w:space="0" w:color="auto"/>
          </w:divBdr>
          <w:divsChild>
            <w:div w:id="921452026">
              <w:marLeft w:val="0"/>
              <w:marRight w:val="0"/>
              <w:marTop w:val="0"/>
              <w:marBottom w:val="0"/>
              <w:divBdr>
                <w:top w:val="none" w:sz="0" w:space="0" w:color="auto"/>
                <w:left w:val="none" w:sz="0" w:space="0" w:color="auto"/>
                <w:bottom w:val="none" w:sz="0" w:space="0" w:color="auto"/>
                <w:right w:val="none" w:sz="0" w:space="0" w:color="auto"/>
              </w:divBdr>
            </w:div>
            <w:div w:id="1784037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043750">
      <w:bodyDiv w:val="1"/>
      <w:marLeft w:val="0"/>
      <w:marRight w:val="0"/>
      <w:marTop w:val="0"/>
      <w:marBottom w:val="0"/>
      <w:divBdr>
        <w:top w:val="none" w:sz="0" w:space="0" w:color="auto"/>
        <w:left w:val="none" w:sz="0" w:space="0" w:color="auto"/>
        <w:bottom w:val="none" w:sz="0" w:space="0" w:color="auto"/>
        <w:right w:val="none" w:sz="0" w:space="0" w:color="auto"/>
      </w:divBdr>
      <w:divsChild>
        <w:div w:id="1287084742">
          <w:marLeft w:val="0"/>
          <w:marRight w:val="0"/>
          <w:marTop w:val="0"/>
          <w:marBottom w:val="0"/>
          <w:divBdr>
            <w:top w:val="none" w:sz="0" w:space="0" w:color="auto"/>
            <w:left w:val="none" w:sz="0" w:space="0" w:color="auto"/>
            <w:bottom w:val="none" w:sz="0" w:space="0" w:color="auto"/>
            <w:right w:val="none" w:sz="0" w:space="0" w:color="auto"/>
          </w:divBdr>
        </w:div>
        <w:div w:id="20110557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Tomas Boldorevas</DisplayName>
        <AccountId>17</AccountId>
        <AccountType/>
      </UserInfo>
      <UserInfo>
        <DisplayName>Marius Šeštokas</DisplayName>
        <AccountId>7</AccountId>
        <AccountType/>
      </UserInfo>
      <UserInfo>
        <DisplayName>Agnė Lukoševičienė</DisplayName>
        <AccountId>13</AccountId>
        <AccountType/>
      </UserInfo>
      <UserInfo>
        <DisplayName>Emilija Šaulytė</DisplayName>
        <AccountId>231</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4" Abbr="4 pr." Title="2022–2030 METŲ LIETUVOS RESPUBLIKOS APLINKOS MINISTERIJOS APLINKOS APSAUGOS IR KLIMATO KAITOS VALDYMO PLĖTROS PROGRAMOS PAŽANGOS PRIEMONĖS NR. 02-001-06-04-02 „DIDINTI KLIMATO KAITOS POLITIKOS VEIKSMINGUMĄ“ VEIKLOS „ANTROS KARTOS BIODEGALAIS IR ELEKTRA VAROMOS ŽEMĖS ŪKIO TECHNIKOS SKATINIMAS“ PROJEKTŲ FINANSAVIMO SĄLYGŲ APRAŠAS" DocPartId="47c694a60b3c46a2958355771d8e339a" PartId="da3bfe72d44a474ebcb66a0005c2039c">
    <Part Type="pabaiga" DocPartId="f6300d8ecfd4453f8db994ffc7de472b" PartId="d403da520ad44e1fb0449d4fb6b5e8bb"/>
  </Part>
  <Part Type="priedas" Nr="1" Abbr="1 pr." Title="PROJEKTO (ĮSKAITANT JUNGTINĮ) ATITIKTIES REIKŠMINGOS ŽALOS NEDARYMO HORIZONTALIAJAM PRINCIPUI VERTINIMO REIKALAVIMŲ APRAŠAS" DocPartId="f2cba20edcf74b7786e8efe26cb1fed4" PartId="d5a5406fce494655896da4f53da67638">
    <Part Type="pabaiga" DocPartId="6c530a2d45804572a15e17bf9a26881a" PartId="e7853c6246b84eb3bc299c4da8a34c44"/>
  </Part>
  <Part Type="priedas" Nr="2" Abbr="2 pr." Title="PROJEKTŲ ATITIKTIES VALSTYBĖS PAGALBOS TAISYKLĖMS PATIKROS LAPAS" DocPartId="2344bd2d321742b8b77af9b17ff262b8" PartId="40ba354457f24303be1ff5b124628702"/>
</Parts>
</file>

<file path=customXml/itemProps1.xml><?xml version="1.0" encoding="utf-8"?>
<ds:datastoreItem xmlns:ds="http://schemas.openxmlformats.org/officeDocument/2006/customXml" ds:itemID="{A4153225-4DE6-4CFD-91FA-CA3D6B7628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purl.org/dc/terms/"/>
    <ds:schemaRef ds:uri="19cf09c5-daa1-4028-a0ff-74a0be4ec5cc"/>
    <ds:schemaRef ds:uri="http://schemas.microsoft.com/sharepoint/v3"/>
    <ds:schemaRef ds:uri="http://purl.org/dc/dcmitype/"/>
    <ds:schemaRef ds:uri="http://purl.org/dc/elements/1.1/"/>
    <ds:schemaRef ds:uri="http://www.w3.org/XML/1998/namespace"/>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2B8596BB-FC3A-4D54-BEBD-FB80A360A066}">
  <ds:schemaRefs>
    <ds:schemaRef ds:uri="http://schemas.openxmlformats.org/officeDocument/2006/bibliography"/>
  </ds:schemaRefs>
</ds:datastoreItem>
</file>

<file path=customXml/itemProps5.xml><?xml version="1.0" encoding="utf-8"?>
<ds:datastoreItem xmlns:ds="http://schemas.openxmlformats.org/officeDocument/2006/customXml" ds:itemID="{C0AFF1AE-97FD-4528-B96B-F7E29AF877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5352</Words>
  <Characters>38215</Characters>
  <Application>Microsoft Office Word</Application>
  <DocSecurity>4</DocSecurity>
  <Lines>796</Lines>
  <Paragraphs>378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HP Inc.</Company>
  <LinksUpToDate>false</LinksUpToDate>
  <CharactersWithSpaces>43189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2024-11-08T06:22:00Z</dcterms:created>
  <dc:creator>Virginija Levinskienė</dc:creator>
  <lastModifiedBy>adlibuser</lastModifiedBy>
  <dcterms:modified xsi:type="dcterms:W3CDTF">2024-11-08T06:22:00Z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