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6628e27c434c0f84b5c50d94188e5a"/>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360" w:lineRule="auto"/>
            <w:ind w:left="-720"/>
            <w:jc w:val="center"/>
            <w:rPr>
              <w:b/>
              <w:bCs/>
              <w:szCs w:val="24"/>
            </w:rPr>
          </w:pPr>
          <w:r>
            <w:rPr>
              <w:b/>
              <w:bCs/>
              <w:szCs w:val="24"/>
            </w:rPr>
            <w:t>DĖL SPRENDIMŲ PROJEKTŲ NR. TSP-368 IR TSP-384</w:t>
          </w:r>
        </w:p>
        <w:p>
          <w:pPr>
            <w:ind w:left="-720"/>
            <w:jc w:val="center"/>
            <w:rPr>
              <w:szCs w:val="24"/>
            </w:rPr>
          </w:pPr>
          <w:r>
            <w:rPr>
              <w:szCs w:val="24"/>
            </w:rPr>
            <w:t>2025-07-01</w:t>
          </w:r>
        </w:p>
        <w:p>
          <w:pPr>
            <w:tabs>
              <w:tab w:val="left" w:pos="0"/>
            </w:tabs>
            <w:ind w:left="-720"/>
            <w:jc w:val="center"/>
            <w:rPr>
              <w:szCs w:val="24"/>
            </w:rPr>
          </w:pPr>
        </w:p>
        <w:sdt>
          <w:sdtPr>
            <w:alias w:val="preambule"/>
            <w:tag w:val="part_a4aab014d541404e8300f4534a8315c2"/>
            <w:lock w:val="sdtLocked"/>
            <w:richText/>
          </w:sdtPr>
          <w:sdtContent>
            <w:p>
              <w:pPr>
                <w:ind w:firstLine="434"/>
                <w:jc w:val="both"/>
                <w:rPr>
                  <w:szCs w:val="24"/>
                </w:rPr>
              </w:pPr>
              <w:r>
                <w:rPr>
                  <w:szCs w:val="24"/>
                </w:rPr>
                <w:t>Vadovaudamiesi Savivaldybių administracinės priežiūros įstatymu atlikome 2025-07-10  Šiaulių miesto savivaldybės tarybos posėdžiui teikiamų sprendimų projektų Nr. TSP-368 „</w:t>
              </w:r>
              <w:r>
                <w:rPr>
                  <w:color w:val="0D0D0D"/>
                  <w:szCs w:val="24"/>
                </w:rPr>
                <w:t>Dėl 2024 m. rugsėjo 19 d. Savivaldybės materialiojo turto panaudos sutarties Nr. SŽ-1473 nutraukimo</w:t>
              </w:r>
              <w:r>
                <w:rPr>
                  <w:szCs w:val="24"/>
                </w:rPr>
                <w:t>“ (toliau – TSP-368). bei TSP-384 “</w:t>
              </w:r>
              <w:r>
                <w:rPr>
                  <w:color w:val="0D0D0D"/>
                  <w:szCs w:val="24"/>
                </w:rPr>
                <w:t>Dėl nekilnojamojo turto, esančio Poilsio g. 10C, Šiauliuose, pirkimo ekonominio ir socialinio pagrindimo</w:t>
              </w:r>
              <w:r>
                <w:rPr>
                  <w:color w:val="0D0D0D"/>
                  <w:szCs w:val="24"/>
                </w:rPr>
                <w:t>“</w:t>
              </w:r>
              <w:r>
                <w:rPr>
                  <w:szCs w:val="24"/>
                </w:rPr>
                <w:t> išankstinę priežiūrą (toliau – TSP-384).</w:t>
              </w:r>
            </w:p>
            <w:p>
              <w:pPr>
                <w:jc w:val="both"/>
                <w:rPr>
                  <w:szCs w:val="24"/>
                </w:rPr>
              </w:pPr>
            </w:p>
          </w:sdtContent>
        </w:sdt>
        <w:sdt>
          <w:sdtPr>
            <w:alias w:val="1 p."/>
            <w:tag w:val="part_113c65fc46324b98afbac178f9c1123a"/>
            <w:lock w:val="sdtLocked"/>
            <w:richText/>
          </w:sdtPr>
          <w:sdtContent>
            <w:p>
              <w:pPr>
                <w:ind w:left="786"/>
                <w:jc w:val="both"/>
                <w:rPr>
                  <w:b/>
                  <w:bCs/>
                  <w:szCs w:val="24"/>
                </w:rPr>
              </w:pPr>
              <w:sdt>
                <w:sdtPr>
                  <w:alias w:val="Numeris"/>
                  <w:tag w:val="nr_113c65fc46324b98afbac178f9c1123a"/>
                  <w:lock w:val="sdtLocked"/>
                  <w:richText/>
                </w:sdtPr>
                <w:sdtContent>
                  <w:r>
                    <w:rPr>
                      <w:b/>
                      <w:bCs/>
                      <w:szCs w:val="24"/>
                    </w:rPr>
                    <w:t>1</w:t>
                  </w:r>
                </w:sdtContent>
              </w:sdt>
              <w:r>
                <w:rPr>
                  <w:b/>
                  <w:bCs/>
                  <w:szCs w:val="24"/>
                </w:rPr>
                <w:t>.</w:t>
                <w:tab/>
                <w:t>Dėl Sprendimo projekto TSP-368</w:t>
              </w:r>
            </w:p>
            <w:p>
              <w:pPr>
                <w:ind w:firstLine="144"/>
                <w:rPr>
                  <w:szCs w:val="24"/>
                </w:rPr>
              </w:pPr>
              <w:r>
                <w:rPr>
                  <w:szCs w:val="24"/>
                </w:rPr>
                <w:t>Šiame sprendimo projekte turėtų būti išbrauktas 1 punktas dėl galiojančios panaudos sutarties nutraukimo.</w:t>
              </w:r>
            </w:p>
            <w:p>
              <w:pPr>
                <w:ind w:firstLine="248"/>
                <w:rPr>
                  <w:szCs w:val="24"/>
                </w:rPr>
              </w:pPr>
              <w:r>
                <w:rPr>
                  <w:szCs w:val="24"/>
                </w:rPr>
                <w:t xml:space="preserve">Valstybės ir savivaldybių turto valdymo, naudojimo ir disponavimo juo įstatymo 14 str. 4 d. numatyta, kad „&lt;...&gt; Sprendimą dėl savivaldybės turto perdavimo pagal panaudos sutartį šio straipsnio 1 dalyje nurodytiems subjektams priima savivaldybės taryba ar jos įgaliota institucija.&lt;...&gt;“ Pagal teisinį reglamentavimą, </w:t>
              </w:r>
              <w:r>
                <w:rPr>
                  <w:szCs w:val="24"/>
                  <w:u w:val="single"/>
                </w:rPr>
                <w:t>sprendimą dėl savivaldybės turto perdavimo pagal panaudos sutartį priima savivaldybės taryba ar jos įgaliota institucija, o savivaldybės turto panaudos sutartį su panaudos subjektais sudaro (keičia, pildo ar nutraukia) savivaldybės turto valdytojas.</w:t>
              </w:r>
              <w:r>
                <w:rPr>
                  <w:szCs w:val="24"/>
                </w:rPr>
                <w:t xml:space="preserve"> </w:t>
              </w:r>
            </w:p>
            <w:p>
              <w:pPr>
                <w:ind w:firstLine="124"/>
                <w:rPr>
                  <w:szCs w:val="24"/>
                </w:rPr>
              </w:pPr>
              <w:r>
                <w:rPr>
                  <w:szCs w:val="24"/>
                </w:rPr>
                <w:t xml:space="preserve">Taigi, vadovaujantis Vietos savivaldos įstatyme nustatytu teisėtumo principu, kuris be kita ko apima ir tinkamų subjektų klausimą, Savivaldybė taryba gali  priimti sprendimą tik dėl Tarybos sprendimo, kurio pagrindu turtas buvo perduotas panaudos gavėjui, pakeitimo ar pripažinimo netekusiu galios,  o ne spręsti sutarties nutraukimo klausimą, kadangi ne savivaldybės taryba, o meras sudarė sutartį, jis po šio Sprendimo projekto ir sudarys panaudos sutarties nutraukimo susitarimą. </w:t>
              </w:r>
            </w:p>
            <w:p>
              <w:pPr>
                <w:rPr>
                  <w:sz w:val="14"/>
                  <w:szCs w:val="14"/>
                </w:rPr>
              </w:pPr>
            </w:p>
            <w:p>
              <w:pPr>
                <w:ind w:firstLine="186"/>
                <w:rPr>
                  <w:szCs w:val="24"/>
                </w:rPr>
              </w:pPr>
              <w:r>
                <w:rPr>
                  <w:szCs w:val="24"/>
                </w:rPr>
                <w:t xml:space="preserve">Atsižvelgiant į tai, taip pat galėtų būti išbrauktas projekto 2 punktas, kuriuo meras įgaliojamas pasirašyti panaudos sutarties nutraukimo sutartį ir priėmimo aktą – kadangi meras buvo įgaliotas pasirašyti panaudos sutartį 2024-09-05 Tarybos sprendimu Nr. T-343, tai minėto sprendimo pagrindu galėtų pasirašyti ir panaudos sutarties nutraukimo sutartį. </w:t>
              </w:r>
            </w:p>
            <w:p>
              <w:pPr>
                <w:rPr>
                  <w:sz w:val="14"/>
                  <w:szCs w:val="14"/>
                </w:rPr>
              </w:pPr>
            </w:p>
            <w:p>
              <w:pPr>
                <w:ind w:firstLine="62"/>
                <w:rPr>
                  <w:szCs w:val="24"/>
                </w:rPr>
              </w:pPr>
              <w:r>
                <w:rPr>
                  <w:szCs w:val="24"/>
                </w:rPr>
                <w:t xml:space="preserve">Siekiant užtikrinti sklandų  teikiamo Sprendimo projekto įgyvendinimą, siūlyčiau papildyti Sprendimo projektą nauju punktu arba 3 punktą (liekančiu  vienu punktu) numatant vėlesnį Sprendimo įsigaliojimą.</w:t>
              </w:r>
            </w:p>
            <w:p>
              <w:pPr>
                <w:rPr>
                  <w:sz w:val="14"/>
                  <w:szCs w:val="14"/>
                </w:rPr>
              </w:pPr>
            </w:p>
            <w:p>
              <w:pPr>
                <w:rPr>
                  <w:szCs w:val="24"/>
                </w:rPr>
              </w:pPr>
            </w:p>
            <w:p>
              <w:pPr>
                <w:rPr>
                  <w:sz w:val="14"/>
                  <w:szCs w:val="14"/>
                </w:rPr>
              </w:pPr>
            </w:p>
          </w:sdtContent>
        </w:sdt>
        <w:sdt>
          <w:sdtPr>
            <w:alias w:val="2 p."/>
            <w:tag w:val="part_0f1081334fd6450da3c273d256840da2"/>
            <w:lock w:val="sdtLocked"/>
            <w:richText/>
          </w:sdtPr>
          <w:sdtContent>
            <w:p>
              <w:pPr>
                <w:overflowPunct w:val="0"/>
                <w:ind w:left="786"/>
                <w:jc w:val="both"/>
                <w:textAlignment w:val="baseline"/>
                <w:rPr>
                  <w:b/>
                  <w:bCs/>
                  <w:szCs w:val="24"/>
                </w:rPr>
              </w:pPr>
              <w:sdt>
                <w:sdtPr>
                  <w:alias w:val="Numeris"/>
                  <w:tag w:val="nr_0f1081334fd6450da3c273d256840da2"/>
                  <w:lock w:val="sdtLocked"/>
                  <w:richText/>
                </w:sdtPr>
                <w:sdtContent>
                  <w:r>
                    <w:rPr>
                      <w:b/>
                      <w:bCs/>
                      <w:szCs w:val="24"/>
                    </w:rPr>
                    <w:t>2</w:t>
                  </w:r>
                </w:sdtContent>
              </w:sdt>
              <w:r>
                <w:rPr>
                  <w:b/>
                  <w:bCs/>
                  <w:szCs w:val="24"/>
                </w:rPr>
                <w:t>.</w:t>
                <w:tab/>
                <w:t xml:space="preserve">   Dėl Sprendimo projekto TSP-384</w:t>
              </w:r>
            </w:p>
            <w:p>
              <w:pPr>
                <w:jc w:val="both"/>
                <w:rPr>
                  <w:rFonts w:ascii="Calibri" w:hAnsi="Calibri"/>
                  <w:kern w:val="2"/>
                  <w:szCs w:val="24"/>
                </w:rPr>
              </w:pPr>
              <w:r>
                <w:rPr>
                  <w:rFonts w:ascii="Calibri" w:hAnsi="Calibri"/>
                  <w:kern w:val="2"/>
                  <w:szCs w:val="24"/>
                </w:rPr>
                <w:t xml:space="preserve">Pažymime, kad Vyriausybės 2017 m. gruodžio 13 d. nutarimu Nr. 1036 patvirtinto Žemės, esamų pastatų ar kitų nekilnojamųjų daiktų įsigijimo arba nuomos ar teisių į šiuos daiktus įsigijimo tvarkos aprašo 17 punkte numatyta, kad „Perkančioji organizacija, prieš priimdama sprendimą dėl pirkimo organizavimo, parengia Nekilnojamojo daikto pirkimo ekonominį ir (ar) socialinį pagrindimą, kuriame turi būti“.  18 punkte nurodyta, kad pagrindimą tvirtina perkančiosios organizacijos vadovas. </w:t>
              </w:r>
            </w:p>
            <w:p>
              <w:pPr>
                <w:ind w:firstLine="159"/>
                <w:jc w:val="both"/>
                <w:rPr>
                  <w:rFonts w:ascii="Calibri" w:hAnsi="Calibri"/>
                  <w:kern w:val="2"/>
                  <w:szCs w:val="24"/>
                </w:rPr>
              </w:pPr>
              <w:r>
                <w:rPr>
                  <w:rFonts w:ascii="Calibri" w:hAnsi="Calibri"/>
                  <w:kern w:val="2"/>
                  <w:szCs w:val="24"/>
                </w:rPr>
                <w:t>Kadangi pirkimą ir visus su turto įsigijimu reikiamus veiksmus (kvietimai, derybos, sutarties pasirašymas) atliks perkančioji organizacija – administracija, o</w:t>
              </w:r>
              <w:r>
                <w:rPr>
                  <w:rFonts w:ascii="Calibri" w:hAnsi="Calibri"/>
                  <w:b/>
                  <w:bCs/>
                  <w:kern w:val="2"/>
                  <w:szCs w:val="24"/>
                </w:rPr>
                <w:t xml:space="preserve"> </w:t>
              </w:r>
              <w:r>
                <w:rPr>
                  <w:rFonts w:ascii="Calibri" w:hAnsi="Calibri"/>
                  <w:kern w:val="2"/>
                  <w:szCs w:val="24"/>
                </w:rPr>
                <w:t xml:space="preserve">ne savivaldybės taryba, nekilnojamojo daikto pirkimo ekonominį ir socialinį pagrindimą turėtų tvirtinti administracijos direktorius. Nei šis Vyriausybės nutarimas nei Vietos savivaldos įstatymas nepriskiria savivaldybės tarybos kompetencijai daikto pirkimo ekonominio socialinio pagrindimo tvirtinimo.  Atkreiptinas dėmesys į  nurodyto Vyriausybės nutarimo aprašo 67 ir 69 punktus, kad perkant daiktą savivaldybės vardu jos nuosavybėn, sprendimas dėl laimėjusio kandidato ir sutarties sudarymo priimamas tarybos nustatyta tvarka, todėl nesant tokios tvarkos Taryba galėtų nebent pritarti tokio daikto pirkimui. </w:t>
              </w:r>
            </w:p>
            <w:p>
              <w:pPr>
                <w:jc w:val="both"/>
                <w:rPr>
                  <w:color w:val="000000"/>
                  <w:szCs w:val="24"/>
                </w:rPr>
              </w:pPr>
            </w:p>
            <w:p>
              <w:pPr>
                <w:jc w:val="both"/>
                <w:rPr>
                  <w:szCs w:val="24"/>
                </w:rPr>
              </w:pPr>
              <w:r>
                <w:rPr>
                  <w:szCs w:val="24"/>
                </w:rPr>
                <w:t xml:space="preserve">Atsižvelgiant į tai, kas pateikta aukščiau, prašyčiau iš esmės tikslinti Sprendimo projektą TSP – 368  bei atsisakyti Sprendimo projekto TSP 384 (arba jį taip pat iš esmės tikslinti) bei informuoti, ar į pateiktus siūlymus bus atsižvelgta, jei atsižvelgta nebus,  prašome nurodyti to priežastis.</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3c2e81672f2140a29ca1948b480c6f7b"/>
            <w:lock w:val="sdtLocked"/>
            <w:richText/>
          </w:sdtPr>
          <w:sdtContent>
            <w:p>
              <w:pPr>
                <w:ind w:firstLine="124"/>
                <w:rPr>
                  <w:szCs w:val="24"/>
                </w:rPr>
              </w:pPr>
              <w:r>
                <w:rPr>
                  <w:szCs w:val="24"/>
                </w:rPr>
                <w:t xml:space="preserve">Vyriausybės atstovas Šiaulių ir Telšių apskrityse </w:t>
              </w:r>
            </w:p>
            <w:p>
              <w:pPr>
                <w:ind w:firstLine="124"/>
                <w:rPr>
                  <w:szCs w:val="24"/>
                </w:rPr>
              </w:pP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568"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24704">
      <w:bodyDiv w:val="1"/>
      <w:marLeft w:val="0"/>
      <w:marRight w:val="0"/>
      <w:marTop w:val="0"/>
      <w:marBottom w:val="0"/>
      <w:divBdr>
        <w:top w:val="none" w:sz="0" w:space="0" w:color="auto"/>
        <w:left w:val="none" w:sz="0" w:space="0" w:color="auto"/>
        <w:bottom w:val="none" w:sz="0" w:space="0" w:color="auto"/>
        <w:right w:val="none" w:sz="0" w:space="0" w:color="auto"/>
      </w:divBdr>
    </w:div>
    <w:div w:id="82455876">
      <w:bodyDiv w:val="1"/>
      <w:marLeft w:val="0"/>
      <w:marRight w:val="0"/>
      <w:marTop w:val="0"/>
      <w:marBottom w:val="0"/>
      <w:divBdr>
        <w:top w:val="none" w:sz="0" w:space="0" w:color="auto"/>
        <w:left w:val="none" w:sz="0" w:space="0" w:color="auto"/>
        <w:bottom w:val="none" w:sz="0" w:space="0" w:color="auto"/>
        <w:right w:val="none" w:sz="0" w:space="0" w:color="auto"/>
      </w:divBdr>
    </w:div>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330060936">
      <w:bodyDiv w:val="1"/>
      <w:marLeft w:val="0"/>
      <w:marRight w:val="0"/>
      <w:marTop w:val="0"/>
      <w:marBottom w:val="0"/>
      <w:divBdr>
        <w:top w:val="none" w:sz="0" w:space="0" w:color="auto"/>
        <w:left w:val="none" w:sz="0" w:space="0" w:color="auto"/>
        <w:bottom w:val="none" w:sz="0" w:space="0" w:color="auto"/>
        <w:right w:val="none" w:sz="0" w:space="0" w:color="auto"/>
      </w:divBdr>
    </w:div>
    <w:div w:id="406418495">
      <w:bodyDiv w:val="1"/>
      <w:marLeft w:val="0"/>
      <w:marRight w:val="0"/>
      <w:marTop w:val="0"/>
      <w:marBottom w:val="0"/>
      <w:divBdr>
        <w:top w:val="none" w:sz="0" w:space="0" w:color="auto"/>
        <w:left w:val="none" w:sz="0" w:space="0" w:color="auto"/>
        <w:bottom w:val="none" w:sz="0" w:space="0" w:color="auto"/>
        <w:right w:val="none" w:sz="0" w:space="0" w:color="auto"/>
      </w:divBdr>
    </w:div>
    <w:div w:id="444275949">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608125944">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710689588">
      <w:bodyDiv w:val="1"/>
      <w:marLeft w:val="0"/>
      <w:marRight w:val="0"/>
      <w:marTop w:val="0"/>
      <w:marBottom w:val="0"/>
      <w:divBdr>
        <w:top w:val="none" w:sz="0" w:space="0" w:color="auto"/>
        <w:left w:val="none" w:sz="0" w:space="0" w:color="auto"/>
        <w:bottom w:val="none" w:sz="0" w:space="0" w:color="auto"/>
        <w:right w:val="none" w:sz="0" w:space="0" w:color="auto"/>
      </w:divBdr>
    </w:div>
    <w:div w:id="780300025">
      <w:bodyDiv w:val="1"/>
      <w:marLeft w:val="0"/>
      <w:marRight w:val="0"/>
      <w:marTop w:val="0"/>
      <w:marBottom w:val="0"/>
      <w:divBdr>
        <w:top w:val="none" w:sz="0" w:space="0" w:color="auto"/>
        <w:left w:val="none" w:sz="0" w:space="0" w:color="auto"/>
        <w:bottom w:val="none" w:sz="0" w:space="0" w:color="auto"/>
        <w:right w:val="none" w:sz="0" w:space="0" w:color="auto"/>
      </w:divBdr>
    </w:div>
    <w:div w:id="803930543">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0196684">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249265674">
      <w:bodyDiv w:val="1"/>
      <w:marLeft w:val="0"/>
      <w:marRight w:val="0"/>
      <w:marTop w:val="0"/>
      <w:marBottom w:val="0"/>
      <w:divBdr>
        <w:top w:val="none" w:sz="0" w:space="0" w:color="auto"/>
        <w:left w:val="none" w:sz="0" w:space="0" w:color="auto"/>
        <w:bottom w:val="none" w:sz="0" w:space="0" w:color="auto"/>
        <w:right w:val="none" w:sz="0" w:space="0" w:color="auto"/>
      </w:divBdr>
    </w:div>
    <w:div w:id="1382710111">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245561">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65be32959c14b81bf818c48d06b3570" PartId="de6628e27c434c0f84b5c50d94188e5a">
    <Part Type="preambule" DocPartId="1a90a4382a6d4ba8a98c4385e336853b" PartId="a4aab014d541404e8300f4534a8315c2"/>
    <Part Type="punktas" Nr="1" Abbr="1 p." DocPartId="57304e540e7f47ce8d8757d743ea888a" PartId="113c65fc46324b98afbac178f9c1123a"/>
    <Part Type="punktas" Nr="2" Abbr="2 p." DocPartId="a00f4f5d680e4c2c81652a2b7463c4c4" PartId="0f1081334fd6450da3c273d256840da2"/>
    <Part Type="signatura" DocPartId="99c00efd96984b07886ee113a9583055" PartId="3c2e81672f2140a29ca1948b480c6f7b"/>
  </Part>
</Parts>
</file>

<file path=customXml/itemProps1.xml><?xml version="1.0" encoding="utf-8"?>
<ds:datastoreItem xmlns:ds="http://schemas.openxmlformats.org/officeDocument/2006/customXml" ds:itemID="{84C546A8-B2D4-429F-8B09-7C485B2C4A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579</Words>
  <Characters>4033</Characters>
  <Application>Microsoft Office Word</Application>
  <DocSecurity>4</DocSecurity>
  <Lines>70</Lines>
  <Paragraphs>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4592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2025-07-01T13:19:00Z</dcterms:created>
  <dc:creator>Jūratė Šimkuvienė</dc:creator>
  <lastModifiedBy>adlibuser</lastModifiedBy>
  <dcterms:modified xsi:type="dcterms:W3CDTF">2025-07-01T13:19:00Z</dcterms:modified>
  <revision>2</revision>
</coreProperties>
</file>