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6b8e5bfb50a43db8c3f0166dd7b6957"/>
        <w:lock w:val="sdtLocked"/>
        <w:richText/>
      </w:sdtPr>
      <w:sdtContent>
        <w:p>
          <w:pPr>
            <w:tabs>
              <w:tab w:val="center" w:pos="4320"/>
              <w:tab w:val="right" w:pos="8640"/>
            </w:tabs>
            <w:jc w:val="center"/>
            <w:rPr>
              <w:szCs w:val="24"/>
            </w:rPr>
          </w:pPr>
        </w:p>
        <w:p>
          <w:pPr>
            <w:tabs>
              <w:tab w:val="center" w:pos="4320"/>
              <w:tab w:val="right" w:pos="8640"/>
            </w:tabs>
            <w:rPr>
              <w:szCs w:val="24"/>
            </w:rPr>
          </w:pPr>
        </w:p>
        <w:p>
          <w:pPr>
            <w:jc w:val="center"/>
            <w:rPr>
              <w:b/>
              <w:bCs/>
              <w:szCs w:val="24"/>
              <w:lang w:eastAsia="lt-LT"/>
            </w:rPr>
          </w:pPr>
          <w:r>
            <w:rPr>
              <w:b/>
              <w:bCs/>
              <w:szCs w:val="24"/>
              <w:lang w:eastAsia="lt-LT"/>
            </w:rPr>
            <w:t xml:space="preserve">LIETUVOS RESPUBLIKOS SVEIKATOS APSAUGOS MINISTRO ĮSAKYMO „DĖL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 PROJEKTO AIŠKINAMASIS RAŠTAS</w:t>
          </w:r>
        </w:p>
        <w:p>
          <w:pPr>
            <w:jc w:val="center"/>
            <w:rPr>
              <w:b/>
              <w:bCs/>
              <w:szCs w:val="24"/>
              <w:lang w:eastAsia="lt-LT"/>
            </w:rPr>
          </w:pPr>
        </w:p>
        <w:p>
          <w:pPr>
            <w:rPr>
              <w:szCs w:val="24"/>
              <w:highlight w:val="yellow"/>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47"/>
          </w:tblGrid>
          <w:tr>
            <w:trPr>
              <w:trHeight w:val="1014"/>
            </w:trPr>
            <w:tc>
              <w:tcPr>
                <w:tcW w:w="9747" w:type="dxa"/>
                <w:tcMar>
                  <w:top w:w="113" w:type="dxa"/>
                  <w:bottom w:w="113" w:type="dxa"/>
                </w:tcMar>
              </w:tcPr>
              <w:p>
                <w:pPr>
                  <w:tabs>
                    <w:tab w:val="left" w:pos="455"/>
                  </w:tabs>
                  <w:ind w:left="30"/>
                  <w:rPr>
                    <w:b/>
                    <w:szCs w:val="24"/>
                  </w:rPr>
                </w:pPr>
                <w:r>
                  <w:rPr>
                    <w:b/>
                    <w:szCs w:val="24"/>
                  </w:rPr>
                  <w:t>1.</w:t>
                  <w:tab/>
                  <w:t>Įsakymo projekto pavadinimas:</w:t>
                </w:r>
              </w:p>
              <w:p>
                <w:pPr>
                  <w:tabs>
                    <w:tab w:val="num" w:pos="455"/>
                  </w:tabs>
                  <w:ind w:left="30"/>
                  <w:rPr>
                    <w:color w:val="000000"/>
                    <w:szCs w:val="24"/>
                  </w:rPr>
                </w:pPr>
                <w:r>
                  <w:rPr>
                    <w:szCs w:val="24"/>
                  </w:rPr>
                  <w:t xml:space="preserve">Lietuvos Respublikos sveikatos apsaugos ministro įsakymo „Dėl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 projektas (toliau – projektas).</w:t>
                </w:r>
              </w:p>
            </w:tc>
          </w:tr>
          <w:tr>
            <w:trPr>
              <w:trHeight w:val="699"/>
            </w:trPr>
            <w:tc>
              <w:tcPr>
                <w:tcW w:w="9747" w:type="dxa"/>
                <w:tcMar>
                  <w:top w:w="113" w:type="dxa"/>
                  <w:bottom w:w="113" w:type="dxa"/>
                </w:tcMar>
              </w:tcPr>
              <w:p>
                <w:pPr>
                  <w:tabs>
                    <w:tab w:val="left" w:pos="455"/>
                  </w:tabs>
                  <w:ind w:left="30"/>
                  <w:rPr>
                    <w:b/>
                    <w:szCs w:val="24"/>
                  </w:rPr>
                </w:pPr>
                <w:r>
                  <w:rPr>
                    <w:b/>
                    <w:szCs w:val="24"/>
                  </w:rPr>
                  <w:t>2.</w:t>
                  <w:tab/>
                  <w:t>Įsakymo projekto tikslas (ko įsakymo projektu norima pasiekti, kokių teigiamų rezultatų laukiama):</w:t>
                </w:r>
              </w:p>
              <w:p>
                <w:pPr>
                  <w:tabs>
                    <w:tab w:val="num" w:pos="455"/>
                    <w:tab w:val="left" w:pos="567"/>
                  </w:tabs>
                  <w:ind w:left="30"/>
                  <w:rPr>
                    <w:rFonts w:eastAsia="Calibri"/>
                    <w:szCs w:val="24"/>
                  </w:rPr>
                </w:pPr>
                <w:r>
                  <w:rPr>
                    <w:rFonts w:eastAsia="Calibri"/>
                    <w:szCs w:val="24"/>
                  </w:rPr>
                  <w:t xml:space="preserve">Projekto tikslas: </w:t>
                </w:r>
              </w:p>
              <w:p>
                <w:pPr>
                  <w:tabs>
                    <w:tab w:val="num" w:pos="455"/>
                    <w:tab w:val="left" w:pos="567"/>
                  </w:tabs>
                  <w:ind w:left="30"/>
                  <w:rPr>
                    <w:bCs/>
                    <w:szCs w:val="24"/>
                  </w:rPr>
                </w:pPr>
                <w:r>
                  <w:rPr>
                    <w:bCs/>
                    <w:szCs w:val="24"/>
                  </w:rPr>
                  <w:t xml:space="preserve">1. Patikslinti Sveikatos priežiūros kokybės ir efektyvumo didinimo plėtros programos pažangos priemonės Nr. 11-002-02-11-01 „Gerinti sveikatos priežiūros paslaugų kokybę ir prieinamumą“ (toliau – Priemonė) apraše </w:t>
                </w:r>
                <w:r>
                  <w:rPr>
                    <w:szCs w:val="24"/>
                  </w:rPr>
                  <w:t>numatytų stebėsenos rodiklių („</w:t>
                </w:r>
                <w:r>
                  <w:rPr>
                    <w:bCs/>
                    <w:szCs w:val="24"/>
                  </w:rPr>
                  <w:t>Naujos arba modernizuotos sveikatos priežiūros infrastruktūros naudotojų skaičius per metus“, „Naujos arba modernizuotos sveikatos priežiūros infrastruktūros talpumas“ ir „Tikslinių grupių asmenys, gavę naujas ar patobulintas psichikos sveikatos priežiūros paslaugas“) siektinas reikšmes, kad atitiktų 2021–2027 metų Europos Sąjungos fondų investicijų programoje (toliau – Investicijų programa) nustatytas šių rodiklių siektinas reikšmes.</w:t>
                </w:r>
              </w:p>
              <w:p>
                <w:pPr>
                  <w:tabs>
                    <w:tab w:val="num" w:pos="455"/>
                    <w:tab w:val="left" w:pos="567"/>
                  </w:tabs>
                  <w:ind w:left="30"/>
                  <w:rPr>
                    <w:rFonts w:eastAsia="Calibri"/>
                    <w:szCs w:val="24"/>
                  </w:rPr>
                </w:pPr>
                <w:r>
                  <w:rPr>
                    <w:bCs/>
                    <w:szCs w:val="24"/>
                  </w:rPr>
                  <w:t>2. Papildyti Priemonės aprašo veiklą</w:t>
                </w:r>
                <w:r>
                  <w:rPr>
                    <w:szCs w:val="24"/>
                  </w:rPr>
                  <w:t xml:space="preserve"> „</w:t>
                </w:r>
                <w:r>
                  <w:rPr>
                    <w:bCs/>
                    <w:szCs w:val="24"/>
                  </w:rPr>
                  <w:t>3. Pažangių ir įrodymais pagrįstų technologijų sveikatos sektoriuje diegimas“ naujomis 3.6 ir 3.7 poveiklėmis, kurios skirtos įgyvendinti Investicijų programoje numatytas investicijas į integruotos sveikatos priežiūros paslaugų (onkologijos srityje) teikimo infrastruktūros tobulinimą, kad savivaldybių gyventojai laiku gautų aukščiausio lygio, geros kokybės sveikatos priežiūros paslaugas, bei įgyvendinti Lietuvos Respublikos Vyriausybės programos nuostatų įgyvendinimo plano veiksmą „3.4.3. Sukurti nacionalinę personalizuotos medicinos onkogenetikos duomenų informacinę infrastruktūrą, apimančią naujos kartos sekoskaitos onkogenetinių duomenų bioinformatinius bei jų klinikinės interpretacijos įrankius, prieigą onkologijos klasterio ASPĮ ir integraciją su biobankais“.</w:t>
                </w:r>
              </w:p>
            </w:tc>
          </w:tr>
          <w:tr>
            <w:tc>
              <w:tcPr>
                <w:tcW w:w="9747" w:type="dxa"/>
                <w:tcMar>
                  <w:top w:w="113" w:type="dxa"/>
                  <w:bottom w:w="113" w:type="dxa"/>
                </w:tcMar>
              </w:tcPr>
              <w:p>
                <w:pPr>
                  <w:tabs>
                    <w:tab w:val="left" w:pos="455"/>
                  </w:tabs>
                  <w:ind w:left="30"/>
                  <w:rPr>
                    <w:b/>
                    <w:bCs/>
                    <w:szCs w:val="24"/>
                  </w:rPr>
                </w:pPr>
                <w:r>
                  <w:rPr>
                    <w:b/>
                    <w:bCs/>
                    <w:szCs w:val="24"/>
                  </w:rPr>
                  <w:t>3.</w:t>
                  <w:tab/>
                  <w:t>Įsakymo projekto esmė (kaip teisiniai santykiai yra reglamentuojami dabar ir kaip pasikeis jų reglamentavimas priėmus ministro įsakymo projektą, kokios numatomos naujos teisinio reglamentavimo nuostatos, naujai reglamentuotų klausimų teigiamos ir neigiamos pasekmės, kokių priemonių reikėtų imtis, kad neigiamų pasekmių būtų išvengta):</w:t>
                </w:r>
              </w:p>
              <w:p>
                <w:pPr>
                  <w:tabs>
                    <w:tab w:val="num" w:pos="455"/>
                    <w:tab w:val="left" w:pos="567"/>
                  </w:tabs>
                  <w:ind w:left="30"/>
                  <w:rPr>
                    <w:szCs w:val="24"/>
                  </w:rPr>
                </w:pPr>
                <w:r>
                  <w:rPr>
                    <w:szCs w:val="24"/>
                  </w:rPr>
                  <w:t xml:space="preserve">1. Patvirtinus projektą, Priemonės apraše numatytų stebėsenos rodiklių siektinos reikšmės atitiks Investicijų programoje nustatytas reikšmes, kurios, įvertinus projektuose jau suplanuotas reikšmes, buvo suderintos su Finansų ministerija bei Europos Komisija ir patvirtintos su Investicijų programos keitimu (EK 2026.02.25 sprendimu Nr. C(2026) 1397 I). </w:t>
                </w:r>
              </w:p>
              <w:p>
                <w:pPr>
                  <w:tabs>
                    <w:tab w:val="num" w:pos="455"/>
                    <w:tab w:val="left" w:pos="567"/>
                  </w:tabs>
                  <w:ind w:left="30"/>
                  <w:rPr>
                    <w:szCs w:val="24"/>
                  </w:rPr>
                </w:pPr>
                <w:r>
                  <w:rPr>
                    <w:szCs w:val="24"/>
                  </w:rPr>
                  <w:t>2. Patvirtinus projektą Priemonės apraše bus patvirtintos naujos 3.6 ir 3.7 poveiklės ir sudaryta galimybė įgyvendinti Investicijų programoje numatytą veiksmą, skirtą integruotos sveikatos priežiūros paslaugų (onkologijos srityje) teikimo infrastruktūros tobulinimui, bei Lietuvos Respublikos Vyriausybės programos nuostatų įgyvendinimo plano veiksmą 3.4.3. Naujų 3.6 ir 3.7 poveiklių įgyvendinimui bus suplanuotas projektas, kurio tikslas sukurti nacionalinę personalizuotos medicinos onkogenetikos duomenų informacinę infrastruktūrą ir prisidėti prie integruotos sveikatos priežiūros paslaugų (onkologijos srityje) kokybės bei prieinamumo gerinimo. ES fondų ir bendrojo finansavimo lėšos naujoms poveiklėms įgyvendinti perskirstomos iš 6 veiklos 6.5. poveiklės ir 7 veiklos 7.1 ir 7.2 poveiklių, kurių įgyvendinimui visi projektai jau suplanuoti ir vykdomi, o nauji kvietimai nebus skelbiami.</w:t>
                </w:r>
              </w:p>
            </w:tc>
          </w:tr>
          <w:tr>
            <w:trPr>
              <w:trHeight w:val="300"/>
            </w:trPr>
            <w:tc>
              <w:tcPr>
                <w:tcW w:w="9747" w:type="dxa"/>
                <w:tcMar>
                  <w:top w:w="113" w:type="dxa"/>
                  <w:bottom w:w="113" w:type="dxa"/>
                </w:tcMar>
              </w:tcPr>
              <w:p>
                <w:pPr>
                  <w:tabs>
                    <w:tab w:val="left" w:pos="455"/>
                  </w:tabs>
                  <w:ind w:left="30"/>
                  <w:rPr>
                    <w:b/>
                    <w:bCs/>
                    <w:szCs w:val="24"/>
                  </w:rPr>
                </w:pPr>
                <w:r>
                  <w:rPr>
                    <w:b/>
                    <w:bCs/>
                    <w:szCs w:val="24"/>
                  </w:rPr>
                  <w:t>4.</w:t>
                  <w:tab/>
                  <w:t>Įsakymo projekto poveikio vertinimas:</w:t>
                </w:r>
              </w:p>
              <w:p>
                <w:pPr>
                  <w:tabs>
                    <w:tab w:val="num" w:pos="455"/>
                  </w:tabs>
                  <w:ind w:left="30"/>
                  <w:rPr>
                    <w:b/>
                    <w:bCs/>
                    <w:szCs w:val="24"/>
                  </w:rPr>
                </w:pPr>
                <w:r>
                  <w:rPr>
                    <w:b/>
                    <w:bCs/>
                    <w:szCs w:val="24"/>
                  </w:rPr>
                  <w:t>4.1. Atitinkamai sričiai:</w:t>
                </w:r>
              </w:p>
              <w:p>
                <w:pPr>
                  <w:tabs>
                    <w:tab w:val="num" w:pos="455"/>
                  </w:tabs>
                  <w:ind w:left="30"/>
                  <w:rPr>
                    <w:szCs w:val="24"/>
                  </w:rPr>
                </w:pPr>
                <w:r>
                  <w:rPr>
                    <w:szCs w:val="24"/>
                  </w:rPr>
                  <w:t>Priėmus Projektą, bus sudaryta galimybė spartesniam 2021–2027 metų ES fondų investicijų panaudojimui sveikatos priežiūros srityje, t. y. suplanuoti ir pradėti įgyvendinti projektą, skirtą integruotos sveikatos priežiūros paslaugų (onkologijos srityje) teikimo infrastruktūros tobulinimui sukuriant nacionalinę personalizuotos medicinos onkogenetikos duomenų informacinę infrastruktūrą.</w:t>
                </w:r>
              </w:p>
              <w:p>
                <w:pPr>
                  <w:tabs>
                    <w:tab w:val="num" w:pos="455"/>
                  </w:tabs>
                  <w:ind w:left="30"/>
                  <w:rPr>
                    <w:b/>
                    <w:bCs/>
                    <w:szCs w:val="24"/>
                  </w:rPr>
                </w:pPr>
                <w:r>
                  <w:rPr>
                    <w:b/>
                    <w:bCs/>
                    <w:szCs w:val="24"/>
                  </w:rPr>
                  <w:t>4.2. Asmenų, valstybės ir savivaldybių institucijų ir įstaigų administracinei naštai (kai projektu siūloma šiems subjektams nustatyti naujus, keisti, naikinti galiojančius informacinius įpareigojimus. Informacinis įpareigojimas – teisės aktuose nustatytas įpareigojimas nustatytais atvejais teikti atitinkamą informaciją nustatytoms valstybės ir savivaldybių institucijoms ar įstaigoms arba jų įgaliotiems asmenims):</w:t>
                </w:r>
              </w:p>
              <w:p>
                <w:pPr>
                  <w:tabs>
                    <w:tab w:val="num" w:pos="455"/>
                  </w:tabs>
                  <w:ind w:left="30"/>
                  <w:rPr>
                    <w:szCs w:val="24"/>
                  </w:rPr>
                </w:pPr>
                <w:r>
                  <w:rPr>
                    <w:szCs w:val="24"/>
                  </w:rPr>
                  <w:t>Projektu papildoma administracinė našta nesukuriama.</w:t>
                </w:r>
              </w:p>
              <w:p>
                <w:pPr>
                  <w:tabs>
                    <w:tab w:val="num" w:pos="455"/>
                  </w:tabs>
                  <w:ind w:left="30"/>
                  <w:rPr>
                    <w:b/>
                    <w:bCs/>
                    <w:szCs w:val="24"/>
                  </w:rPr>
                </w:pPr>
                <w:r>
                  <w:rPr>
                    <w:b/>
                    <w:bCs/>
                    <w:szCs w:val="24"/>
                  </w:rPr>
                  <w:t>4.3. Finansams (įvertinamas galimas poveikis valstybės biudžetui ir (ar) savivaldybių biudžetams, finansiniams įsipareigojimams ir kita):</w:t>
                </w:r>
              </w:p>
              <w:p>
                <w:pPr>
                  <w:tabs>
                    <w:tab w:val="num" w:pos="455"/>
                  </w:tabs>
                  <w:ind w:left="30"/>
                  <w:rPr>
                    <w:szCs w:val="24"/>
                  </w:rPr>
                </w:pPr>
                <w:r>
                  <w:rPr>
                    <w:szCs w:val="24"/>
                  </w:rPr>
                  <w:t>Projektui įgyvendinti papildomų lėšų nereikės.</w:t>
                </w:r>
              </w:p>
              <w:p>
                <w:pPr>
                  <w:tabs>
                    <w:tab w:val="num" w:pos="455"/>
                  </w:tabs>
                  <w:ind w:left="30"/>
                  <w:rPr>
                    <w:b/>
                    <w:bCs/>
                    <w:szCs w:val="24"/>
                  </w:rPr>
                </w:pPr>
                <w:r>
                  <w:rPr>
                    <w:b/>
                    <w:bCs/>
                    <w:szCs w:val="24"/>
                  </w:rPr>
                  <w:t>4.4. Prireikus kitoms sritims (ekonomikai, socialinei aplinkai, aplinkai ir klimato kaitai, regionų plėtrai, kt.):</w:t>
                </w:r>
              </w:p>
              <w:p>
                <w:pPr>
                  <w:tabs>
                    <w:tab w:val="num" w:pos="455"/>
                  </w:tabs>
                  <w:ind w:left="30"/>
                  <w:rPr>
                    <w:szCs w:val="24"/>
                  </w:rPr>
                </w:pPr>
                <w:r>
                  <w:rPr>
                    <w:szCs w:val="24"/>
                  </w:rPr>
                  <w:t>-</w:t>
                </w:r>
              </w:p>
            </w:tc>
          </w:tr>
          <w:tr>
            <w:trPr>
              <w:trHeight w:val="416"/>
            </w:trPr>
            <w:tc>
              <w:tcPr>
                <w:tcW w:w="9747" w:type="dxa"/>
                <w:tcMar>
                  <w:top w:w="113" w:type="dxa"/>
                  <w:bottom w:w="113" w:type="dxa"/>
                </w:tcMar>
              </w:tcPr>
              <w:p>
                <w:pPr>
                  <w:tabs>
                    <w:tab w:val="left" w:pos="455"/>
                  </w:tabs>
                  <w:ind w:left="30"/>
                  <w:rPr>
                    <w:b/>
                    <w:bCs/>
                    <w:szCs w:val="24"/>
                  </w:rPr>
                </w:pPr>
                <w:r>
                  <w:rPr>
                    <w:b/>
                    <w:bCs/>
                    <w:szCs w:val="24"/>
                  </w:rPr>
                  <w:t>5.</w:t>
                  <w:tab/>
                  <w:t>Įsakymo projekto derinimas (projekto numeris TAIS, kai projektas jau derintas, su kokiomis institucijomis įsakymo projektas derintas ar numatomas derinti, jei derintas, ar atsižvelgta į pateiktas pastabas):</w:t>
                </w:r>
              </w:p>
              <w:p>
                <w:pPr>
                  <w:tabs>
                    <w:tab w:val="num" w:pos="455"/>
                  </w:tabs>
                  <w:ind w:left="30"/>
                  <w:rPr>
                    <w:szCs w:val="24"/>
                  </w:rPr>
                </w:pPr>
                <w:r>
                  <w:rPr>
                    <w:color w:val="000000"/>
                    <w:szCs w:val="24"/>
                  </w:rPr>
                  <w:t>Projektas paskelbtas TAIS - Nr.</w:t>
                </w:r>
                <w:r>
                  <w:rPr>
                    <w:rFonts w:ascii="Arial" w:hAnsi="Arial" w:cs="Arial"/>
                    <w:color w:val="333333"/>
                    <w:sz w:val="20"/>
                    <w:shd w:val="clear" w:color="auto" w:fill="FFFFFF"/>
                  </w:rPr>
                  <w:t xml:space="preserve"> </w:t>
                </w:r>
                <w:r>
                  <w:rPr>
                    <w:color w:val="000000"/>
                    <w:szCs w:val="24"/>
                  </w:rPr>
                  <w:t xml:space="preserve">26-10010. </w:t>
                </w:r>
              </w:p>
            </w:tc>
          </w:tr>
          <w:tr>
            <w:trPr>
              <w:trHeight w:val="714"/>
            </w:trPr>
            <w:tc>
              <w:tcPr>
                <w:tcW w:w="9747" w:type="dxa"/>
                <w:tcMar>
                  <w:top w:w="113" w:type="dxa"/>
                  <w:bottom w:w="113" w:type="dxa"/>
                </w:tcMar>
              </w:tcPr>
              <w:p>
                <w:pPr>
                  <w:tabs>
                    <w:tab w:val="left" w:pos="455"/>
                  </w:tabs>
                  <w:ind w:left="30"/>
                  <w:rPr>
                    <w:b/>
                    <w:szCs w:val="24"/>
                  </w:rPr>
                </w:pPr>
                <w:r>
                  <w:rPr>
                    <w:b/>
                    <w:szCs w:val="24"/>
                  </w:rPr>
                  <w:t>6.</w:t>
                  <w:tab/>
                  <w:t>Kiti paaiškinimai, kurie, įsakymo projekto rengėjų nuomone, yra būtini:</w:t>
                </w:r>
              </w:p>
              <w:p>
                <w:pPr>
                  <w:tabs>
                    <w:tab w:val="num" w:pos="455"/>
                  </w:tabs>
                  <w:ind w:left="30"/>
                  <w:rPr>
                    <w:szCs w:val="24"/>
                  </w:rPr>
                </w:pPr>
                <w:r>
                  <w:rPr>
                    <w:szCs w:val="24"/>
                  </w:rPr>
                  <w:t>Nėra.</w:t>
                </w:r>
              </w:p>
            </w:tc>
          </w:tr>
          <w:tr>
            <w:trPr>
              <w:trHeight w:val="1136"/>
            </w:trPr>
            <w:tc>
              <w:tcPr>
                <w:tcW w:w="9747" w:type="dxa"/>
                <w:tcMar>
                  <w:top w:w="113" w:type="dxa"/>
                  <w:bottom w:w="113" w:type="dxa"/>
                </w:tcMar>
              </w:tcPr>
              <w:p>
                <w:pPr>
                  <w:tabs>
                    <w:tab w:val="left" w:pos="455"/>
                  </w:tabs>
                  <w:ind w:left="30"/>
                  <w:rPr>
                    <w:b/>
                    <w:szCs w:val="24"/>
                  </w:rPr>
                </w:pPr>
                <w:r>
                  <w:rPr>
                    <w:b/>
                    <w:szCs w:val="24"/>
                  </w:rPr>
                  <w:t>7.</w:t>
                  <w:tab/>
                  <w:t>Įsakymo projekto autorius ar autorių grupė:</w:t>
                </w:r>
              </w:p>
              <w:p>
                <w:pPr>
                  <w:tabs>
                    <w:tab w:val="num" w:pos="455"/>
                  </w:tabs>
                  <w:ind w:left="30"/>
                  <w:rPr>
                    <w:bCs/>
                    <w:color w:val="000000"/>
                    <w:szCs w:val="24"/>
                    <w:lang w:eastAsia="lt-LT"/>
                  </w:rPr>
                </w:pPr>
                <w:r>
                  <w:rPr>
                    <w:bCs/>
                    <w:color w:val="000000"/>
                    <w:szCs w:val="24"/>
                    <w:lang w:eastAsia="lt-LT"/>
                  </w:rPr>
                  <w:t>Įsakymo projektą parengė Audrius Rukanskas, Strateginio valdymo departamento Strateginio planavimo skyriaus (vedėja R. Banuškevičienė (tel.</w:t>
                </w:r>
                <w:r>
                  <w:rPr>
                    <w:rFonts w:ascii="TimesLT" w:hAnsi="TimesLT"/>
                    <w:caps/>
                    <w:szCs w:val="24"/>
                    <w:lang w:eastAsia="lt-LT"/>
                  </w:rPr>
                  <w:t xml:space="preserve"> 0 5 260 4712, </w:t>
                </w:r>
                <w:r>
                  <w:rPr>
                    <w:bCs/>
                    <w:color w:val="000000"/>
                    <w:szCs w:val="24"/>
                    <w:lang w:eastAsia="lt-LT"/>
                  </w:rPr>
                  <w:t xml:space="preserve">el. p. </w:t>
                </w:r>
                <w:r>
                  <w:rPr>
                    <w:bCs/>
                    <w:color w:val="0000FF"/>
                    <w:szCs w:val="24"/>
                    <w:u w:val="single"/>
                    <w:lang w:eastAsia="lt-LT"/>
                  </w:rPr>
                  <w:t>rita.banuskeviciene@sam.lt</w:t>
                </w:r>
                <w:r>
                  <w:rPr>
                    <w:szCs w:val="24"/>
                    <w:lang w:val="pt-BR" w:eastAsia="lt-LT"/>
                  </w:rPr>
                  <w:t xml:space="preserve">) vyriausiasis specialistas, </w:t>
                </w:r>
                <w:r>
                  <w:rPr>
                    <w:bCs/>
                    <w:color w:val="000000"/>
                    <w:szCs w:val="24"/>
                    <w:lang w:eastAsia="lt-LT"/>
                  </w:rPr>
                  <w:t>tel.</w:t>
                </w:r>
                <w:r>
                  <w:rPr>
                    <w:rFonts w:ascii="TimesLT" w:hAnsi="TimesLT"/>
                    <w:caps/>
                    <w:szCs w:val="24"/>
                    <w:lang w:eastAsia="lt-LT"/>
                  </w:rPr>
                  <w:t xml:space="preserve"> 0 </w:t>
                </w:r>
                <w:r>
                  <w:rPr>
                    <w:rFonts w:ascii="TimesLT" w:hAnsi="TimesLT"/>
                    <w:caps/>
                    <w:szCs w:val="24"/>
                    <w:lang w:val="pt-BR" w:eastAsia="lt-LT"/>
                  </w:rPr>
                  <w:t>5 235 1648</w:t>
                </w:r>
                <w:r>
                  <w:rPr>
                    <w:rFonts w:ascii="TimesLT" w:hAnsi="TimesLT"/>
                    <w:caps/>
                    <w:szCs w:val="24"/>
                    <w:lang w:eastAsia="lt-LT"/>
                  </w:rPr>
                  <w:t xml:space="preserve">, </w:t>
                </w:r>
                <w:r>
                  <w:rPr>
                    <w:bCs/>
                    <w:color w:val="000000"/>
                    <w:szCs w:val="24"/>
                    <w:lang w:eastAsia="lt-LT"/>
                  </w:rPr>
                  <w:t xml:space="preserve">el. p. </w:t>
                </w:r>
                <w:r>
                  <w:rPr>
                    <w:rFonts w:ascii="TimesLT" w:hAnsi="TimesLT"/>
                    <w:bCs/>
                    <w:color w:val="0000FF"/>
                    <w:szCs w:val="24"/>
                    <w:u w:val="single"/>
                    <w:lang w:eastAsia="lt-LT"/>
                  </w:rPr>
                  <w:t>a</w:t>
                </w:r>
                <w:r>
                  <w:rPr>
                    <w:bCs/>
                    <w:color w:val="0000FF"/>
                    <w:szCs w:val="24"/>
                    <w:u w:val="single"/>
                    <w:lang w:eastAsia="lt-LT"/>
                  </w:rPr>
                  <w:t>udrius.rukanskas@sam.lt</w:t>
                </w:r>
                <w:r>
                  <w:rPr>
                    <w:bCs/>
                    <w:color w:val="000000"/>
                    <w:szCs w:val="24"/>
                    <w:lang w:eastAsia="lt-LT"/>
                  </w:rPr>
                  <w:t>) ir Asta Suveizdienė, Investicijų departamento (Asmens sveikatos departamento direktorė, l. v. Investicijų departamento direktoriaus funkcijas O. Vitkūnienė (tel.</w:t>
                </w:r>
                <w:r>
                  <w:rPr>
                    <w:rFonts w:ascii="TimesLT" w:hAnsi="TimesLT"/>
                    <w:caps/>
                    <w:szCs w:val="24"/>
                    <w:lang w:eastAsia="lt-LT"/>
                  </w:rPr>
                  <w:t xml:space="preserve"> 0 5 266 1460, </w:t>
                </w:r>
                <w:r>
                  <w:rPr>
                    <w:bCs/>
                    <w:color w:val="000000"/>
                    <w:szCs w:val="24"/>
                    <w:lang w:eastAsia="lt-LT"/>
                  </w:rPr>
                  <w:t xml:space="preserve">el. p. </w:t>
                </w:r>
                <w:r>
                  <w:rPr>
                    <w:rFonts w:ascii="TimesLT" w:hAnsi="TimesLT"/>
                    <w:color w:val="0000FF"/>
                    <w:szCs w:val="24"/>
                    <w:u w:val="single"/>
                    <w:lang w:eastAsia="lt-LT"/>
                  </w:rPr>
                  <w:t>odeta.vitkuniene</w:t>
                </w:r>
                <w:r>
                  <w:rPr>
                    <w:bCs/>
                    <w:color w:val="0000FF"/>
                    <w:szCs w:val="24"/>
                    <w:u w:val="single"/>
                    <w:lang w:eastAsia="lt-LT"/>
                  </w:rPr>
                  <w:t>@sam.lt</w:t>
                </w:r>
                <w:r>
                  <w:rPr>
                    <w:szCs w:val="24"/>
                    <w:lang w:val="pt-BR" w:eastAsia="lt-LT"/>
                  </w:rPr>
                  <w:t>) vyresnioji patar</w:t>
                </w:r>
                <w:r>
                  <w:rPr>
                    <w:szCs w:val="24"/>
                    <w:lang w:eastAsia="lt-LT"/>
                  </w:rPr>
                  <w:t>ėja</w:t>
                </w:r>
                <w:r>
                  <w:rPr>
                    <w:szCs w:val="24"/>
                    <w:lang w:val="pt-BR" w:eastAsia="lt-LT"/>
                  </w:rPr>
                  <w:t xml:space="preserve">, </w:t>
                </w:r>
                <w:r>
                  <w:rPr>
                    <w:bCs/>
                    <w:color w:val="000000"/>
                    <w:szCs w:val="24"/>
                    <w:lang w:eastAsia="lt-LT"/>
                  </w:rPr>
                  <w:t>tel.</w:t>
                </w:r>
                <w:r>
                  <w:rPr>
                    <w:rFonts w:ascii="TimesLT" w:hAnsi="TimesLT"/>
                    <w:caps/>
                    <w:szCs w:val="24"/>
                    <w:lang w:eastAsia="lt-LT"/>
                  </w:rPr>
                  <w:t xml:space="preserve"> 0 </w:t>
                </w:r>
                <w:r>
                  <w:rPr>
                    <w:rFonts w:ascii="TimesLT" w:hAnsi="TimesLT"/>
                    <w:caps/>
                    <w:szCs w:val="24"/>
                    <w:lang w:val="pt-BR" w:eastAsia="lt-LT"/>
                  </w:rPr>
                  <w:t>5 266 1497</w:t>
                </w:r>
                <w:r>
                  <w:rPr>
                    <w:rFonts w:ascii="TimesLT" w:hAnsi="TimesLT"/>
                    <w:caps/>
                    <w:szCs w:val="24"/>
                    <w:lang w:eastAsia="lt-LT"/>
                  </w:rPr>
                  <w:t xml:space="preserve">, </w:t>
                </w:r>
                <w:r>
                  <w:rPr>
                    <w:bCs/>
                    <w:color w:val="000000"/>
                    <w:szCs w:val="24"/>
                    <w:lang w:eastAsia="lt-LT"/>
                  </w:rPr>
                  <w:t xml:space="preserve">el. p. </w:t>
                </w:r>
                <w:r>
                  <w:rPr>
                    <w:rFonts w:ascii="TimesLT" w:hAnsi="TimesLT"/>
                    <w:bCs/>
                    <w:color w:val="0000FF"/>
                    <w:szCs w:val="24"/>
                    <w:u w:val="single"/>
                    <w:lang w:eastAsia="lt-LT"/>
                  </w:rPr>
                  <w:t>a</w:t>
                </w:r>
                <w:r>
                  <w:rPr>
                    <w:rFonts w:ascii="TimesLT" w:hAnsi="TimesLT"/>
                    <w:color w:val="0000FF"/>
                    <w:szCs w:val="24"/>
                    <w:u w:val="single"/>
                    <w:lang w:eastAsia="lt-LT"/>
                  </w:rPr>
                  <w:t>sta.suveizdiene</w:t>
                </w:r>
                <w:r>
                  <w:rPr>
                    <w:bCs/>
                    <w:color w:val="0000FF"/>
                    <w:szCs w:val="24"/>
                    <w:u w:val="single"/>
                    <w:lang w:eastAsia="lt-LT"/>
                  </w:rPr>
                  <w:t>@sam.lt</w:t>
                </w:r>
                <w:r>
                  <w:rPr>
                    <w:bCs/>
                    <w:color w:val="000000"/>
                    <w:szCs w:val="24"/>
                    <w:lang w:eastAsia="lt-LT"/>
                  </w:rPr>
                  <w:t>).</w:t>
                </w:r>
              </w:p>
            </w:tc>
          </w:tr>
        </w:tbl>
        <w:p>
          <w:pPr>
            <w:rPr>
              <w:szCs w:val="24"/>
            </w:rPr>
          </w:pPr>
        </w:p>
      </w:sdtContent>
    </w:sdt>
    <w:sectPr>
      <w:headerReference w:type="even" r:id="rId14"/>
      <w:headerReference w:type="default" r:id="rId15"/>
      <w:footerReference w:type="even" r:id="rId16"/>
      <w:footerReference w:type="default" r:id="rId17"/>
      <w:headerReference w:type="first" r:id="rId18"/>
      <w:footerReference w:type="first" r:id="rId19"/>
      <w:pgSz w:w="11907" w:h="16840" w:code="9"/>
      <w:pgMar w:top="1134" w:right="567" w:bottom="1134" w:left="1701" w:header="567" w:footer="680"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szCs w:val="24"/>
      </w:rPr>
    </w:pPr>
    <w:r>
      <w:rPr>
        <w:szCs w:val="24"/>
      </w:rPr>
      <w:fldChar w:fldCharType="begin"/>
    </w:r>
    <w:r>
      <w:rPr>
        <w:szCs w:val="24"/>
      </w:rPr>
      <w:instrText xml:space="preserve">PAGE  </w:instrText>
    </w:r>
    <w:r>
      <w:rPr>
        <w:szCs w:val="24"/>
      </w:rPr>
      <w:fldChar w:fldCharType="end"/>
    </w:r>
  </w:p>
  <w:p>
    <w:pPr>
      <w:tabs>
        <w:tab w:val="center" w:pos="4320"/>
        <w:tab w:val="right" w:pos="8640"/>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320"/>
        <w:tab w:val="right" w:pos="8640"/>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0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DAE8C0E-6E9A-4F1A-B366-63BD775F2A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9182163">
      <w:bodyDiv w:val="1"/>
      <w:marLeft w:val="0"/>
      <w:marRight w:val="0"/>
      <w:marTop w:val="0"/>
      <w:marBottom w:val="0"/>
      <w:divBdr>
        <w:top w:val="none" w:sz="0" w:space="0" w:color="auto"/>
        <w:left w:val="none" w:sz="0" w:space="0" w:color="auto"/>
        <w:bottom w:val="none" w:sz="0" w:space="0" w:color="auto"/>
        <w:right w:val="none" w:sz="0" w:space="0" w:color="auto"/>
      </w:divBdr>
    </w:div>
    <w:div w:id="852694236">
      <w:bodyDiv w:val="1"/>
      <w:marLeft w:val="0"/>
      <w:marRight w:val="0"/>
      <w:marTop w:val="0"/>
      <w:marBottom w:val="0"/>
      <w:divBdr>
        <w:top w:val="none" w:sz="0" w:space="0" w:color="auto"/>
        <w:left w:val="none" w:sz="0" w:space="0" w:color="auto"/>
        <w:bottom w:val="none" w:sz="0" w:space="0" w:color="auto"/>
        <w:right w:val="none" w:sz="0" w:space="0" w:color="auto"/>
      </w:divBdr>
    </w:div>
    <w:div w:id="1758017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ffcbcbb-b75c-46b4-9519-b10834446e47">
      <Terms xmlns="http://schemas.microsoft.com/office/infopath/2007/PartnerControls"/>
    </lcf76f155ced4ddcb4097134ff3c332f>
    <TaxCatchAll xmlns="7f216368-8434-4da0-b8c5-4172b9ea0f9c" xsi:nil="true"/>
    <SharedWithUsers xmlns="ed47f19d-2675-40fc-bca5-cdb632e0c6e8">
      <UserInfo>
        <DisplayName>Vilma Srogė</DisplayName>
        <AccountId>485</AccountId>
        <AccountType/>
      </UserInfo>
      <UserInfo>
        <DisplayName>Donatas Keršis</DisplayName>
        <AccountId>31</AccountId>
        <AccountType/>
      </UserInfo>
      <UserInfo>
        <DisplayName>Kazys Rušinskas</DisplayName>
        <AccountId>222</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A26F38A14B4324C81C71D4CDC37EE37" ma:contentTypeVersion="16" ma:contentTypeDescription="Create a new document." ma:contentTypeScope="" ma:versionID="e0aa1497d397bbdb725fbbfadd22f401">
  <xsd:schema xmlns:xsd="http://www.w3.org/2001/XMLSchema" xmlns:xs="http://www.w3.org/2001/XMLSchema" xmlns:p="http://schemas.microsoft.com/office/2006/metadata/properties" xmlns:ns2="dffcbcbb-b75c-46b4-9519-b10834446e47" xmlns:ns3="ed47f19d-2675-40fc-bca5-cdb632e0c6e8" xmlns:ns4="7f216368-8434-4da0-b8c5-4172b9ea0f9c" targetNamespace="http://schemas.microsoft.com/office/2006/metadata/properties" ma:root="true" ma:fieldsID="b82241f45ef495673e355e5a8b89ab2a" ns2:_="" ns3:_="" ns4:_="">
    <xsd:import namespace="dffcbcbb-b75c-46b4-9519-b10834446e47"/>
    <xsd:import namespace="ed47f19d-2675-40fc-bca5-cdb632e0c6e8"/>
    <xsd:import namespace="7f216368-8434-4da0-b8c5-4172b9ea0f9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4: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fcbcbb-b75c-46b4-9519-b10834446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d47f19d-2675-40fc-bca5-cdb632e0c6e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f216368-8434-4da0-b8c5-4172b9ea0f9c"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502cb5ec-ca5e-4358-abf0-cba3d8d392ca}" ma:internalName="TaxCatchAll" ma:showField="CatchAllData" ma:web="7f216368-8434-4da0-b8c5-4172b9ea0f9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094652e60d254dc58edf14da6962490f" PartId="26b8e5bfb50a43db8c3f0166dd7b6957"/>
</Parts>
</file>

<file path=customXml/itemProps1.xml><?xml version="1.0" encoding="utf-8"?>
<ds:datastoreItem xmlns:ds="http://schemas.openxmlformats.org/officeDocument/2006/customXml" ds:itemID="{D329FD6A-8AA5-4C33-B5F0-A7C896F720E4}">
  <ds:schemaRefs>
    <ds:schemaRef ds:uri="http://schemas.microsoft.com/office/2006/metadata/properties"/>
    <ds:schemaRef ds:uri="http://schemas.microsoft.com/office/infopath/2007/PartnerControls"/>
    <ds:schemaRef ds:uri="dffcbcbb-b75c-46b4-9519-b10834446e47"/>
    <ds:schemaRef ds:uri="7f216368-8434-4da0-b8c5-4172b9ea0f9c"/>
    <ds:schemaRef ds:uri="ed47f19d-2675-40fc-bca5-cdb632e0c6e8"/>
  </ds:schemaRefs>
</ds:datastoreItem>
</file>

<file path=customXml/itemProps2.xml><?xml version="1.0" encoding="utf-8"?>
<ds:datastoreItem xmlns:ds="http://schemas.openxmlformats.org/officeDocument/2006/customXml" ds:itemID="{FC0CA0A8-C037-4A9A-AE96-1EB40A7EB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fcbcbb-b75c-46b4-9519-b10834446e47"/>
    <ds:schemaRef ds:uri="ed47f19d-2675-40fc-bca5-cdb632e0c6e8"/>
    <ds:schemaRef ds:uri="7f216368-8434-4da0-b8c5-4172b9ea0f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C2EF3D-2D79-4AF7-9C91-1CBEFD0C350D}">
  <ds:schemaRefs>
    <ds:schemaRef ds:uri="http://schemas.microsoft.com/sharepoint/v3/contenttype/forms"/>
  </ds:schemaRefs>
</ds:datastoreItem>
</file>

<file path=customXml/itemProps4.xml><?xml version="1.0" encoding="utf-8"?>
<ds:datastoreItem xmlns:ds="http://schemas.openxmlformats.org/officeDocument/2006/customXml" ds:itemID="{E446C8D4-A320-48A1-A62D-C701A1548B46}">
  <ds:schemaRefs>
    <ds:schemaRef ds:uri="http://schemas.openxmlformats.org/officeDocument/2006/bibliography"/>
  </ds:schemaRefs>
</ds:datastoreItem>
</file>

<file path=customXml/itemProps5.xml><?xml version="1.0" encoding="utf-8"?>
<ds:datastoreItem xmlns:ds="http://schemas.openxmlformats.org/officeDocument/2006/customXml" ds:itemID="{1FA1FB7B-9E21-4F6C-92AA-0443B0F1760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761</Words>
  <Characters>5811</Characters>
  <Application>Microsoft Office Word</Application>
  <DocSecurity>4</DocSecurity>
  <Lines>92</Lines>
  <Paragraphs>29</Paragraphs>
  <ScaleCrop>false</ScaleCrop>
  <HeadingPairs>
    <vt:vector size="2" baseType="variant">
      <vt:variant>
        <vt:lpstr>Pavadinimas</vt:lpstr>
      </vt:variant>
      <vt:variant>
        <vt:i4>1</vt:i4>
      </vt:variant>
    </vt:vector>
  </HeadingPairs>
  <TitlesOfParts>
    <vt:vector size="1" baseType="lpstr">
      <vt:lpstr>Projektas</vt:lpstr>
    </vt:vector>
  </TitlesOfParts>
  <Company>Test</Company>
  <LinksUpToDate>false</LinksUpToDate>
  <CharactersWithSpaces>6543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2026-07-08T06:44:00Z</dcterms:created>
  <dc:creator>Valdas Uscila</dc:creator>
  <lastModifiedBy>adlibuser</lastModifiedBy>
  <lastPrinted>2017-04-07T06:25:00Z</lastPrinted>
  <dcterms:modified xsi:type="dcterms:W3CDTF">2026-07-08T06:44:00Z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0x010100BA26F38A14B4324C81C71D4CDC37EE37</vt:lpwstr>
  </property>
  <property fmtid="{D5CDD505-2E9C-101B-9397-08002B2CF9AE}" pid="3" name="MediaServiceImageTags">
    <vt:lpwstr/>
  </property>
</Properties>
</file>