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ee2570407af045b78e22082109916649"/>
        <w:lock w:val="sdtLocked"/>
        <w:richText/>
      </w:sdtPr>
      <w:sdtContent>
        <w:p>
          <w:pPr>
            <w:ind w:left="2880" w:firstLine="6096"/>
            <w:jc w:val="both"/>
            <w:rPr>
              <w:color w:val="000000"/>
              <w:sz w:val="22"/>
              <w:szCs w:val="22"/>
            </w:rPr>
          </w:pPr>
          <w:r>
            <w:rPr>
              <w:color w:val="000000"/>
              <w:sz w:val="22"/>
              <w:szCs w:val="22"/>
            </w:rPr>
            <w:t>Valstybės pagalbos arba nereikšmingos</w:t>
          </w:r>
        </w:p>
        <w:p>
          <w:pPr>
            <w:ind w:left="2880" w:firstLine="6096"/>
            <w:jc w:val="both"/>
            <w:rPr>
              <w:color w:val="000000"/>
              <w:sz w:val="22"/>
              <w:szCs w:val="22"/>
            </w:rPr>
          </w:pPr>
          <w:r>
            <w:rPr>
              <w:color w:val="000000"/>
              <w:sz w:val="22"/>
              <w:szCs w:val="22"/>
            </w:rPr>
            <w:t>(</w:t>
          </w:r>
          <w:r>
            <w:rPr>
              <w:i/>
              <w:iCs/>
              <w:color w:val="000000"/>
              <w:sz w:val="22"/>
              <w:szCs w:val="22"/>
            </w:rPr>
            <w:t>de minimis</w:t>
          </w:r>
          <w:r>
            <w:rPr>
              <w:color w:val="000000"/>
              <w:sz w:val="22"/>
              <w:szCs w:val="22"/>
            </w:rPr>
            <w:t>) pagalbos priemonių</w:t>
          </w:r>
        </w:p>
        <w:p>
          <w:pPr>
            <w:ind w:left="2880" w:firstLine="6096"/>
            <w:jc w:val="both"/>
            <w:rPr>
              <w:color w:val="000000"/>
              <w:sz w:val="22"/>
              <w:szCs w:val="22"/>
            </w:rPr>
          </w:pPr>
          <w:r>
            <w:rPr>
              <w:color w:val="000000"/>
              <w:sz w:val="22"/>
              <w:szCs w:val="22"/>
            </w:rPr>
            <w:t>projektų ekspertizės atlikimo, išvadų ir</w:t>
          </w:r>
        </w:p>
        <w:p>
          <w:pPr>
            <w:ind w:left="2880" w:firstLine="6096"/>
            <w:jc w:val="both"/>
            <w:rPr>
              <w:color w:val="000000"/>
              <w:sz w:val="22"/>
              <w:szCs w:val="22"/>
            </w:rPr>
          </w:pPr>
          <w:r>
            <w:rPr>
              <w:color w:val="000000"/>
              <w:sz w:val="22"/>
              <w:szCs w:val="22"/>
            </w:rPr>
            <w:t>rekomendacijų teikimo, pranešimų ir</w:t>
          </w:r>
        </w:p>
        <w:p>
          <w:pPr>
            <w:ind w:left="2880" w:firstLine="6096"/>
            <w:jc w:val="both"/>
            <w:rPr>
              <w:color w:val="000000"/>
              <w:sz w:val="22"/>
              <w:szCs w:val="22"/>
            </w:rPr>
          </w:pPr>
          <w:r>
            <w:rPr>
              <w:color w:val="000000"/>
              <w:sz w:val="22"/>
              <w:szCs w:val="22"/>
            </w:rPr>
            <w:t>kitos informacijos apie valstybės</w:t>
          </w:r>
        </w:p>
        <w:p>
          <w:pPr>
            <w:ind w:left="2880" w:firstLine="6096"/>
            <w:jc w:val="both"/>
            <w:rPr>
              <w:color w:val="000000"/>
              <w:sz w:val="22"/>
              <w:szCs w:val="22"/>
            </w:rPr>
          </w:pPr>
          <w:r>
            <w:rPr>
              <w:color w:val="000000"/>
              <w:sz w:val="22"/>
              <w:szCs w:val="22"/>
            </w:rPr>
            <w:t>pagalbą pateikimo Europos Komisijai</w:t>
          </w:r>
        </w:p>
        <w:p>
          <w:pPr>
            <w:ind w:left="2880" w:firstLine="6096"/>
            <w:jc w:val="both"/>
            <w:rPr>
              <w:color w:val="000000"/>
              <w:sz w:val="22"/>
              <w:szCs w:val="22"/>
            </w:rPr>
          </w:pPr>
          <w:r>
            <w:rPr>
              <w:color w:val="000000"/>
              <w:sz w:val="22"/>
              <w:szCs w:val="22"/>
            </w:rPr>
            <w:t>taisyklių</w:t>
          </w:r>
        </w:p>
        <w:p>
          <w:pPr>
            <w:ind w:left="2880" w:firstLine="6096"/>
            <w:jc w:val="both"/>
            <w:rPr>
              <w:color w:val="000000"/>
              <w:sz w:val="22"/>
              <w:szCs w:val="22"/>
            </w:rPr>
          </w:pPr>
          <w:r>
            <w:rPr>
              <w:color w:val="000000"/>
              <w:sz w:val="22"/>
              <w:szCs w:val="22"/>
            </w:rPr>
            <w:t>priedas</w:t>
          </w:r>
        </w:p>
        <w:p>
          <w:pPr>
            <w:ind w:firstLine="6096"/>
            <w:jc w:val="both"/>
            <w:rPr>
              <w:color w:val="000000"/>
              <w:sz w:val="22"/>
              <w:szCs w:val="22"/>
            </w:rPr>
          </w:pPr>
        </w:p>
        <w:p>
          <w:pPr>
            <w:ind w:firstLine="6153"/>
            <w:jc w:val="both"/>
            <w:rPr>
              <w:color w:val="000000"/>
              <w:sz w:val="22"/>
              <w:szCs w:val="22"/>
            </w:rPr>
          </w:pPr>
        </w:p>
        <w:p>
          <w:pPr>
            <w:jc w:val="center"/>
            <w:rPr>
              <w:b/>
              <w:bCs/>
              <w:color w:val="000000"/>
              <w:sz w:val="22"/>
              <w:szCs w:val="22"/>
            </w:rPr>
          </w:pPr>
          <w:sdt>
            <w:sdtPr>
              <w:alias w:val="Pavadinimas"/>
              <w:tag w:val="title_ee2570407af045b78e22082109916649"/>
              <w:lock w:val="sdtLocked"/>
              <w:richText/>
            </w:sdtPr>
            <w:sdtContent>
              <w:r>
                <w:rPr>
                  <w:b/>
                  <w:color w:val="000000"/>
                  <w:kern w:val="2"/>
                  <w:sz w:val="22"/>
                  <w:szCs w:val="22"/>
                </w:rPr>
                <w:t>ATITIKTIES LENTELĖ</w:t>
              </w:r>
            </w:sdtContent>
          </w:sdt>
        </w:p>
        <w:p>
          <w:pPr>
            <w:jc w:val="center"/>
            <w:rPr>
              <w:b/>
              <w:bCs/>
              <w:color w:val="000000"/>
              <w:sz w:val="22"/>
              <w:szCs w:val="22"/>
            </w:rPr>
          </w:pPr>
        </w:p>
        <w:p>
          <w:pPr>
            <w:jc w:val="center"/>
            <w:rPr>
              <w:color w:val="000000"/>
              <w:sz w:val="22"/>
              <w:szCs w:val="22"/>
            </w:rPr>
          </w:pPr>
        </w:p>
        <w:p>
          <w:pPr>
            <w:ind w:firstLine="57"/>
            <w:jc w:val="both"/>
            <w:rPr>
              <w:color w:val="000000"/>
              <w:sz w:val="22"/>
              <w:szCs w:val="22"/>
            </w:rPr>
          </w:pPr>
        </w:p>
        <w:tbl>
          <w:tblPr>
            <w:tblW w:w="13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500"/>
            <w:gridCol w:w="5103"/>
          </w:tblGrid>
          <w:tr>
            <w:tc>
              <w:tcPr>
                <w:tcW w:w="8500" w:type="dxa"/>
                <w:tcMar>
                  <w:top w:w="0" w:type="dxa"/>
                  <w:left w:w="108" w:type="dxa"/>
                  <w:bottom w:w="0" w:type="dxa"/>
                  <w:right w:w="108" w:type="dxa"/>
                </w:tcMar>
                <w:hideMark/>
              </w:tcPr>
              <w:p>
                <w:pPr>
                  <w:jc w:val="both"/>
                  <w:rPr>
                    <w:b/>
                    <w:bCs/>
                    <w:szCs w:val="24"/>
                  </w:rPr>
                </w:pPr>
                <w:r>
                  <w:rPr>
                    <w:b/>
                    <w:bCs/>
                    <w:szCs w:val="24"/>
                  </w:rPr>
                  <w:t>Europos Sąjungos (toliau – ES) teisės akto pavadinimas ir numeris</w:t>
                </w:r>
              </w:p>
              <w:p>
                <w:pPr>
                  <w:jc w:val="both"/>
                  <w:rPr>
                    <w:szCs w:val="24"/>
                  </w:rPr>
                </w:pPr>
              </w:p>
              <w:p>
                <w:pPr>
                  <w:spacing w:line="259" w:lineRule="auto"/>
                  <w:jc w:val="both"/>
                  <w:rPr>
                    <w:b/>
                    <w:bCs/>
                    <w:kern w:val="2"/>
                    <w:szCs w:val="24"/>
                  </w:rPr>
                </w:pPr>
                <w:r>
                  <w:rPr>
                    <w:b/>
                    <w:bCs/>
                    <w:kern w:val="2"/>
                    <w:szCs w:val="24"/>
                  </w:rPr>
                  <w:t xml:space="preserve">2023 m. gruodžio 13 d. Komisijos reglamentas </w:t>
                </w:r>
                <w:fldSimple w:instr="HYPERLINK http://eur-lex.europa.eu/legal-content/LIT/TXT/?uri=CELEX:32831R2023&amp;locale=lt \t _blank">
                  <w:r>
                    <w:rPr>
                      <w:b/>
                      <w:bCs/>
                      <w:kern w:val="2"/>
                      <w:szCs w:val="24"/>
                      <w:u w:val="single"/>
                      <w:color w:val="0000FF" w:themeColor="hyperlink"/>
                    </w:rPr>
                    <w:t xml:space="preserve">(ES) Nr. </w:t>
                  </w:r>
                  <w:r>
                    <w:rPr>
                      <w:b/>
                      <w:bCs/>
                      <w:kern w:val="2"/>
                      <w:szCs w:val="24"/>
                      <w:shd w:val="clear" w:color="auto" w:fill="FFFFFF"/>
                      <w:u w:val="single"/>
                      <w:color w:val="0000FF" w:themeColor="hyperlink"/>
                    </w:rPr>
                    <w:t>2023/2831</w:t>
                  </w:r>
                </w:fldSimple>
                <w:r>
                  <w:rPr>
                    <w:b/>
                    <w:bCs/>
                    <w:kern w:val="2"/>
                    <w:szCs w:val="24"/>
                    <w:shd w:val="clear" w:color="auto" w:fill="FFFFFF"/>
                  </w:rPr>
                  <w:t xml:space="preserve"> </w:t>
                </w:r>
                <w:r>
                  <w:rPr>
                    <w:b/>
                    <w:bCs/>
                    <w:kern w:val="2"/>
                    <w:szCs w:val="24"/>
                  </w:rPr>
                  <w:t xml:space="preserve">dėl Sutarties dėl Europos Sąjungos veikimo 107 ir 108 straipsnių taikymo </w:t>
                </w:r>
                <w:r>
                  <w:rPr>
                    <w:b/>
                    <w:bCs/>
                    <w:i/>
                    <w:iCs/>
                    <w:kern w:val="2"/>
                    <w:szCs w:val="24"/>
                  </w:rPr>
                  <w:t>de minimis</w:t>
                </w:r>
                <w:r>
                  <w:rPr>
                    <w:b/>
                    <w:bCs/>
                    <w:kern w:val="2"/>
                    <w:szCs w:val="24"/>
                  </w:rPr>
                  <w:t xml:space="preserve"> pagalbai.</w:t>
                </w:r>
              </w:p>
              <w:p>
                <w:pPr>
                  <w:rPr>
                    <w:sz w:val="14"/>
                    <w:szCs w:val="14"/>
                  </w:rPr>
                </w:pPr>
              </w:p>
              <w:p>
                <w:pPr>
                  <w:spacing w:line="259" w:lineRule="auto"/>
                  <w:jc w:val="both"/>
                  <w:rPr>
                    <w:b/>
                    <w:bCs/>
                    <w:kern w:val="2"/>
                    <w:szCs w:val="24"/>
                  </w:rPr>
                </w:pPr>
                <w:r>
                  <w:rPr>
                    <w:b/>
                    <w:bCs/>
                    <w:kern w:val="2"/>
                    <w:szCs w:val="24"/>
                  </w:rPr>
                  <w:t xml:space="preserve">2013 m. gruodžio 18 d. Komisijos </w:t>
                </w:r>
                <w:r>
                  <w:rPr>
                    <w:b/>
                    <w:bCs/>
                    <w:color w:val="000000"/>
                    <w:kern w:val="2"/>
                    <w:szCs w:val="24"/>
                  </w:rPr>
                  <w:t>reglamentas</w:t>
                </w:r>
                <w:r>
                  <w:rPr>
                    <w:b/>
                    <w:bCs/>
                    <w:kern w:val="2"/>
                    <w:szCs w:val="24"/>
                  </w:rPr>
                  <w:t xml:space="preserve"> </w:t>
                </w:r>
                <w:fldSimple w:instr="HYPERLINK http://eur-lex.europa.eu/legal-content/LIT/TXT/?uri=CELEX:32013R1408&amp;locale=lt \t _blank">
                  <w:r>
                    <w:rPr>
                      <w:b/>
                      <w:bCs/>
                      <w:kern w:val="2"/>
                      <w:szCs w:val="24"/>
                      <w:u w:val="single"/>
                      <w:color w:val="0000FF" w:themeColor="hyperlink"/>
                    </w:rPr>
                    <w:t>(ES) Nr. 1408/2013</w:t>
                  </w:r>
                </w:fldSimple>
                <w:r>
                  <w:rPr>
                    <w:b/>
                    <w:bCs/>
                    <w:kern w:val="2"/>
                    <w:szCs w:val="24"/>
                  </w:rPr>
                  <w:t xml:space="preserve"> dėl Sutarties dėl Europos Sąjungos veikimo 107 ir 108 straipsnių taikymo </w:t>
                </w:r>
                <w:r>
                  <w:rPr>
                    <w:b/>
                    <w:bCs/>
                    <w:i/>
                    <w:iCs/>
                    <w:kern w:val="2"/>
                    <w:szCs w:val="24"/>
                  </w:rPr>
                  <w:t>de minimis</w:t>
                </w:r>
                <w:r>
                  <w:rPr>
                    <w:b/>
                    <w:bCs/>
                    <w:kern w:val="2"/>
                    <w:szCs w:val="24"/>
                  </w:rPr>
                  <w:t xml:space="preserve"> pagalbai žemės ūkio sektoriuje su paskutiniais pakeitimais, padarytais 2024 m. gruodžio 10 d. Komisijos reglamentu </w:t>
                </w:r>
                <w:fldSimple w:instr="HYPERLINK http://eur-lex.europa.eu/legal-content/LIT/TXT/?uri=CELEX:32024R3118&amp;locale=lt \t _blank">
                  <w:r>
                    <w:rPr>
                      <w:b/>
                      <w:bCs/>
                      <w:kern w:val="2"/>
                      <w:szCs w:val="24"/>
                      <w:u w:val="single"/>
                      <w:color w:val="0000FF" w:themeColor="hyperlink"/>
                    </w:rPr>
                    <w:t>(ES) 2024/3118</w:t>
                  </w:r>
                </w:fldSimple>
                <w:r>
                  <w:rPr>
                    <w:b/>
                    <w:bCs/>
                    <w:kern w:val="2"/>
                    <w:szCs w:val="24"/>
                  </w:rPr>
                  <w:t>.</w:t>
                </w:r>
              </w:p>
              <w:p>
                <w:pPr>
                  <w:rPr>
                    <w:sz w:val="14"/>
                    <w:szCs w:val="14"/>
                  </w:rPr>
                </w:pPr>
              </w:p>
              <w:p>
                <w:pPr>
                  <w:spacing w:line="259" w:lineRule="auto"/>
                  <w:jc w:val="both"/>
                  <w:rPr>
                    <w:kern w:val="2"/>
                    <w:szCs w:val="24"/>
                  </w:rPr>
                </w:pPr>
                <w:r>
                  <w:rPr>
                    <w:b/>
                    <w:bCs/>
                    <w:kern w:val="2"/>
                    <w:szCs w:val="24"/>
                  </w:rPr>
                  <w:t xml:space="preserve">2014 m. birželio 27 d. Komisijos reglamentas </w:t>
                </w:r>
                <w:fldSimple w:instr="HYPERLINK http://eur-lex.europa.eu/legal-content/LIT/TXT/?uri=CELEX:32014R0717&amp;locale=lt \t _blank">
                  <w:r>
                    <w:rPr>
                      <w:b/>
                      <w:bCs/>
                      <w:kern w:val="2"/>
                      <w:szCs w:val="24"/>
                      <w:u w:val="single"/>
                      <w:color w:val="0000FF" w:themeColor="hyperlink"/>
                    </w:rPr>
                    <w:t>(ES) Nr. 717/2014</w:t>
                  </w:r>
                </w:fldSimple>
                <w:r>
                  <w:rPr>
                    <w:b/>
                    <w:bCs/>
                    <w:kern w:val="2"/>
                    <w:szCs w:val="24"/>
                  </w:rPr>
                  <w:t xml:space="preserve"> dėl Sutarties dėl Europos Sąjungos veikimo 107 ir 108 straipsnių taikymo </w:t>
                </w:r>
                <w:r>
                  <w:rPr>
                    <w:b/>
                    <w:bCs/>
                    <w:i/>
                    <w:iCs/>
                    <w:kern w:val="2"/>
                    <w:szCs w:val="24"/>
                  </w:rPr>
                  <w:t>de minimis</w:t>
                </w:r>
                <w:r>
                  <w:rPr>
                    <w:b/>
                    <w:bCs/>
                    <w:kern w:val="2"/>
                    <w:szCs w:val="24"/>
                  </w:rPr>
                  <w:t xml:space="preserve"> pagalbai žuvininkystės ir akvakultūros sektoriuje su paskutiniais pakeitimais, padarytais 2023 m. spalio 5 d. Komisijos reglamentu </w:t>
                </w:r>
                <w:fldSimple w:instr="HYPERLINK http://eur-lex.europa.eu/legal-content/LIT/TXT/?uri=CELEX:32023R2391&amp;locale=lt \t _blank">
                  <w:r>
                    <w:rPr>
                      <w:b/>
                      <w:bCs/>
                      <w:kern w:val="2"/>
                      <w:szCs w:val="24"/>
                      <w:u w:val="single"/>
                      <w:color w:val="0000FF" w:themeColor="hyperlink"/>
                    </w:rPr>
                    <w:t>(ES) 2023/2391</w:t>
                  </w:r>
                </w:fldSimple>
                <w:r>
                  <w:rPr>
                    <w:b/>
                    <w:bCs/>
                    <w:kern w:val="2"/>
                    <w:szCs w:val="24"/>
                  </w:rPr>
                  <w:t>.</w:t>
                </w:r>
              </w:p>
            </w:tc>
            <w:tc>
              <w:tcPr>
                <w:tcW w:w="5103" w:type="dxa"/>
                <w:tcMar>
                  <w:top w:w="0" w:type="dxa"/>
                  <w:left w:w="108" w:type="dxa"/>
                  <w:bottom w:w="0" w:type="dxa"/>
                  <w:right w:w="108" w:type="dxa"/>
                </w:tcMar>
                <w:hideMark/>
              </w:tcPr>
              <w:p>
                <w:pPr>
                  <w:jc w:val="both"/>
                  <w:rPr>
                    <w:b/>
                    <w:bCs/>
                    <w:sz w:val="22"/>
                    <w:szCs w:val="22"/>
                  </w:rPr>
                </w:pPr>
                <w:r>
                  <w:rPr>
                    <w:b/>
                    <w:bCs/>
                    <w:sz w:val="22"/>
                    <w:szCs w:val="22"/>
                  </w:rPr>
                  <w:t>Pagalbos priemonės projekto pavadinimas</w:t>
                </w:r>
              </w:p>
              <w:p>
                <w:pPr>
                  <w:ind w:firstLine="57"/>
                  <w:jc w:val="both"/>
                  <w:rPr>
                    <w:sz w:val="22"/>
                    <w:szCs w:val="22"/>
                  </w:rPr>
                </w:pPr>
              </w:p>
              <w:p>
                <w:pPr>
                  <w:spacing w:line="259" w:lineRule="auto"/>
                  <w:jc w:val="both"/>
                  <w:rPr>
                    <w:szCs w:val="24"/>
                  </w:rPr>
                </w:pPr>
                <w:r>
                  <w:rPr>
                    <w:kern w:val="2"/>
                    <w:szCs w:val="24"/>
                  </w:rPr>
                  <w:t>2021–2030 m. energetikos plėtros programos pažangos priemonės Nr. 03-001-06-03-02 „Didinti atsinaujinančių energijos išteklių dalį, užtikrinant atsinaujinančių išteklių integraciją į elektros tinklus“ veiklos „Gaminančių vartotojų investicijos į naujų AEI naudojančių elektros energijos gamybos pajėgumų sukūrimą“ poveiklės „Gaminančių vartotojų investicijos į naujų AEI naudojančių elektros energijos gamybos pajėgumų sukūrimą visoje Lietuvoje“ projektų finansavimo sąlygų aprašas Nr. 5 (toliau – 23 priedas)</w:t>
                </w:r>
              </w:p>
            </w:tc>
          </w:tr>
          <w:tr>
            <w:tc>
              <w:tcPr>
                <w:tcW w:w="8500" w:type="dxa"/>
                <w:tcMar>
                  <w:top w:w="0" w:type="dxa"/>
                  <w:left w:w="108" w:type="dxa"/>
                  <w:bottom w:w="0" w:type="dxa"/>
                  <w:right w:w="108" w:type="dxa"/>
                </w:tcMar>
                <w:hideMark/>
              </w:tcPr>
              <w:p>
                <w:pPr>
                  <w:jc w:val="both"/>
                  <w:rPr>
                    <w:sz w:val="22"/>
                    <w:szCs w:val="22"/>
                  </w:rPr>
                </w:pPr>
                <w:r>
                  <w:rPr>
                    <w:b/>
                    <w:bCs/>
                    <w:sz w:val="22"/>
                    <w:szCs w:val="22"/>
                  </w:rPr>
                  <w:t>ES teisės akto straipsnis, jo dalis, punktas ar kita struktūrinė dalis</w:t>
                </w:r>
              </w:p>
            </w:tc>
            <w:tc>
              <w:tcPr>
                <w:tcW w:w="5103" w:type="dxa"/>
                <w:tcMar>
                  <w:top w:w="0" w:type="dxa"/>
                  <w:left w:w="108" w:type="dxa"/>
                  <w:bottom w:w="0" w:type="dxa"/>
                  <w:right w:w="108" w:type="dxa"/>
                </w:tcMar>
                <w:hideMark/>
              </w:tcPr>
              <w:p>
                <w:pPr>
                  <w:jc w:val="both"/>
                  <w:rPr>
                    <w:sz w:val="22"/>
                    <w:szCs w:val="22"/>
                  </w:rPr>
                </w:pPr>
                <w:r>
                  <w:rPr>
                    <w:b/>
                    <w:bCs/>
                    <w:sz w:val="22"/>
                    <w:szCs w:val="22"/>
                  </w:rPr>
                  <w:t>Pagalbos priemonės projekto straipsnis, punktas ar kita struktūrinė dalis</w:t>
                </w:r>
              </w:p>
            </w:tc>
          </w:tr>
          <w:tr>
            <w:trPr>
              <w:trHeight w:val="300"/>
            </w:trPr>
            <w:tc>
              <w:tcPr>
                <w:tcW w:w="13603" w:type="dxa"/>
                <w:gridSpan w:val="2"/>
                <w:tcMar>
                  <w:top w:w="0" w:type="dxa"/>
                  <w:left w:w="108" w:type="dxa"/>
                  <w:bottom w:w="0" w:type="dxa"/>
                  <w:right w:w="108" w:type="dxa"/>
                </w:tcMar>
                <w:hideMark/>
              </w:tcPr>
              <w:p>
                <w:pPr>
                  <w:jc w:val="center"/>
                  <w:rPr>
                    <w:b/>
                    <w:bCs/>
                    <w:kern w:val="2"/>
                    <w:szCs w:val="24"/>
                  </w:rPr>
                </w:pPr>
                <w:r>
                  <w:rPr>
                    <w:b/>
                    <w:bCs/>
                    <w:kern w:val="2"/>
                    <w:szCs w:val="24"/>
                  </w:rPr>
                  <w:t xml:space="preserve">Reglamento </w:t>
                </w:r>
                <w:fldSimple w:instr="HYPERLINK http://eur-lex.europa.eu/legal-content/LIT/TXT/?uri=CELEX:32023R2831&amp;locale=lt \t _blank">
                  <w:r>
                    <w:rPr>
                      <w:b/>
                      <w:bCs/>
                      <w:kern w:val="2"/>
                      <w:szCs w:val="24"/>
                      <w:u w:val="single"/>
                      <w:color w:val="0000FF" w:themeColor="hyperlink"/>
                    </w:rPr>
                    <w:t>(ES) 2023/2831</w:t>
                  </w:r>
                </w:fldSimple>
                <w:r>
                  <w:rPr>
                    <w:b/>
                    <w:bCs/>
                    <w:kern w:val="2"/>
                    <w:szCs w:val="24"/>
                  </w:rPr>
                  <w:t xml:space="preserve"> nuostatos</w:t>
                </w:r>
              </w:p>
            </w:tc>
          </w:tr>
          <w:tr>
            <w:tc>
              <w:tcPr>
                <w:tcW w:w="8500" w:type="dxa"/>
                <w:tcMar>
                  <w:top w:w="0" w:type="dxa"/>
                  <w:left w:w="108" w:type="dxa"/>
                  <w:bottom w:w="0" w:type="dxa"/>
                  <w:right w:w="108" w:type="dxa"/>
                </w:tcMar>
              </w:tcPr>
              <w:p>
                <w:pPr>
                  <w:shd w:val="clear" w:color="auto" w:fill="FFFFFF"/>
                  <w:jc w:val="both"/>
                  <w:rPr>
                    <w:color w:val="000000"/>
                    <w:sz w:val="22"/>
                    <w:szCs w:val="22"/>
                  </w:rPr>
                </w:pPr>
                <w:r>
                  <w:rPr>
                    <w:color w:val="000000"/>
                    <w:sz w:val="22"/>
                    <w:szCs w:val="22"/>
                  </w:rPr>
                  <w:t>1. Šis reglamentas taikomas pagalbai, teikiamai įmonėms visuose sektoriuose, išskyrus:</w:t>
                </w:r>
              </w:p>
              <w:tbl>
                <w:tblPr>
                  <w:tblW w:w="5000" w:type="pct"/>
                  <w:tblCellMar>
                    <w:left w:w="0" w:type="dxa"/>
                    <w:right w:w="0" w:type="dxa"/>
                  </w:tblCellMar>
                  <w:tblLook w:val="04A0" w:firstRow="1" w:lastRow="0" w:firstColumn="1" w:lastColumn="0" w:noHBand="0" w:noVBand="1"/>
                </w:tblPr>
                <w:tblGrid>
                  <w:gridCol w:w="171"/>
                  <w:gridCol w:w="8113"/>
                </w:tblGrid>
                <w:tr>
                  <w:trPr>
                    <w:trHeight w:val="80"/>
                  </w:trPr>
                  <w:tc>
                    <w:tcPr>
                      <w:tcW w:w="99" w:type="pct"/>
                      <w:hideMark/>
                    </w:tcPr>
                    <w:p>
                      <w:pPr>
                        <w:jc w:val="both"/>
                        <w:rPr>
                          <w:sz w:val="22"/>
                          <w:szCs w:val="22"/>
                        </w:rPr>
                      </w:pPr>
                      <w:r>
                        <w:rPr>
                          <w:sz w:val="22"/>
                          <w:szCs w:val="22"/>
                        </w:rPr>
                        <w:t>a)</w:t>
                      </w:r>
                    </w:p>
                  </w:tc>
                  <w:tc>
                    <w:tcPr>
                      <w:tcW w:w="4901" w:type="pct"/>
                      <w:hideMark/>
                    </w:tcPr>
                    <w:p>
                      <w:pPr>
                        <w:ind w:firstLine="57"/>
                        <w:jc w:val="both"/>
                        <w:rPr>
                          <w:sz w:val="22"/>
                          <w:szCs w:val="22"/>
                        </w:rPr>
                      </w:pPr>
                      <w:r>
                        <w:rPr>
                          <w:sz w:val="22"/>
                          <w:szCs w:val="22"/>
                        </w:rPr>
                        <w:t>pagalbą, suteiktą įmonėms, vykdančioms pirminės žvejybos ir akvakultūros produktų gamybos veiklą;</w:t>
                      </w:r>
                    </w:p>
                  </w:tc>
                </w:tr>
              </w:tbl>
              <w:p>
                <w:pPr>
                  <w:shd w:val="clear" w:color="auto" w:fill="FFFFFF"/>
                  <w:jc w:val="both"/>
                  <w:rPr>
                    <w:vanish/>
                    <w:color w:val="000000"/>
                    <w:sz w:val="22"/>
                    <w:szCs w:val="22"/>
                  </w:rPr>
                </w:pPr>
              </w:p>
              <w:tbl>
                <w:tblPr>
                  <w:tblW w:w="5000" w:type="pct"/>
                  <w:tblCellMar>
                    <w:left w:w="0" w:type="dxa"/>
                    <w:right w:w="0" w:type="dxa"/>
                  </w:tblCellMar>
                  <w:tblLook w:val="04A0" w:firstRow="1" w:lastRow="0" w:firstColumn="1" w:lastColumn="0" w:noHBand="0" w:noVBand="1"/>
                </w:tblPr>
                <w:tblGrid>
                  <w:gridCol w:w="184"/>
                  <w:gridCol w:w="8100"/>
                </w:tblGrid>
                <w:tr>
                  <w:tc>
                    <w:tcPr>
                      <w:tcW w:w="0" w:type="auto"/>
                      <w:hideMark/>
                    </w:tcPr>
                    <w:p>
                      <w:pPr>
                        <w:jc w:val="both"/>
                        <w:rPr>
                          <w:sz w:val="22"/>
                          <w:szCs w:val="22"/>
                        </w:rPr>
                      </w:pPr>
                      <w:r>
                        <w:rPr>
                          <w:sz w:val="22"/>
                          <w:szCs w:val="22"/>
                        </w:rPr>
                        <w:t>b)</w:t>
                      </w:r>
                    </w:p>
                  </w:tc>
                  <w:tc>
                    <w:tcPr>
                      <w:tcW w:w="0" w:type="auto"/>
                      <w:hideMark/>
                    </w:tcPr>
                    <w:p>
                      <w:pPr>
                        <w:ind w:firstLine="57"/>
                        <w:jc w:val="both"/>
                        <w:rPr>
                          <w:sz w:val="22"/>
                          <w:szCs w:val="22"/>
                        </w:rPr>
                      </w:pPr>
                      <w:r>
                        <w:rPr>
                          <w:sz w:val="22"/>
                          <w:szCs w:val="22"/>
                        </w:rPr>
                        <w:t>pagalbą, suteiktą įmonėms, vykdančioms žvejybos ir akvakultūros produktų perdirbimo ir prekybos veiklą, kai pagalbos dydis nustatomas pagal įsigytų arba rinkai pateiktų produktų kainą arba kiekį;</w:t>
                      </w:r>
                    </w:p>
                  </w:tc>
                </w:tr>
              </w:tbl>
              <w:p>
                <w:pPr>
                  <w:shd w:val="clear" w:color="auto" w:fill="FFFFFF"/>
                  <w:jc w:val="both"/>
                  <w:rPr>
                    <w:vanish/>
                    <w:color w:val="000000"/>
                    <w:sz w:val="22"/>
                    <w:szCs w:val="22"/>
                  </w:rPr>
                </w:pPr>
              </w:p>
              <w:tbl>
                <w:tblPr>
                  <w:tblW w:w="5000" w:type="pct"/>
                  <w:tblCellMar>
                    <w:left w:w="0" w:type="dxa"/>
                    <w:right w:w="0" w:type="dxa"/>
                  </w:tblCellMar>
                  <w:tblLook w:val="04A0" w:firstRow="1" w:lastRow="0" w:firstColumn="1" w:lastColumn="0" w:noHBand="0" w:noVBand="1"/>
                </w:tblPr>
                <w:tblGrid>
                  <w:gridCol w:w="175"/>
                  <w:gridCol w:w="8109"/>
                </w:tblGrid>
                <w:tr>
                  <w:tc>
                    <w:tcPr>
                      <w:tcW w:w="0" w:type="auto"/>
                      <w:hideMark/>
                    </w:tcPr>
                    <w:p>
                      <w:pPr>
                        <w:rPr>
                          <w:sz w:val="10"/>
                          <w:szCs w:val="10"/>
                        </w:rPr>
                      </w:pPr>
                    </w:p>
                    <w:p>
                      <w:pPr>
                        <w:jc w:val="both"/>
                        <w:rPr>
                          <w:sz w:val="22"/>
                          <w:szCs w:val="22"/>
                        </w:rPr>
                      </w:pPr>
                      <w:r>
                        <w:rPr>
                          <w:sz w:val="22"/>
                          <w:szCs w:val="22"/>
                        </w:rPr>
                        <w:t>c)</w:t>
                      </w:r>
                    </w:p>
                  </w:tc>
                  <w:tc>
                    <w:tcPr>
                      <w:tcW w:w="0" w:type="auto"/>
                      <w:hideMark/>
                    </w:tcPr>
                    <w:p>
                      <w:pPr>
                        <w:rPr>
                          <w:sz w:val="10"/>
                          <w:szCs w:val="10"/>
                        </w:rPr>
                      </w:pPr>
                    </w:p>
                    <w:p>
                      <w:pPr>
                        <w:ind w:firstLine="57"/>
                        <w:jc w:val="both"/>
                        <w:rPr>
                          <w:sz w:val="22"/>
                          <w:szCs w:val="22"/>
                        </w:rPr>
                      </w:pPr>
                      <w:r>
                        <w:rPr>
                          <w:sz w:val="22"/>
                          <w:szCs w:val="22"/>
                        </w:rPr>
                        <w:t>pagalbą, suteiktą įmonėms, vykdančioms pirminės žemės ūkio produktų gamybos veiklą;</w:t>
                      </w:r>
                    </w:p>
                  </w:tc>
                </w:tr>
              </w:tbl>
              <w:p>
                <w:pPr>
                  <w:shd w:val="clear" w:color="auto" w:fill="FFFFFF"/>
                  <w:jc w:val="both"/>
                  <w:rPr>
                    <w:vanish/>
                    <w:color w:val="000000"/>
                    <w:sz w:val="22"/>
                    <w:szCs w:val="22"/>
                  </w:rPr>
                </w:pPr>
              </w:p>
              <w:tbl>
                <w:tblPr>
                  <w:tblW w:w="5000" w:type="pct"/>
                  <w:tblCellMar>
                    <w:left w:w="0" w:type="dxa"/>
                    <w:right w:w="0" w:type="dxa"/>
                  </w:tblCellMar>
                  <w:tblLook w:val="04A0" w:firstRow="1" w:lastRow="0" w:firstColumn="1" w:lastColumn="0" w:noHBand="0" w:noVBand="1"/>
                </w:tblPr>
                <w:tblGrid>
                  <w:gridCol w:w="184"/>
                  <w:gridCol w:w="8100"/>
                </w:tblGrid>
                <w:tr>
                  <w:tc>
                    <w:tcPr>
                      <w:tcW w:w="0" w:type="auto"/>
                      <w:hideMark/>
                    </w:tcPr>
                    <w:p>
                      <w:pPr>
                        <w:rPr>
                          <w:sz w:val="10"/>
                          <w:szCs w:val="10"/>
                        </w:rPr>
                      </w:pPr>
                    </w:p>
                    <w:p>
                      <w:pPr>
                        <w:jc w:val="both"/>
                        <w:rPr>
                          <w:sz w:val="22"/>
                          <w:szCs w:val="22"/>
                        </w:rPr>
                      </w:pPr>
                      <w:r>
                        <w:rPr>
                          <w:sz w:val="22"/>
                          <w:szCs w:val="22"/>
                        </w:rPr>
                        <w:t>d)</w:t>
                      </w:r>
                    </w:p>
                  </w:tc>
                  <w:tc>
                    <w:tcPr>
                      <w:tcW w:w="0" w:type="auto"/>
                      <w:hideMark/>
                    </w:tcPr>
                    <w:p>
                      <w:pPr>
                        <w:rPr>
                          <w:sz w:val="10"/>
                          <w:szCs w:val="10"/>
                        </w:rPr>
                      </w:pPr>
                    </w:p>
                    <w:p>
                      <w:pPr>
                        <w:ind w:firstLine="57"/>
                        <w:jc w:val="both"/>
                        <w:rPr>
                          <w:sz w:val="22"/>
                          <w:szCs w:val="22"/>
                        </w:rPr>
                      </w:pPr>
                      <w:r>
                        <w:rPr>
                          <w:sz w:val="22"/>
                          <w:szCs w:val="22"/>
                        </w:rPr>
                        <w:t>pagalbą, suteiktą įmonėms, vykdančioms žemės ūkio produktų perdirbimo ir prekybos jais veiklą, vienu iš šių atvejų:</w:t>
                      </w:r>
                    </w:p>
                    <w:tbl>
                      <w:tblPr>
                        <w:tblW w:w="5000" w:type="pct"/>
                        <w:tblCellMar>
                          <w:left w:w="0" w:type="dxa"/>
                          <w:right w:w="0" w:type="dxa"/>
                        </w:tblCellMar>
                        <w:tblLook w:val="04A0" w:firstRow="1" w:lastRow="0" w:firstColumn="1" w:lastColumn="0" w:noHBand="0" w:noVBand="1"/>
                      </w:tblPr>
                      <w:tblGrid>
                        <w:gridCol w:w="135"/>
                        <w:gridCol w:w="7965"/>
                      </w:tblGrid>
                      <w:tr>
                        <w:tc>
                          <w:tcPr>
                            <w:tcW w:w="0" w:type="auto"/>
                            <w:hideMark/>
                          </w:tcPr>
                          <w:p>
                            <w:pPr>
                              <w:rPr>
                                <w:sz w:val="10"/>
                                <w:szCs w:val="10"/>
                              </w:rPr>
                            </w:pPr>
                          </w:p>
                          <w:p>
                            <w:pPr>
                              <w:jc w:val="both"/>
                              <w:rPr>
                                <w:sz w:val="22"/>
                                <w:szCs w:val="22"/>
                              </w:rPr>
                            </w:pPr>
                            <w:r>
                              <w:rPr>
                                <w:sz w:val="22"/>
                                <w:szCs w:val="22"/>
                              </w:rPr>
                              <w:t>i)</w:t>
                            </w:r>
                          </w:p>
                        </w:tc>
                        <w:tc>
                          <w:tcPr>
                            <w:tcW w:w="0" w:type="auto"/>
                            <w:hideMark/>
                          </w:tcPr>
                          <w:p>
                            <w:pPr>
                              <w:rPr>
                                <w:sz w:val="10"/>
                                <w:szCs w:val="10"/>
                              </w:rPr>
                            </w:pPr>
                          </w:p>
                          <w:p>
                            <w:pPr>
                              <w:ind w:firstLine="57"/>
                              <w:jc w:val="both"/>
                              <w:rPr>
                                <w:sz w:val="22"/>
                                <w:szCs w:val="22"/>
                              </w:rPr>
                            </w:pPr>
                            <w:r>
                              <w:rPr>
                                <w:sz w:val="22"/>
                                <w:szCs w:val="22"/>
                              </w:rPr>
                              <w:t>kai pagalbos suma nustatoma pagal iš pirminės produkcijos gamintojų įsigytų arba atitinkamų įmonių rinkai pateiktų tokių produktų kainą arba kiekį;</w:t>
                            </w:r>
                          </w:p>
                        </w:tc>
                      </w:tr>
                    </w:tbl>
                    <w:p>
                      <w:pPr>
                        <w:jc w:val="both"/>
                        <w:rPr>
                          <w:vanish/>
                          <w:sz w:val="22"/>
                          <w:szCs w:val="22"/>
                        </w:rPr>
                      </w:pPr>
                    </w:p>
                    <w:tbl>
                      <w:tblPr>
                        <w:tblW w:w="5000" w:type="pct"/>
                        <w:tblCellMar>
                          <w:left w:w="0" w:type="dxa"/>
                          <w:right w:w="0" w:type="dxa"/>
                        </w:tblCellMar>
                        <w:tblLook w:val="04A0" w:firstRow="1" w:lastRow="0" w:firstColumn="1" w:lastColumn="0" w:noHBand="0" w:noVBand="1"/>
                      </w:tblPr>
                      <w:tblGrid>
                        <w:gridCol w:w="196"/>
                        <w:gridCol w:w="7904"/>
                      </w:tblGrid>
                      <w:tr>
                        <w:tc>
                          <w:tcPr>
                            <w:tcW w:w="0" w:type="auto"/>
                            <w:hideMark/>
                          </w:tcPr>
                          <w:p>
                            <w:pPr>
                              <w:rPr>
                                <w:sz w:val="10"/>
                                <w:szCs w:val="10"/>
                              </w:rPr>
                            </w:pPr>
                          </w:p>
                          <w:p>
                            <w:pPr>
                              <w:jc w:val="both"/>
                              <w:rPr>
                                <w:sz w:val="22"/>
                                <w:szCs w:val="22"/>
                              </w:rPr>
                            </w:pPr>
                            <w:r>
                              <w:rPr>
                                <w:sz w:val="22"/>
                                <w:szCs w:val="22"/>
                              </w:rPr>
                              <w:t>ii)</w:t>
                            </w:r>
                          </w:p>
                        </w:tc>
                        <w:tc>
                          <w:tcPr>
                            <w:tcW w:w="0" w:type="auto"/>
                            <w:hideMark/>
                          </w:tcPr>
                          <w:p>
                            <w:pPr>
                              <w:rPr>
                                <w:sz w:val="10"/>
                                <w:szCs w:val="10"/>
                              </w:rPr>
                            </w:pPr>
                          </w:p>
                          <w:p>
                            <w:pPr>
                              <w:ind w:firstLine="57"/>
                              <w:jc w:val="both"/>
                              <w:rPr>
                                <w:sz w:val="22"/>
                                <w:szCs w:val="22"/>
                              </w:rPr>
                            </w:pPr>
                            <w:r>
                              <w:rPr>
                                <w:sz w:val="22"/>
                                <w:szCs w:val="22"/>
                              </w:rPr>
                              <w:t>kai pagalba priklauso nuo to, ar ji bus iš dalies arba visa perduota pirminės produkcijos gamintojams;</w:t>
                            </w:r>
                          </w:p>
                        </w:tc>
                      </w:tr>
                    </w:tbl>
                    <w:p>
                      <w:pPr>
                        <w:jc w:val="both"/>
                        <w:rPr>
                          <w:sz w:val="22"/>
                          <w:szCs w:val="22"/>
                        </w:rPr>
                      </w:pPr>
                    </w:p>
                  </w:tc>
                </w:tr>
              </w:tbl>
              <w:p>
                <w:pPr>
                  <w:shd w:val="clear" w:color="auto" w:fill="FFFFFF"/>
                  <w:jc w:val="both"/>
                  <w:rPr>
                    <w:vanish/>
                    <w:color w:val="000000"/>
                    <w:sz w:val="22"/>
                    <w:szCs w:val="22"/>
                  </w:rPr>
                </w:pPr>
              </w:p>
              <w:tbl>
                <w:tblPr>
                  <w:tblW w:w="5000" w:type="pct"/>
                  <w:tblCellMar>
                    <w:left w:w="0" w:type="dxa"/>
                    <w:right w:w="0" w:type="dxa"/>
                  </w:tblCellMar>
                  <w:tblLook w:val="04A0" w:firstRow="1" w:lastRow="0" w:firstColumn="1" w:lastColumn="0" w:noHBand="0" w:noVBand="1"/>
                </w:tblPr>
                <w:tblGrid>
                  <w:gridCol w:w="171"/>
                  <w:gridCol w:w="8113"/>
                </w:tblGrid>
                <w:tr>
                  <w:tc>
                    <w:tcPr>
                      <w:tcW w:w="0" w:type="auto"/>
                      <w:hideMark/>
                    </w:tcPr>
                    <w:p>
                      <w:pPr>
                        <w:rPr>
                          <w:sz w:val="10"/>
                          <w:szCs w:val="10"/>
                        </w:rPr>
                      </w:pPr>
                    </w:p>
                    <w:p>
                      <w:pPr>
                        <w:jc w:val="both"/>
                        <w:rPr>
                          <w:sz w:val="22"/>
                          <w:szCs w:val="22"/>
                        </w:rPr>
                      </w:pPr>
                      <w:r>
                        <w:rPr>
                          <w:sz w:val="22"/>
                          <w:szCs w:val="22"/>
                        </w:rPr>
                        <w:t>e)</w:t>
                      </w:r>
                    </w:p>
                  </w:tc>
                  <w:tc>
                    <w:tcPr>
                      <w:tcW w:w="0" w:type="auto"/>
                      <w:hideMark/>
                    </w:tcPr>
                    <w:p>
                      <w:pPr>
                        <w:rPr>
                          <w:sz w:val="10"/>
                          <w:szCs w:val="10"/>
                        </w:rPr>
                      </w:pPr>
                    </w:p>
                    <w:p>
                      <w:pPr>
                        <w:ind w:firstLine="57"/>
                        <w:jc w:val="both"/>
                        <w:rPr>
                          <w:sz w:val="22"/>
                          <w:szCs w:val="22"/>
                        </w:rPr>
                      </w:pPr>
                      <w:r>
                        <w:rPr>
                          <w:sz w:val="22"/>
                          <w:szCs w:val="22"/>
                        </w:rPr>
                        <w:t>pagalbą, suteiktą su eksportu susijusiai veiklai trečiosiose valstybėse arba valstybėse narėse, t. y. pagalbą, tiesiogiai susijusią su eksportuojamais kiekiais, platinimo tinklo kūrimu bei veikla, arba kitomis einamosiomis išlaidomis, susijusiomis su eksporto veikla;</w:t>
                      </w:r>
                    </w:p>
                  </w:tc>
                </w:tr>
              </w:tbl>
              <w:p>
                <w:pPr>
                  <w:shd w:val="clear" w:color="auto" w:fill="FFFFFF"/>
                  <w:jc w:val="both"/>
                  <w:rPr>
                    <w:vanish/>
                    <w:color w:val="000000"/>
                    <w:sz w:val="22"/>
                    <w:szCs w:val="22"/>
                  </w:rPr>
                </w:pPr>
              </w:p>
              <w:tbl>
                <w:tblPr>
                  <w:tblW w:w="5000" w:type="pct"/>
                  <w:tblCellMar>
                    <w:left w:w="0" w:type="dxa"/>
                    <w:right w:w="0" w:type="dxa"/>
                  </w:tblCellMar>
                  <w:tblLook w:val="04A0" w:firstRow="1" w:lastRow="0" w:firstColumn="1" w:lastColumn="0" w:noHBand="0" w:noVBand="1"/>
                </w:tblPr>
                <w:tblGrid>
                  <w:gridCol w:w="147"/>
                  <w:gridCol w:w="8137"/>
                </w:tblGrid>
                <w:tr>
                  <w:tc>
                    <w:tcPr>
                      <w:tcW w:w="0" w:type="auto"/>
                      <w:hideMark/>
                    </w:tcPr>
                    <w:p>
                      <w:pPr>
                        <w:rPr>
                          <w:sz w:val="10"/>
                          <w:szCs w:val="10"/>
                        </w:rPr>
                      </w:pPr>
                    </w:p>
                    <w:p>
                      <w:pPr>
                        <w:jc w:val="both"/>
                        <w:rPr>
                          <w:sz w:val="22"/>
                          <w:szCs w:val="22"/>
                        </w:rPr>
                      </w:pPr>
                      <w:r>
                        <w:rPr>
                          <w:sz w:val="22"/>
                          <w:szCs w:val="22"/>
                        </w:rPr>
                        <w:t>f)</w:t>
                      </w:r>
                    </w:p>
                  </w:tc>
                  <w:tc>
                    <w:tcPr>
                      <w:tcW w:w="0" w:type="auto"/>
                      <w:hideMark/>
                    </w:tcPr>
                    <w:p>
                      <w:pPr>
                        <w:rPr>
                          <w:sz w:val="10"/>
                          <w:szCs w:val="10"/>
                        </w:rPr>
                      </w:pPr>
                    </w:p>
                    <w:p>
                      <w:pPr>
                        <w:ind w:firstLine="57"/>
                        <w:jc w:val="both"/>
                        <w:rPr>
                          <w:sz w:val="22"/>
                          <w:szCs w:val="22"/>
                        </w:rPr>
                      </w:pPr>
                      <w:r>
                        <w:rPr>
                          <w:sz w:val="22"/>
                          <w:szCs w:val="22"/>
                        </w:rPr>
                        <w:t>pagalbą, kuri priklauso nuo to, ar naudojama daugiau vidaus nei importuotų prekių arba paslaugų.</w:t>
                      </w:r>
                    </w:p>
                  </w:tc>
                </w:tr>
              </w:tbl>
              <w:p>
                <w:pPr>
                  <w:rPr>
                    <w:sz w:val="10"/>
                    <w:szCs w:val="10"/>
                  </w:rPr>
                </w:pPr>
              </w:p>
              <w:p>
                <w:pPr>
                  <w:shd w:val="clear" w:color="auto" w:fill="FFFFFF"/>
                  <w:jc w:val="both"/>
                  <w:rPr>
                    <w:sz w:val="22"/>
                    <w:szCs w:val="22"/>
                  </w:rPr>
                </w:pPr>
                <w:r>
                  <w:rPr>
                    <w:color w:val="000000"/>
                    <w:sz w:val="22"/>
                    <w:szCs w:val="22"/>
                  </w:rPr>
                  <w:t>2. Jeigu įmonė vykdo veiklą viename iš 1 dalies a, b, c arba d punkte nurodytų sektorių ir taip pat vykdo veiklą viename ar keliuose kituose sektoriuose, kuriems taikomas šis reglamentas, arba kitą veiklą, kuriai taikomas šis reglamentas, šis reglamentas taikomas pagalbai, kuri suteikta pastaruosiuose sektoriuose ar pastarajai veiklai, su sąlyga, kad atitinkama valstybė narė tinkamomis priemonėmis, pavyzdžiui, atskirdama veiklos sritis ar apskaitą, užtikrins, kad veiklai tuose sektoriuose, kuriems šis reglamentas netaikomas, nebūtų naudojama </w:t>
                </w:r>
                <w:r>
                  <w:rPr>
                    <w:i/>
                    <w:iCs/>
                    <w:color w:val="000000"/>
                    <w:sz w:val="22"/>
                    <w:szCs w:val="22"/>
                  </w:rPr>
                  <w:t>de minimis</w:t>
                </w:r>
                <w:r>
                  <w:rPr>
                    <w:color w:val="000000"/>
                    <w:sz w:val="22"/>
                    <w:szCs w:val="22"/>
                  </w:rPr>
                  <w:t> pagalba, suteikta pagal šį reglamentą.</w:t>
                </w:r>
              </w:p>
            </w:tc>
            <w:tc>
              <w:tcPr>
                <w:tcW w:w="5103" w:type="dxa"/>
                <w:tcMar>
                  <w:top w:w="0" w:type="dxa"/>
                  <w:left w:w="108" w:type="dxa"/>
                  <w:bottom w:w="0" w:type="dxa"/>
                  <w:right w:w="108" w:type="dxa"/>
                </w:tcMar>
              </w:tcPr>
              <w:p>
                <w:pPr>
                  <w:tabs>
                    <w:tab w:val="left" w:pos="876"/>
                    <w:tab w:val="left" w:pos="1723"/>
                  </w:tabs>
                  <w:spacing w:line="259" w:lineRule="auto"/>
                  <w:ind w:left="22"/>
                  <w:jc w:val="both"/>
                  <w:rPr>
                    <w:rFonts w:eastAsia="Calibri"/>
                    <w:bCs/>
                    <w:kern w:val="2"/>
                    <w:sz w:val="22"/>
                    <w:szCs w:val="22"/>
                  </w:rPr>
                </w:pPr>
                <w:r>
                  <w:rPr>
                    <w:kern w:val="2"/>
                    <w:sz w:val="22"/>
                    <w:szCs w:val="22"/>
                  </w:rPr>
                  <w:t xml:space="preserve">23 priedo 11.2 papunktis, 23 priedo </w:t>
                </w:r>
                <w:r>
                  <w:rPr>
                    <w:bCs/>
                    <w:color w:val="000000"/>
                    <w:kern w:val="2"/>
                    <w:sz w:val="22"/>
                    <w:szCs w:val="22"/>
                  </w:rPr>
                  <w:t xml:space="preserve">2 priedo </w:t>
                </w:r>
                <w:r>
                  <w:rPr>
                    <w:rFonts w:eastAsia="Calibri"/>
                    <w:bCs/>
                    <w:kern w:val="2"/>
                    <w:sz w:val="22"/>
                    <w:szCs w:val="22"/>
                  </w:rPr>
                  <w:t>1–8 klausimai.</w:t>
                </w:r>
              </w:p>
              <w:p>
                <w:pPr>
                  <w:rPr>
                    <w:sz w:val="14"/>
                    <w:szCs w:val="14"/>
                  </w:rPr>
                </w:pPr>
              </w:p>
              <w:p>
                <w:pPr>
                  <w:spacing w:line="259" w:lineRule="auto"/>
                  <w:jc w:val="both"/>
                  <w:rPr>
                    <w:sz w:val="22"/>
                    <w:szCs w:val="22"/>
                  </w:rPr>
                </w:pPr>
              </w:p>
            </w:tc>
          </w:tr>
          <w:tr>
            <w:tc>
              <w:tcPr>
                <w:tcW w:w="8500" w:type="dxa"/>
                <w:tcMar>
                  <w:top w:w="0" w:type="dxa"/>
                  <w:left w:w="108" w:type="dxa"/>
                  <w:bottom w:w="0" w:type="dxa"/>
                  <w:right w:w="108" w:type="dxa"/>
                </w:tcMar>
              </w:tcPr>
              <w:p>
                <w:pPr>
                  <w:jc w:val="both"/>
                  <w:rPr>
                    <w:sz w:val="22"/>
                    <w:szCs w:val="22"/>
                  </w:rPr>
                </w:pPr>
                <w:r>
                  <w:rPr>
                    <w:b/>
                    <w:bCs/>
                    <w:sz w:val="22"/>
                    <w:szCs w:val="22"/>
                  </w:rPr>
                  <w:t>3 straipsnio 2 dalis</w:t>
                </w:r>
                <w:r>
                  <w:rPr>
                    <w:sz w:val="22"/>
                    <w:szCs w:val="22"/>
                  </w:rPr>
                  <w:t xml:space="preserve"> „</w:t>
                </w:r>
                <w:r>
                  <w:rPr>
                    <w:color w:val="000000"/>
                    <w:kern w:val="2"/>
                    <w:sz w:val="22"/>
                    <w:szCs w:val="22"/>
                    <w:shd w:val="clear" w:color="auto" w:fill="FFFFFF"/>
                  </w:rPr>
                  <w:t>Bendra vienai įmonei suteiktos </w:t>
                </w:r>
                <w:r>
                  <w:rPr>
                    <w:i/>
                    <w:iCs/>
                    <w:color w:val="000000"/>
                    <w:kern w:val="2"/>
                    <w:sz w:val="22"/>
                    <w:szCs w:val="22"/>
                    <w:shd w:val="clear" w:color="auto" w:fill="FFFFFF"/>
                  </w:rPr>
                  <w:t>de minimis</w:t>
                </w:r>
                <w:r>
                  <w:rPr>
                    <w:color w:val="000000"/>
                    <w:kern w:val="2"/>
                    <w:sz w:val="22"/>
                    <w:szCs w:val="22"/>
                    <w:shd w:val="clear" w:color="auto" w:fill="FFFFFF"/>
                  </w:rPr>
                  <w:t> pagalbos suma kiekvienoje valstybėje narėje neviršija 300 000 EUR per bet kurį trejų metų laikotarpį.“</w:t>
                </w:r>
              </w:p>
            </w:tc>
            <w:tc>
              <w:tcPr>
                <w:tcW w:w="5103" w:type="dxa"/>
                <w:tcMar>
                  <w:top w:w="0" w:type="dxa"/>
                  <w:left w:w="108" w:type="dxa"/>
                  <w:bottom w:w="0" w:type="dxa"/>
                  <w:right w:w="108" w:type="dxa"/>
                </w:tcMar>
              </w:tcPr>
              <w:p>
                <w:pPr>
                  <w:spacing w:line="257" w:lineRule="auto"/>
                  <w:jc w:val="both"/>
                  <w:rPr>
                    <w:sz w:val="22"/>
                    <w:szCs w:val="22"/>
                  </w:rPr>
                </w:pPr>
                <w:r>
                  <w:rPr>
                    <w:sz w:val="22"/>
                    <w:szCs w:val="22"/>
                  </w:rPr>
                  <w:t>23 priedo 11.4 papunktis, 11</w:t>
                </w:r>
                <w:r>
                  <w:rPr>
                    <w:rFonts w:eastAsia="Calibri"/>
                    <w:kern w:val="2"/>
                    <w:sz w:val="22"/>
                    <w:szCs w:val="22"/>
                  </w:rPr>
                  <w:t xml:space="preserve">.5 papunktis, 23 priedo </w:t>
                </w:r>
                <w:r>
                  <w:rPr>
                    <w:sz w:val="22"/>
                    <w:szCs w:val="22"/>
                  </w:rPr>
                  <w:t>2 priedo 9 klausimas.</w:t>
                </w:r>
              </w:p>
            </w:tc>
          </w:tr>
          <w:tr>
            <w:tc>
              <w:tcPr>
                <w:tcW w:w="8500" w:type="dxa"/>
                <w:tcMar>
                  <w:top w:w="0" w:type="dxa"/>
                  <w:left w:w="108" w:type="dxa"/>
                  <w:bottom w:w="0" w:type="dxa"/>
                  <w:right w:w="108" w:type="dxa"/>
                </w:tcMar>
              </w:tcPr>
              <w:p>
                <w:pPr>
                  <w:jc w:val="both"/>
                  <w:rPr>
                    <w:sz w:val="22"/>
                    <w:szCs w:val="22"/>
                  </w:rPr>
                </w:pPr>
                <w:r>
                  <w:rPr>
                    <w:b/>
                    <w:bCs/>
                    <w:sz w:val="22"/>
                    <w:szCs w:val="22"/>
                  </w:rPr>
                  <w:t>3 straipsnio 5 dalis</w:t>
                </w:r>
                <w:r>
                  <w:rPr>
                    <w:sz w:val="22"/>
                    <w:szCs w:val="22"/>
                  </w:rPr>
                  <w:t xml:space="preserve"> „</w:t>
                </w:r>
                <w:r>
                  <w:rPr>
                    <w:color w:val="000000"/>
                    <w:kern w:val="2"/>
                    <w:sz w:val="22"/>
                    <w:szCs w:val="22"/>
                    <w:shd w:val="clear" w:color="auto" w:fill="FFFFFF"/>
                  </w:rPr>
                  <w:t>Laikantis 2 dalyje nustatytos viršutinės ribos, pagalba išreiškiama kaip piniginė dotacija. Visi naudojami skaičiai yra bruto, t. y. neatskaičius mokesčių ar kitų rinkliavų. Jei pagalba teikiama ne kaip dotacija, pagalbos suma atitinka pagalbos bendrąjį subsidijos ekvivalentą.“</w:t>
                </w:r>
              </w:p>
            </w:tc>
            <w:tc>
              <w:tcPr>
                <w:tcW w:w="5103" w:type="dxa"/>
                <w:tcMar>
                  <w:top w:w="0" w:type="dxa"/>
                  <w:left w:w="108" w:type="dxa"/>
                  <w:bottom w:w="0" w:type="dxa"/>
                  <w:right w:w="108" w:type="dxa"/>
                </w:tcMar>
              </w:tcPr>
              <w:p>
                <w:pPr>
                  <w:jc w:val="both"/>
                  <w:rPr>
                    <w:sz w:val="22"/>
                    <w:szCs w:val="22"/>
                  </w:rPr>
                </w:pPr>
                <w:r>
                  <w:rPr>
                    <w:sz w:val="22"/>
                    <w:szCs w:val="22"/>
                  </w:rPr>
                  <w:t>23 priedo 2 priedo 10 klausimas.</w:t>
                </w:r>
              </w:p>
            </w:tc>
          </w:tr>
          <w:tr>
            <w:tc>
              <w:tcPr>
                <w:tcW w:w="8500" w:type="dxa"/>
                <w:tcMar>
                  <w:top w:w="0" w:type="dxa"/>
                  <w:left w:w="108" w:type="dxa"/>
                  <w:bottom w:w="0" w:type="dxa"/>
                  <w:right w:w="108" w:type="dxa"/>
                </w:tcMar>
              </w:tcPr>
              <w:p>
                <w:pPr>
                  <w:jc w:val="both"/>
                  <w:rPr>
                    <w:sz w:val="22"/>
                    <w:szCs w:val="22"/>
                  </w:rPr>
                </w:pPr>
                <w:r>
                  <w:rPr>
                    <w:b/>
                    <w:bCs/>
                    <w:sz w:val="22"/>
                    <w:szCs w:val="22"/>
                  </w:rPr>
                  <w:t>3 straipsnio 8 dalis</w:t>
                </w:r>
                <w:r>
                  <w:rPr>
                    <w:sz w:val="22"/>
                    <w:szCs w:val="22"/>
                  </w:rPr>
                  <w:t xml:space="preserve"> „</w:t>
                </w:r>
                <w:r>
                  <w:rPr>
                    <w:color w:val="000000"/>
                    <w:kern w:val="2"/>
                    <w:sz w:val="22"/>
                    <w:szCs w:val="22"/>
                    <w:shd w:val="clear" w:color="auto" w:fill="FFFFFF"/>
                  </w:rPr>
                  <w:t>Susijungimų ar įsigijimų atveju, apskaičiuojant, ar nauja </w:t>
                </w:r>
                <w:r>
                  <w:rPr>
                    <w:i/>
                    <w:iCs/>
                    <w:color w:val="000000"/>
                    <w:kern w:val="2"/>
                    <w:sz w:val="22"/>
                    <w:szCs w:val="22"/>
                    <w:shd w:val="clear" w:color="auto" w:fill="FFFFFF"/>
                  </w:rPr>
                  <w:t>de minimis</w:t>
                </w:r>
                <w:r>
                  <w:rPr>
                    <w:color w:val="000000"/>
                    <w:kern w:val="2"/>
                    <w:sz w:val="22"/>
                    <w:szCs w:val="22"/>
                    <w:shd w:val="clear" w:color="auto" w:fill="FFFFFF"/>
                  </w:rPr>
                  <w:t> pagalba naujai arba įsigyjančiai įmonei viršija 2 dalyje nustatytą viršutinę ribą, atsižvelgiama į visą ankstesnę susijungiančioms įmonėms suteiktą </w:t>
                </w:r>
                <w:r>
                  <w:rPr>
                    <w:i/>
                    <w:iCs/>
                    <w:color w:val="000000"/>
                    <w:kern w:val="2"/>
                    <w:sz w:val="22"/>
                    <w:szCs w:val="22"/>
                    <w:shd w:val="clear" w:color="auto" w:fill="FFFFFF"/>
                  </w:rPr>
                  <w:t>de minimis</w:t>
                </w:r>
                <w:r>
                  <w:rPr>
                    <w:color w:val="000000"/>
                    <w:kern w:val="2"/>
                    <w:sz w:val="22"/>
                    <w:szCs w:val="22"/>
                    <w:shd w:val="clear" w:color="auto" w:fill="FFFFFF"/>
                  </w:rPr>
                  <w:t> pagalbą. </w:t>
                </w:r>
                <w:r>
                  <w:rPr>
                    <w:i/>
                    <w:iCs/>
                    <w:color w:val="000000"/>
                    <w:kern w:val="2"/>
                    <w:sz w:val="22"/>
                    <w:szCs w:val="22"/>
                    <w:shd w:val="clear" w:color="auto" w:fill="FFFFFF"/>
                  </w:rPr>
                  <w:t>De minimis</w:t>
                </w:r>
                <w:r>
                  <w:rPr>
                    <w:color w:val="000000"/>
                    <w:kern w:val="2"/>
                    <w:sz w:val="22"/>
                    <w:szCs w:val="22"/>
                    <w:shd w:val="clear" w:color="auto" w:fill="FFFFFF"/>
                  </w:rPr>
                  <w:t> pagalba, kuri teisėtai suteikta prieš susijungimą arba įsigijimą, tebėra teisėta.“</w:t>
                </w:r>
              </w:p>
            </w:tc>
            <w:tc>
              <w:tcPr>
                <w:tcW w:w="5103" w:type="dxa"/>
                <w:tcMar>
                  <w:top w:w="0" w:type="dxa"/>
                  <w:left w:w="108" w:type="dxa"/>
                  <w:bottom w:w="0" w:type="dxa"/>
                  <w:right w:w="108" w:type="dxa"/>
                </w:tcMar>
              </w:tcPr>
              <w:p>
                <w:pPr>
                  <w:jc w:val="both"/>
                  <w:rPr>
                    <w:sz w:val="22"/>
                    <w:szCs w:val="22"/>
                  </w:rPr>
                </w:pPr>
                <w:r>
                  <w:rPr>
                    <w:sz w:val="22"/>
                    <w:szCs w:val="22"/>
                  </w:rPr>
                  <w:t>23 priedo 2 priedo 11 klausimas.</w:t>
                </w:r>
              </w:p>
            </w:tc>
          </w:tr>
          <w:tr>
            <w:tc>
              <w:tcPr>
                <w:tcW w:w="8500" w:type="dxa"/>
                <w:tcMar>
                  <w:top w:w="0" w:type="dxa"/>
                  <w:left w:w="108" w:type="dxa"/>
                  <w:bottom w:w="0" w:type="dxa"/>
                  <w:right w:w="108" w:type="dxa"/>
                </w:tcMar>
              </w:tcPr>
              <w:p>
                <w:pPr>
                  <w:jc w:val="both"/>
                  <w:rPr>
                    <w:sz w:val="22"/>
                    <w:szCs w:val="22"/>
                  </w:rPr>
                </w:pPr>
                <w:r>
                  <w:rPr>
                    <w:b/>
                    <w:bCs/>
                    <w:sz w:val="22"/>
                    <w:szCs w:val="22"/>
                  </w:rPr>
                  <w:t>3 straipsnio 9 dalis</w:t>
                </w:r>
                <w:r>
                  <w:rPr>
                    <w:sz w:val="22"/>
                    <w:szCs w:val="22"/>
                  </w:rPr>
                  <w:t xml:space="preserve"> „</w:t>
                </w:r>
                <w:r>
                  <w:rPr>
                    <w:color w:val="000000"/>
                    <w:kern w:val="2"/>
                    <w:sz w:val="22"/>
                    <w:szCs w:val="22"/>
                    <w:shd w:val="clear" w:color="auto" w:fill="FFFFFF"/>
                  </w:rPr>
                  <w:t>Jei viena įmonė suskaidoma į dvi ar daugiau atskirų įmonių, iki suskaidymo suteikta </w:t>
                </w:r>
                <w:r>
                  <w:rPr>
                    <w:i/>
                    <w:iCs/>
                    <w:color w:val="000000"/>
                    <w:kern w:val="2"/>
                    <w:sz w:val="22"/>
                    <w:szCs w:val="22"/>
                    <w:shd w:val="clear" w:color="auto" w:fill="FFFFFF"/>
                  </w:rPr>
                  <w:t>de minimis</w:t>
                </w:r>
                <w:r>
                  <w:rPr>
                    <w:color w:val="000000"/>
                    <w:kern w:val="2"/>
                    <w:sz w:val="22"/>
                    <w:szCs w:val="22"/>
                    <w:shd w:val="clear" w:color="auto" w:fill="FFFFFF"/>
                  </w:rPr>
                  <w:t> pagalba priskiriama įmonei, kuri ja pasinaudojo, o tai iš principo yra įmonė, perimanti veiklą, kuriai vykdyti </w:t>
                </w:r>
                <w:r>
                  <w:rPr>
                    <w:i/>
                    <w:iCs/>
                    <w:color w:val="000000"/>
                    <w:kern w:val="2"/>
                    <w:sz w:val="22"/>
                    <w:szCs w:val="22"/>
                    <w:shd w:val="clear" w:color="auto" w:fill="FFFFFF"/>
                  </w:rPr>
                  <w:t>de minimis</w:t>
                </w:r>
                <w:r>
                  <w:rPr>
                    <w:color w:val="000000"/>
                    <w:kern w:val="2"/>
                    <w:sz w:val="22"/>
                    <w:szCs w:val="22"/>
                    <w:shd w:val="clear" w:color="auto" w:fill="FFFFFF"/>
                  </w:rPr>
                  <w:t> pagalba panaudota. Jei toks priskyrimas neįmanomas, </w:t>
                </w:r>
                <w:r>
                  <w:rPr>
                    <w:i/>
                    <w:iCs/>
                    <w:color w:val="000000"/>
                    <w:kern w:val="2"/>
                    <w:sz w:val="22"/>
                    <w:szCs w:val="22"/>
                    <w:shd w:val="clear" w:color="auto" w:fill="FFFFFF"/>
                  </w:rPr>
                  <w:t>de minimis</w:t>
                </w:r>
                <w:r>
                  <w:rPr>
                    <w:color w:val="000000"/>
                    <w:kern w:val="2"/>
                    <w:sz w:val="22"/>
                    <w:szCs w:val="22"/>
                    <w:shd w:val="clear" w:color="auto" w:fill="FFFFFF"/>
                  </w:rPr>
                  <w:t> pagalba proporcingai paskirstoma remiantis naujųjų įmonių nuosavo kapitalo balansine verte suskaidymo įsigaliojimo dieną.“</w:t>
                </w:r>
              </w:p>
            </w:tc>
            <w:tc>
              <w:tcPr>
                <w:tcW w:w="5103" w:type="dxa"/>
                <w:tcMar>
                  <w:top w:w="0" w:type="dxa"/>
                  <w:left w:w="108" w:type="dxa"/>
                  <w:bottom w:w="0" w:type="dxa"/>
                  <w:right w:w="108" w:type="dxa"/>
                </w:tcMar>
              </w:tcPr>
              <w:p>
                <w:pPr>
                  <w:jc w:val="both"/>
                  <w:rPr>
                    <w:sz w:val="22"/>
                    <w:szCs w:val="22"/>
                  </w:rPr>
                </w:pPr>
                <w:r>
                  <w:rPr>
                    <w:sz w:val="22"/>
                    <w:szCs w:val="22"/>
                  </w:rPr>
                  <w:t>23 priedo 2 priedo 12 klausimas.</w:t>
                </w:r>
              </w:p>
            </w:tc>
          </w:tr>
          <w:tr>
            <w:tc>
              <w:tcPr>
                <w:tcW w:w="8500" w:type="dxa"/>
                <w:tcMar>
                  <w:top w:w="0" w:type="dxa"/>
                  <w:left w:w="108" w:type="dxa"/>
                  <w:bottom w:w="0" w:type="dxa"/>
                  <w:right w:w="108" w:type="dxa"/>
                </w:tcMar>
              </w:tcPr>
              <w:p>
                <w:pPr>
                  <w:rPr>
                    <w:sz w:val="10"/>
                    <w:szCs w:val="10"/>
                  </w:rPr>
                </w:pPr>
              </w:p>
              <w:p>
                <w:pPr>
                  <w:shd w:val="clear" w:color="auto" w:fill="FFFFFF"/>
                  <w:jc w:val="both"/>
                  <w:rPr>
                    <w:sz w:val="22"/>
                    <w:szCs w:val="22"/>
                  </w:rPr>
                </w:pPr>
                <w:r>
                  <w:rPr>
                    <w:b/>
                    <w:bCs/>
                    <w:sz w:val="22"/>
                    <w:szCs w:val="22"/>
                  </w:rPr>
                  <w:t>5 straipsnis</w:t>
                </w:r>
                <w:r>
                  <w:rPr>
                    <w:sz w:val="22"/>
                    <w:szCs w:val="22"/>
                  </w:rPr>
                  <w:t xml:space="preserve">. </w:t>
                </w:r>
                <w:r>
                  <w:rPr>
                    <w:b/>
                    <w:bCs/>
                    <w:sz w:val="22"/>
                    <w:szCs w:val="22"/>
                  </w:rPr>
                  <w:t>Pagalbos sumavimas.</w:t>
                </w:r>
                <w:r>
                  <w:rPr>
                    <w:sz w:val="22"/>
                    <w:szCs w:val="22"/>
                  </w:rPr>
                  <w:t xml:space="preserve"> </w:t>
                </w:r>
              </w:p>
              <w:p>
                <w:pPr>
                  <w:rPr>
                    <w:sz w:val="10"/>
                    <w:szCs w:val="10"/>
                  </w:rPr>
                </w:pPr>
              </w:p>
              <w:p>
                <w:pPr>
                  <w:shd w:val="clear" w:color="auto" w:fill="FFFFFF"/>
                  <w:jc w:val="both"/>
                  <w:rPr>
                    <w:color w:val="000000"/>
                    <w:sz w:val="22"/>
                    <w:szCs w:val="22"/>
                  </w:rPr>
                </w:pPr>
                <w:r>
                  <w:rPr>
                    <w:sz w:val="22"/>
                    <w:szCs w:val="22"/>
                  </w:rPr>
                  <w:t>„</w:t>
                </w:r>
                <w:r>
                  <w:rPr>
                    <w:color w:val="000000"/>
                    <w:sz w:val="22"/>
                    <w:szCs w:val="22"/>
                  </w:rPr>
                  <w:t>1. Pagal šį reglamentą suteikta </w:t>
                </w:r>
                <w:r>
                  <w:rPr>
                    <w:i/>
                    <w:iCs/>
                    <w:color w:val="000000"/>
                    <w:sz w:val="22"/>
                    <w:szCs w:val="22"/>
                  </w:rPr>
                  <w:t>de minimis</w:t>
                </w:r>
                <w:r>
                  <w:rPr>
                    <w:color w:val="000000"/>
                    <w:sz w:val="22"/>
                    <w:szCs w:val="22"/>
                  </w:rPr>
                  <w:t> pagalba gali būti sumuojama su </w:t>
                </w:r>
                <w:r>
                  <w:rPr>
                    <w:i/>
                    <w:iCs/>
                    <w:color w:val="000000"/>
                    <w:sz w:val="22"/>
                    <w:szCs w:val="22"/>
                  </w:rPr>
                  <w:t>de minimis</w:t>
                </w:r>
                <w:r>
                  <w:rPr>
                    <w:color w:val="000000"/>
                    <w:sz w:val="22"/>
                    <w:szCs w:val="22"/>
                  </w:rPr>
                  <w:t xml:space="preserve"> pagalba, suteikta pagal Komisijos reglamentą </w:t>
                </w:r>
                <w:fldSimple w:instr="HYPERLINK http://eur-lex.europa.eu/legal-content/LIT/TXT/?uri=CELEX:32023R2832&amp;locale=lt \t _blank">
                  <w:r>
                    <w:rPr>
                      <w:color w:val="0000FF" w:themeColor="hyperlink"/>
                      <w:sz w:val="22"/>
                      <w:szCs w:val="22"/>
                      <w:u w:val="single"/>
                    </w:rPr>
                    <w:t>(ES) 2023/2832</w:t>
                  </w:r>
                </w:fldSimple>
                <w:r>
                  <w:rPr>
                    <w:color w:val="000000"/>
                    <w:sz w:val="22"/>
                    <w:szCs w:val="22"/>
                  </w:rPr>
                  <w:t>.</w:t>
                </w:r>
              </w:p>
              <w:p>
                <w:pPr>
                  <w:rPr>
                    <w:sz w:val="10"/>
                    <w:szCs w:val="10"/>
                  </w:rPr>
                </w:pPr>
              </w:p>
              <w:p>
                <w:pPr>
                  <w:shd w:val="clear" w:color="auto" w:fill="FFFFFF"/>
                  <w:jc w:val="both"/>
                  <w:rPr>
                    <w:color w:val="000000"/>
                    <w:sz w:val="22"/>
                    <w:szCs w:val="22"/>
                  </w:rPr>
                </w:pPr>
                <w:r>
                  <w:rPr>
                    <w:color w:val="000000"/>
                    <w:sz w:val="22"/>
                    <w:szCs w:val="22"/>
                  </w:rPr>
                  <w:t>2. Pagal šį reglamentą suteikta </w:t>
                </w:r>
                <w:r>
                  <w:rPr>
                    <w:i/>
                    <w:iCs/>
                    <w:color w:val="000000"/>
                    <w:sz w:val="22"/>
                    <w:szCs w:val="22"/>
                  </w:rPr>
                  <w:t>de minimis</w:t>
                </w:r>
                <w:r>
                  <w:rPr>
                    <w:color w:val="000000"/>
                    <w:sz w:val="22"/>
                    <w:szCs w:val="22"/>
                  </w:rPr>
                  <w:t> pagalba gali būti sumuojama su </w:t>
                </w:r>
                <w:r>
                  <w:rPr>
                    <w:i/>
                    <w:iCs/>
                    <w:color w:val="000000"/>
                    <w:sz w:val="22"/>
                    <w:szCs w:val="22"/>
                  </w:rPr>
                  <w:t>de minimis</w:t>
                </w:r>
                <w:r>
                  <w:rPr>
                    <w:color w:val="000000"/>
                    <w:sz w:val="22"/>
                    <w:szCs w:val="22"/>
                  </w:rPr>
                  <w:t xml:space="preserve"> pagalba, suteikta pagal Komisijos reglamentus </w:t>
                </w:r>
                <w:fldSimple w:instr="HYPERLINK http://eur-lex.europa.eu/legal-content/LIT/TXT/?uri=CELEX:32013R1408&amp;locale=lt \t _blank">
                  <w:r>
                    <w:rPr>
                      <w:color w:val="0000FF" w:themeColor="hyperlink"/>
                      <w:sz w:val="22"/>
                      <w:szCs w:val="22"/>
                      <w:u w:val="single"/>
                    </w:rPr>
                    <w:t>(ES) Nr. 1408/2013</w:t>
                  </w:r>
                </w:fldSimple>
                <w:r>
                  <w:rPr>
                    <w:color w:val="000000"/>
                    <w:sz w:val="22"/>
                    <w:szCs w:val="22"/>
                  </w:rPr>
                  <w:t xml:space="preserve"> ir </w:t>
                </w:r>
                <w:fldSimple w:instr="HYPERLINK http://eur-lex.europa.eu/legal-content/LIT/TXT/?uri=CELEX:32014R0717&amp;locale=lt \t _blank">
                  <w:r>
                    <w:rPr>
                      <w:color w:val="0000FF" w:themeColor="hyperlink"/>
                      <w:sz w:val="22"/>
                      <w:szCs w:val="22"/>
                      <w:u w:val="single"/>
                    </w:rPr>
                    <w:t>(ES) Nr. 717/2014</w:t>
                  </w:r>
                </w:fldSimple>
                <w:r>
                  <w:rPr>
                    <w:color w:val="000000"/>
                    <w:sz w:val="22"/>
                    <w:szCs w:val="22"/>
                  </w:rPr>
                  <w:t>, neviršijant šio reglamento 3 straipsnio 2 dalyje nustatytos atitinkamos viršutinės ribos.</w:t>
                </w:r>
              </w:p>
              <w:p>
                <w:pPr>
                  <w:rPr>
                    <w:sz w:val="10"/>
                    <w:szCs w:val="10"/>
                  </w:rPr>
                </w:pPr>
              </w:p>
              <w:p>
                <w:pPr>
                  <w:shd w:val="clear" w:color="auto" w:fill="FFFFFF"/>
                  <w:jc w:val="both"/>
                  <w:rPr>
                    <w:sz w:val="22"/>
                    <w:szCs w:val="22"/>
                  </w:rPr>
                </w:pPr>
                <w:r>
                  <w:rPr>
                    <w:color w:val="000000"/>
                    <w:sz w:val="22"/>
                    <w:szCs w:val="22"/>
                  </w:rPr>
                  <w:t>3. Pagal šį reglamentą skiriama </w:t>
                </w:r>
                <w:r>
                  <w:rPr>
                    <w:i/>
                    <w:iCs/>
                    <w:color w:val="000000"/>
                    <w:sz w:val="22"/>
                    <w:szCs w:val="22"/>
                  </w:rPr>
                  <w:t>de minimis</w:t>
                </w:r>
                <w:r>
                  <w:rPr>
                    <w:color w:val="000000"/>
                    <w:sz w:val="22"/>
                    <w:szCs w:val="22"/>
                  </w:rPr>
                  <w:t> pagalba nesumuojama su valstybės pagalba, skiriama toms pačioms tinkamoms finansuoti išlaidoms, arba su valstybės pagalba, susijusia su ta pačia rizikos finansų priemone, jeigu dėl tokio pagalbos sumavimo būtų viršytas bendrosios išimties reglamente arba Komisijos priimtame sprendime nustatytas didžiausias atitinkamas pagalbos intensyvumas arba kiekvienu atveju atskirai nustatyta pagalbos suma. </w:t>
                </w:r>
                <w:r>
                  <w:rPr>
                    <w:i/>
                    <w:iCs/>
                    <w:color w:val="000000"/>
                    <w:sz w:val="22"/>
                    <w:szCs w:val="22"/>
                  </w:rPr>
                  <w:t>De minimis</w:t>
                </w:r>
                <w:r>
                  <w:rPr>
                    <w:color w:val="000000"/>
                    <w:sz w:val="22"/>
                    <w:szCs w:val="22"/>
                  </w:rPr>
                  <w:t> pagalba, kuri nėra teikiama arba priskiriama konkrečioms tinkamoms finansuoti išlaidoms, gali būti sumuojama su kita valstybės pagalba, suteikta pagal bendrosios išimties reglamentą arba Komisijos priimtą sprendimą.“</w:t>
                </w:r>
              </w:p>
            </w:tc>
            <w:tc>
              <w:tcPr>
                <w:tcW w:w="5103" w:type="dxa"/>
                <w:tcMar>
                  <w:top w:w="0" w:type="dxa"/>
                  <w:left w:w="108" w:type="dxa"/>
                  <w:bottom w:w="0" w:type="dxa"/>
                  <w:right w:w="108" w:type="dxa"/>
                </w:tcMar>
              </w:tcPr>
              <w:p>
                <w:pPr>
                  <w:jc w:val="both"/>
                  <w:rPr>
                    <w:sz w:val="22"/>
                    <w:szCs w:val="22"/>
                  </w:rPr>
                </w:pPr>
                <w:r>
                  <w:rPr>
                    <w:sz w:val="22"/>
                    <w:szCs w:val="22"/>
                  </w:rPr>
                  <w:t>23 priedo 2 priedo 13 klausimas.</w:t>
                </w:r>
              </w:p>
            </w:tc>
          </w:tr>
          <w:tr>
            <w:tc>
              <w:tcPr>
                <w:tcW w:w="8500" w:type="dxa"/>
                <w:tcMar>
                  <w:top w:w="0" w:type="dxa"/>
                  <w:left w:w="108" w:type="dxa"/>
                  <w:bottom w:w="0" w:type="dxa"/>
                  <w:right w:w="108" w:type="dxa"/>
                </w:tcMar>
              </w:tcPr>
              <w:p>
                <w:pPr>
                  <w:jc w:val="both"/>
                  <w:rPr>
                    <w:b/>
                    <w:bCs/>
                    <w:sz w:val="22"/>
                    <w:szCs w:val="22"/>
                  </w:rPr>
                </w:pPr>
                <w:r>
                  <w:rPr>
                    <w:b/>
                    <w:bCs/>
                    <w:sz w:val="22"/>
                    <w:szCs w:val="22"/>
                  </w:rPr>
                  <w:t>7 straipsnis. Pereinamojo laikotarpio nuostatos.</w:t>
                </w:r>
              </w:p>
              <w:p>
                <w:pPr>
                  <w:jc w:val="both"/>
                  <w:rPr>
                    <w:b/>
                    <w:bCs/>
                    <w:sz w:val="22"/>
                    <w:szCs w:val="22"/>
                    <w:lang w:val="en-US"/>
                  </w:rPr>
                </w:pPr>
                <w:r>
                  <w:rPr>
                    <w:b/>
                    <w:bCs/>
                    <w:sz w:val="22"/>
                    <w:szCs w:val="22"/>
                  </w:rPr>
                  <w:t>8 straipsnis. Įsigaliojimas ir taikymo laikotarpis</w:t>
                </w:r>
              </w:p>
            </w:tc>
            <w:tc>
              <w:tcPr>
                <w:tcW w:w="5103" w:type="dxa"/>
                <w:tcMar>
                  <w:top w:w="0" w:type="dxa"/>
                  <w:left w:w="108" w:type="dxa"/>
                  <w:bottom w:w="0" w:type="dxa"/>
                  <w:right w:w="108" w:type="dxa"/>
                </w:tcMar>
              </w:tcPr>
              <w:p>
                <w:pPr>
                  <w:jc w:val="both"/>
                  <w:rPr>
                    <w:sz w:val="22"/>
                    <w:szCs w:val="22"/>
                  </w:rPr>
                </w:pPr>
                <w:r>
                  <w:rPr>
                    <w:sz w:val="22"/>
                    <w:szCs w:val="22"/>
                  </w:rPr>
                  <w:t>23 priedo 2 priedo 14 klausimas.</w:t>
                </w:r>
              </w:p>
            </w:tc>
          </w:tr>
        </w:tbl>
        <w:p>
          <w:pPr>
            <w:spacing w:line="259" w:lineRule="auto"/>
            <w:rPr>
              <w:kern w:val="2"/>
              <w:sz w:val="22"/>
              <w:szCs w:val="22"/>
              <w:lang w:val="en-US"/>
            </w:rPr>
          </w:pPr>
          <w:r>
            <w:rPr>
              <w:kern w:val="2"/>
              <w:sz w:val="22"/>
              <w:szCs w:val="22"/>
              <w:lang w:val="en-US"/>
            </w:rPr>
            <w:br w:type="page"/>
          </w:r>
        </w:p>
        <w:p>
          <w:pPr>
            <w:rPr>
              <w:sz w:val="14"/>
              <w:szCs w:val="14"/>
            </w:rPr>
          </w:pPr>
        </w:p>
        <w:tbl>
          <w:tblPr>
            <w:tblW w:w="13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500"/>
            <w:gridCol w:w="5103"/>
          </w:tblGrid>
          <w:tr>
            <w:tc>
              <w:tcPr>
                <w:tcW w:w="13603" w:type="dxa"/>
                <w:gridSpan w:val="2"/>
                <w:tcMar>
                  <w:top w:w="0" w:type="dxa"/>
                  <w:left w:w="108" w:type="dxa"/>
                  <w:bottom w:w="0" w:type="dxa"/>
                  <w:right w:w="108" w:type="dxa"/>
                </w:tcMar>
              </w:tcPr>
              <w:p>
                <w:pPr>
                  <w:ind w:firstLine="57"/>
                  <w:jc w:val="center"/>
                  <w:rPr>
                    <w:b/>
                    <w:bCs/>
                    <w:kern w:val="2"/>
                    <w:sz w:val="22"/>
                    <w:szCs w:val="22"/>
                    <w:lang w:eastAsia="lt-LT"/>
                  </w:rPr>
                </w:pPr>
                <w:r>
                  <w:rPr>
                    <w:b/>
                    <w:bCs/>
                    <w:kern w:val="2"/>
                    <w:sz w:val="22"/>
                    <w:szCs w:val="22"/>
                    <w:lang w:eastAsia="lt-LT"/>
                  </w:rPr>
                  <w:t xml:space="preserve">Reglamento </w:t>
                </w:r>
                <w:fldSimple w:instr="HYPERLINK http://eur-lex.europa.eu/legal-content/LIT/TXT/?uri=CELEX:33408R2013&amp;locale=lt \t _blank">
                  <w:r>
                    <w:rPr>
                      <w:b/>
                      <w:bCs/>
                      <w:kern w:val="2"/>
                      <w:sz w:val="22"/>
                      <w:szCs w:val="22"/>
                      <w:lang w:eastAsia="lt-LT"/>
                      <w:u w:val="single"/>
                      <w:color w:val="0000FF" w:themeColor="hyperlink"/>
                    </w:rPr>
                    <w:t>(ES) 1408/2013</w:t>
                  </w:r>
                </w:fldSimple>
                <w:r>
                  <w:rPr>
                    <w:b/>
                    <w:bCs/>
                    <w:kern w:val="2"/>
                    <w:sz w:val="22"/>
                    <w:szCs w:val="22"/>
                    <w:lang w:eastAsia="lt-LT"/>
                  </w:rPr>
                  <w:t xml:space="preserve"> nuostatos</w:t>
                </w:r>
              </w:p>
              <w:p>
                <w:pPr>
                  <w:jc w:val="center"/>
                  <w:rPr>
                    <w:b/>
                    <w:bCs/>
                    <w:sz w:val="22"/>
                    <w:szCs w:val="22"/>
                  </w:rPr>
                </w:pPr>
              </w:p>
            </w:tc>
          </w:tr>
          <w:tr>
            <w:trPr>
              <w:trHeight w:val="2468"/>
            </w:trPr>
            <w:tc>
              <w:tcPr>
                <w:tcW w:w="8500" w:type="dxa"/>
                <w:tcMar>
                  <w:top w:w="0" w:type="dxa"/>
                  <w:left w:w="108" w:type="dxa"/>
                  <w:bottom w:w="0" w:type="dxa"/>
                  <w:right w:w="108" w:type="dxa"/>
                </w:tcMar>
              </w:tcPr>
              <w:p>
                <w:pPr>
                  <w:rPr>
                    <w:sz w:val="10"/>
                    <w:szCs w:val="10"/>
                  </w:rPr>
                </w:pPr>
              </w:p>
              <w:p>
                <w:pPr>
                  <w:shd w:val="clear" w:color="auto" w:fill="FFFFFF"/>
                  <w:jc w:val="both"/>
                  <w:rPr>
                    <w:color w:val="000000"/>
                    <w:sz w:val="22"/>
                    <w:szCs w:val="22"/>
                  </w:rPr>
                </w:pPr>
                <w:r>
                  <w:rPr>
                    <w:b/>
                    <w:bCs/>
                    <w:color w:val="000000"/>
                    <w:sz w:val="22"/>
                    <w:szCs w:val="22"/>
                  </w:rPr>
                  <w:t>1 straipsnio 1 dalis</w:t>
                </w:r>
                <w:r>
                  <w:rPr>
                    <w:color w:val="000000"/>
                    <w:sz w:val="22"/>
                    <w:szCs w:val="22"/>
                  </w:rPr>
                  <w:t xml:space="preserve"> „Šis reglamentas taikomas pagalbai, teikiamai įmonėms, vykdančioms veiklą pirminės žemės ūkio produktų gamybos sektoriuje, išskyrus:</w:t>
                </w:r>
              </w:p>
              <w:p>
                <w:pPr>
                  <w:shd w:val="clear" w:color="auto" w:fill="FFFFFF"/>
                  <w:jc w:val="both"/>
                  <w:rPr>
                    <w:color w:val="000000"/>
                    <w:kern w:val="2"/>
                    <w:sz w:val="22"/>
                    <w:szCs w:val="22"/>
                  </w:rPr>
                </w:pPr>
                <w:r>
                  <w:rPr>
                    <w:color w:val="000000"/>
                    <w:kern w:val="2"/>
                    <w:sz w:val="22"/>
                    <w:szCs w:val="22"/>
                  </w:rPr>
                  <w:t>a) pagalbą, kurios dydis nustatytas remiantis rinkai tiekiamų produktų kaina arba kiekiu;</w:t>
                </w:r>
              </w:p>
              <w:p>
                <w:pPr>
                  <w:rPr>
                    <w:sz w:val="14"/>
                    <w:szCs w:val="14"/>
                  </w:rPr>
                </w:pPr>
              </w:p>
              <w:p>
                <w:pPr>
                  <w:shd w:val="clear" w:color="auto" w:fill="FFFFFF"/>
                  <w:jc w:val="both"/>
                  <w:rPr>
                    <w:color w:val="000000"/>
                    <w:kern w:val="2"/>
                    <w:sz w:val="22"/>
                    <w:szCs w:val="22"/>
                  </w:rPr>
                </w:pPr>
                <w:r>
                  <w:rPr>
                    <w:color w:val="000000"/>
                    <w:kern w:val="2"/>
                    <w:sz w:val="22"/>
                    <w:szCs w:val="22"/>
                  </w:rPr>
                  <w:t>b) pagalbą su eksportu susijusiai veiklai trečiosiose šalyse arba valstybėse narėse, t. y. pagalbą, tiesiogiai susijusią su eksportuojamais kiekiais, platinimo tinklo kūrimu bei veikla, arba kitomis einamosiomis išlaidomis, susijusiomis su eksporto veikla;</w:t>
                </w:r>
              </w:p>
              <w:p>
                <w:pPr>
                  <w:rPr>
                    <w:sz w:val="14"/>
                    <w:szCs w:val="14"/>
                  </w:rPr>
                </w:pPr>
              </w:p>
              <w:p>
                <w:pPr>
                  <w:shd w:val="clear" w:color="auto" w:fill="FFFFFF"/>
                  <w:jc w:val="both"/>
                  <w:rPr>
                    <w:sz w:val="22"/>
                    <w:szCs w:val="22"/>
                  </w:rPr>
                </w:pPr>
                <w:r>
                  <w:rPr>
                    <w:color w:val="000000"/>
                    <w:kern w:val="2"/>
                    <w:sz w:val="22"/>
                    <w:szCs w:val="22"/>
                  </w:rPr>
                  <w:t>c) pagalbą, kuri priklauso nuo to, ar daugiau vartojama vietinių nei importuotų prekių.“</w:t>
                </w:r>
              </w:p>
            </w:tc>
            <w:tc>
              <w:tcPr>
                <w:tcW w:w="5103" w:type="dxa"/>
                <w:tcMar>
                  <w:top w:w="0" w:type="dxa"/>
                  <w:left w:w="108" w:type="dxa"/>
                  <w:bottom w:w="0" w:type="dxa"/>
                  <w:right w:w="108" w:type="dxa"/>
                </w:tcMar>
              </w:tcPr>
              <w:p>
                <w:pPr>
                  <w:rPr>
                    <w:bCs/>
                    <w:kern w:val="2"/>
                    <w:sz w:val="22"/>
                    <w:szCs w:val="22"/>
                    <w:lang w:eastAsia="lt-LT"/>
                  </w:rPr>
                </w:pPr>
                <w:r>
                  <w:rPr>
                    <w:kern w:val="2"/>
                    <w:sz w:val="22"/>
                    <w:szCs w:val="22"/>
                    <w:lang w:eastAsia="lt-LT"/>
                  </w:rPr>
                  <w:t>23 priedo 3 priedo 1–4 klausimai.</w:t>
                </w:r>
              </w:p>
            </w:tc>
          </w:tr>
          <w:tr>
            <w:tc>
              <w:tcPr>
                <w:tcW w:w="8500" w:type="dxa"/>
                <w:tcMar>
                  <w:top w:w="0" w:type="dxa"/>
                  <w:left w:w="108" w:type="dxa"/>
                  <w:bottom w:w="0" w:type="dxa"/>
                  <w:right w:w="108" w:type="dxa"/>
                </w:tcMar>
              </w:tcPr>
              <w:p>
                <w:pPr>
                  <w:jc w:val="both"/>
                  <w:rPr>
                    <w:sz w:val="22"/>
                    <w:szCs w:val="22"/>
                  </w:rPr>
                </w:pPr>
                <w:r>
                  <w:rPr>
                    <w:b/>
                    <w:bCs/>
                    <w:sz w:val="22"/>
                    <w:szCs w:val="22"/>
                  </w:rPr>
                  <w:t>1 straipsnio 2 dalis</w:t>
                </w:r>
                <w:r>
                  <w:rPr>
                    <w:sz w:val="22"/>
                    <w:szCs w:val="22"/>
                  </w:rPr>
                  <w:t xml:space="preserve"> „</w:t>
                </w:r>
                <w:r>
                  <w:rPr>
                    <w:color w:val="000000"/>
                    <w:kern w:val="2"/>
                    <w:sz w:val="22"/>
                    <w:szCs w:val="22"/>
                    <w:shd w:val="clear" w:color="auto" w:fill="FFFFFF"/>
                  </w:rPr>
                  <w:t xml:space="preserve">Jeigu įmonė vykdo veiklą pirminės žemės ūkio produktų gamybos sektoriuje ir taip pat viename ar keliuose sektoriuose arba kitose veiklos srityse, kurioms taikomas Reglamentas </w:t>
                </w:r>
                <w:fldSimple w:instr="HYPERLINK http://eur-lex.europa.eu/legal-content/LIT/TXT/?uri=CELEX:32013R1407&amp;locale=lt \t _blank">
                  <w:r>
                    <w:rPr>
                      <w:color w:val="0000FF" w:themeColor="hyperlink"/>
                      <w:kern w:val="2"/>
                      <w:sz w:val="22"/>
                      <w:szCs w:val="22"/>
                      <w:shd w:val="clear" w:color="auto" w:fill="FFFFFF"/>
                      <w:u w:val="single"/>
                    </w:rPr>
                    <w:t>(ES) Nr. 1407/2013</w:t>
                  </w:r>
                </w:fldSimple>
                <w:r>
                  <w:rPr>
                    <w:color w:val="000000"/>
                    <w:kern w:val="2"/>
                    <w:sz w:val="22"/>
                    <w:szCs w:val="22"/>
                    <w:shd w:val="clear" w:color="auto" w:fill="FFFFFF"/>
                  </w:rPr>
                  <w:t>, tas reglamentas taikomas pagalbai, skirtai pastariesiems sektoriams arba veiklos sritims, su sąlyga, kad atitinkama valstybė narė tinkamomis priemonėmis, kaip antai atskirdama veiklos sritis ar sąnaudas, užtikrina, kad pirminės žemės ūkio produktų gamybos sektoriaus veiklai vykdyti nebūtų skiriama </w:t>
                </w:r>
                <w:r>
                  <w:rPr>
                    <w:i/>
                    <w:iCs/>
                    <w:color w:val="000000"/>
                    <w:kern w:val="2"/>
                    <w:sz w:val="22"/>
                    <w:szCs w:val="22"/>
                    <w:shd w:val="clear" w:color="auto" w:fill="FFFFFF"/>
                  </w:rPr>
                  <w:t>de minimis</w:t>
                </w:r>
                <w:r>
                  <w:rPr>
                    <w:color w:val="000000"/>
                    <w:kern w:val="2"/>
                    <w:sz w:val="22"/>
                    <w:szCs w:val="22"/>
                    <w:shd w:val="clear" w:color="auto" w:fill="FFFFFF"/>
                  </w:rPr>
                  <w:t> pagalba, suteikta pagal tą reglamentą.“</w:t>
                </w:r>
              </w:p>
            </w:tc>
            <w:tc>
              <w:tcPr>
                <w:tcW w:w="5103" w:type="dxa"/>
                <w:tcMar>
                  <w:top w:w="0" w:type="dxa"/>
                  <w:left w:w="108" w:type="dxa"/>
                  <w:bottom w:w="0" w:type="dxa"/>
                  <w:right w:w="108" w:type="dxa"/>
                </w:tcMar>
              </w:tcPr>
              <w:p>
                <w:pPr>
                  <w:jc w:val="both"/>
                  <w:rPr>
                    <w:bCs/>
                    <w:kern w:val="2"/>
                    <w:sz w:val="22"/>
                    <w:szCs w:val="22"/>
                    <w:lang w:eastAsia="lt-LT"/>
                  </w:rPr>
                </w:pPr>
                <w:r>
                  <w:rPr>
                    <w:kern w:val="2"/>
                    <w:sz w:val="22"/>
                    <w:szCs w:val="22"/>
                    <w:lang w:eastAsia="lt-LT"/>
                  </w:rPr>
                  <w:t>23 priedo 3 priedo 5 klausimas.</w:t>
                </w:r>
              </w:p>
            </w:tc>
          </w:tr>
          <w:tr>
            <w:tc>
              <w:tcPr>
                <w:tcW w:w="8500" w:type="dxa"/>
                <w:tcMar>
                  <w:top w:w="0" w:type="dxa"/>
                  <w:left w:w="108" w:type="dxa"/>
                  <w:bottom w:w="0" w:type="dxa"/>
                  <w:right w:w="108" w:type="dxa"/>
                </w:tcMar>
              </w:tcPr>
              <w:p>
                <w:pPr>
                  <w:jc w:val="both"/>
                  <w:rPr>
                    <w:sz w:val="22"/>
                    <w:szCs w:val="22"/>
                  </w:rPr>
                </w:pPr>
                <w:r>
                  <w:rPr>
                    <w:b/>
                    <w:bCs/>
                    <w:color w:val="000000"/>
                    <w:kern w:val="2"/>
                    <w:sz w:val="22"/>
                    <w:szCs w:val="22"/>
                    <w:shd w:val="clear" w:color="auto" w:fill="FFFFFF"/>
                  </w:rPr>
                  <w:t>1 straipsnio 3 dalis</w:t>
                </w:r>
                <w:r>
                  <w:rPr>
                    <w:color w:val="000000"/>
                    <w:kern w:val="2"/>
                    <w:sz w:val="22"/>
                    <w:szCs w:val="22"/>
                    <w:shd w:val="clear" w:color="auto" w:fill="FFFFFF"/>
                  </w:rPr>
                  <w:t xml:space="preserve"> „Jeigu įmonė vykdo veiklą pirminės žemės ūkio produktų gamybos veiklą ir taip pat pirminės žvejybos ir akvakultūros produktų gamybos veiklą, Komisijos reglamento </w:t>
                </w:r>
                <w:fldSimple w:instr="HYPERLINK http://eur-lex.europa.eu/legal-content/LIT/TXT/?uri=CELEX:32014R0717&amp;locale=lt \t _blank">
                  <w:r>
                    <w:rPr>
                      <w:color w:val="0000FF" w:themeColor="hyperlink"/>
                      <w:kern w:val="2"/>
                      <w:sz w:val="22"/>
                      <w:szCs w:val="22"/>
                      <w:shd w:val="clear" w:color="auto" w:fill="FFFFFF"/>
                      <w:u w:val="single"/>
                    </w:rPr>
                    <w:t>(ES) Nr. 717/2014</w:t>
                  </w:r>
                </w:fldSimple>
                <w:r>
                  <w:rPr>
                    <w:color w:val="000000"/>
                    <w:kern w:val="2"/>
                    <w:sz w:val="22"/>
                    <w:szCs w:val="22"/>
                    <w:shd w:val="clear" w:color="auto" w:fill="FFFFFF"/>
                  </w:rPr>
                  <w:t xml:space="preserve"> nuostatos taikomos pagalbai, skirtai pastarajam sektoriui, su sąlyga, kad atitinkama valstybė narė tinkamomis priemonėmis, kaip antai atskirdamos veiklos sritis ar sąnaudas, užtikrina, kad pirminės žemės ūkio produktų gamybos veiklai vykdyti nebūtų skiriama </w:t>
                </w:r>
                <w:r>
                  <w:rPr>
                    <w:i/>
                    <w:iCs/>
                    <w:color w:val="000000"/>
                    <w:kern w:val="2"/>
                    <w:sz w:val="22"/>
                    <w:szCs w:val="22"/>
                    <w:shd w:val="clear" w:color="auto" w:fill="FFFFFF"/>
                  </w:rPr>
                  <w:t>de minimis</w:t>
                </w:r>
                <w:r>
                  <w:rPr>
                    <w:color w:val="000000"/>
                    <w:kern w:val="2"/>
                    <w:sz w:val="22"/>
                    <w:szCs w:val="22"/>
                    <w:shd w:val="clear" w:color="auto" w:fill="FFFFFF"/>
                  </w:rPr>
                  <w:t> pagalba, suteikta pagal tą reglamentą.“</w:t>
                </w:r>
              </w:p>
            </w:tc>
            <w:tc>
              <w:tcPr>
                <w:tcW w:w="5103" w:type="dxa"/>
                <w:tcMar>
                  <w:top w:w="0" w:type="dxa"/>
                  <w:left w:w="108" w:type="dxa"/>
                  <w:bottom w:w="0" w:type="dxa"/>
                  <w:right w:w="108" w:type="dxa"/>
                </w:tcMar>
              </w:tcPr>
              <w:p>
                <w:pPr>
                  <w:jc w:val="both"/>
                  <w:rPr>
                    <w:bCs/>
                    <w:kern w:val="2"/>
                    <w:sz w:val="22"/>
                    <w:szCs w:val="22"/>
                    <w:lang w:eastAsia="lt-LT"/>
                  </w:rPr>
                </w:pPr>
                <w:r>
                  <w:rPr>
                    <w:bCs/>
                    <w:kern w:val="2"/>
                    <w:sz w:val="22"/>
                    <w:szCs w:val="22"/>
                    <w:lang w:eastAsia="lt-LT"/>
                  </w:rPr>
                  <w:t>23 priedo 3 priedo 6 klausimas.</w:t>
                </w:r>
              </w:p>
            </w:tc>
          </w:tr>
          <w:tr>
            <w:tc>
              <w:tcPr>
                <w:tcW w:w="8500" w:type="dxa"/>
                <w:tcMar>
                  <w:top w:w="0" w:type="dxa"/>
                  <w:left w:w="108" w:type="dxa"/>
                  <w:bottom w:w="0" w:type="dxa"/>
                  <w:right w:w="108" w:type="dxa"/>
                </w:tcMar>
              </w:tcPr>
              <w:p>
                <w:pPr>
                  <w:jc w:val="both"/>
                  <w:rPr>
                    <w:sz w:val="22"/>
                    <w:szCs w:val="22"/>
                  </w:rPr>
                </w:pPr>
                <w:r>
                  <w:rPr>
                    <w:b/>
                    <w:bCs/>
                    <w:sz w:val="22"/>
                    <w:szCs w:val="22"/>
                  </w:rPr>
                  <w:t>3 straipsnio 3 dalis</w:t>
                </w:r>
                <w:r>
                  <w:rPr>
                    <w:sz w:val="22"/>
                    <w:szCs w:val="22"/>
                  </w:rPr>
                  <w:t xml:space="preserve"> „</w:t>
                </w:r>
                <w:r>
                  <w:rPr>
                    <w:color w:val="000000"/>
                    <w:kern w:val="2"/>
                    <w:sz w:val="22"/>
                    <w:szCs w:val="22"/>
                    <w:shd w:val="clear" w:color="auto" w:fill="FFFFFF"/>
                  </w:rPr>
                  <w:t>Bendra pirminės žemės ūkio produktų gamybos sektoriuje veiklą vykdančioms įmonėms teikiamos </w:t>
                </w:r>
                <w:r>
                  <w:rPr>
                    <w:i/>
                    <w:iCs/>
                    <w:color w:val="000000"/>
                    <w:kern w:val="2"/>
                    <w:sz w:val="22"/>
                    <w:szCs w:val="22"/>
                    <w:shd w:val="clear" w:color="auto" w:fill="FFFFFF"/>
                  </w:rPr>
                  <w:t>de minimis</w:t>
                </w:r>
                <w:r>
                  <w:rPr>
                    <w:color w:val="000000"/>
                    <w:kern w:val="2"/>
                    <w:sz w:val="22"/>
                    <w:szCs w:val="22"/>
                    <w:shd w:val="clear" w:color="auto" w:fill="FFFFFF"/>
                  </w:rPr>
                  <w:t> pagalbos suma kiekvienoje valstybėje narėje per bet kurį trejų metų laikotarpį neviršija I priede nurodytos nacionalinės ribos.“</w:t>
                </w:r>
              </w:p>
            </w:tc>
            <w:tc>
              <w:tcPr>
                <w:tcW w:w="5103" w:type="dxa"/>
                <w:tcMar>
                  <w:top w:w="0" w:type="dxa"/>
                  <w:left w:w="108" w:type="dxa"/>
                  <w:bottom w:w="0" w:type="dxa"/>
                  <w:right w:w="108" w:type="dxa"/>
                </w:tcMar>
              </w:tcPr>
              <w:p>
                <w:pPr>
                  <w:jc w:val="both"/>
                  <w:rPr>
                    <w:bCs/>
                    <w:kern w:val="2"/>
                    <w:sz w:val="22"/>
                    <w:szCs w:val="22"/>
                    <w:lang w:eastAsia="lt-LT"/>
                  </w:rPr>
                </w:pPr>
                <w:r>
                  <w:rPr>
                    <w:bCs/>
                    <w:kern w:val="2"/>
                    <w:sz w:val="22"/>
                    <w:szCs w:val="22"/>
                    <w:lang w:eastAsia="lt-LT"/>
                  </w:rPr>
                  <w:t>23 priedo 3 priedo 7 klausimas.</w:t>
                </w:r>
              </w:p>
            </w:tc>
          </w:tr>
          <w:tr>
            <w:tc>
              <w:tcPr>
                <w:tcW w:w="8500" w:type="dxa"/>
                <w:tcMar>
                  <w:top w:w="0" w:type="dxa"/>
                  <w:left w:w="108" w:type="dxa"/>
                  <w:bottom w:w="0" w:type="dxa"/>
                  <w:right w:w="108" w:type="dxa"/>
                </w:tcMar>
              </w:tcPr>
              <w:p>
                <w:pPr>
                  <w:rPr>
                    <w:sz w:val="10"/>
                    <w:szCs w:val="10"/>
                  </w:rPr>
                </w:pPr>
              </w:p>
              <w:p>
                <w:pPr>
                  <w:shd w:val="clear" w:color="auto" w:fill="FFFFFF"/>
                  <w:jc w:val="both"/>
                  <w:rPr>
                    <w:color w:val="000000"/>
                    <w:sz w:val="22"/>
                    <w:szCs w:val="22"/>
                  </w:rPr>
                </w:pPr>
                <w:r>
                  <w:rPr>
                    <w:b/>
                    <w:bCs/>
                    <w:color w:val="000000"/>
                    <w:sz w:val="22"/>
                    <w:szCs w:val="22"/>
                  </w:rPr>
                  <w:t>3 straipsnio 3a dalis</w:t>
                </w:r>
                <w:r>
                  <w:rPr>
                    <w:color w:val="000000"/>
                    <w:sz w:val="22"/>
                    <w:szCs w:val="22"/>
                  </w:rPr>
                  <w:t xml:space="preserve"> „Nukrypdama nuo 2 ir 3 dalių, valstybė narė gali nuspręsti, kad bendra vienai įmonei teikiamos </w:t>
                </w:r>
                <w:r>
                  <w:rPr>
                    <w:i/>
                    <w:iCs/>
                    <w:color w:val="000000"/>
                    <w:sz w:val="22"/>
                    <w:szCs w:val="22"/>
                  </w:rPr>
                  <w:t>de minimis</w:t>
                </w:r>
                <w:r>
                  <w:rPr>
                    <w:color w:val="000000"/>
                    <w:sz w:val="22"/>
                    <w:szCs w:val="22"/>
                  </w:rPr>
                  <w:t> pagalbos suma neviršija 50 000  EUR per bet kurį trejų metų laikotarpį, o bendra per bet kurį trejų metų laikotarpį teikiamos </w:t>
                </w:r>
                <w:r>
                  <w:rPr>
                    <w:i/>
                    <w:iCs/>
                    <w:color w:val="000000"/>
                    <w:sz w:val="22"/>
                    <w:szCs w:val="22"/>
                  </w:rPr>
                  <w:t>de minimis</w:t>
                </w:r>
                <w:r>
                  <w:rPr>
                    <w:color w:val="000000"/>
                    <w:sz w:val="22"/>
                    <w:szCs w:val="22"/>
                  </w:rPr>
                  <w:t> pagalbos suma neviršija nacionalinės ribos, nurodytos II priede, jeigu tenkinamos šios sąlygos:</w:t>
                </w:r>
              </w:p>
              <w:p>
                <w:pPr>
                  <w:shd w:val="clear" w:color="auto" w:fill="FFFFFF"/>
                  <w:jc w:val="both"/>
                  <w:rPr>
                    <w:color w:val="000000"/>
                    <w:sz w:val="22"/>
                    <w:szCs w:val="22"/>
                  </w:rPr>
                </w:pPr>
                <w:r>
                  <w:rPr>
                    <w:color w:val="000000"/>
                    <w:sz w:val="22"/>
                    <w:szCs w:val="22"/>
                  </w:rPr>
                  <w:t>a) pagalbos priemonėms, naudingoms tik vieno atskiro produkto sektoriui, bendra teikiamos pagalbos suma per bet kurį trejų metų laikotarpį neviršija 2 straipsnio 4 dalyje apibrėžtos sektoriaus ribos;</w:t>
                </w:r>
              </w:p>
              <w:p>
                <w:pPr>
                  <w:shd w:val="clear" w:color="auto" w:fill="FFFFFF"/>
                  <w:jc w:val="both"/>
                  <w:rPr>
                    <w:color w:val="000000"/>
                    <w:sz w:val="22"/>
                    <w:szCs w:val="22"/>
                  </w:rPr>
                </w:pPr>
                <w:r>
                  <w:rPr>
                    <w:color w:val="000000"/>
                    <w:sz w:val="22"/>
                    <w:szCs w:val="22"/>
                  </w:rPr>
                  <w:t>b) valstybė narė įsteigia nacionalinį centrinį registrą pagal 6 straipsnio 2 dalį.“</w:t>
                </w:r>
              </w:p>
              <w:p>
                <w:pPr>
                  <w:jc w:val="both"/>
                  <w:rPr>
                    <w:sz w:val="22"/>
                    <w:szCs w:val="22"/>
                  </w:rPr>
                </w:pPr>
              </w:p>
            </w:tc>
            <w:tc>
              <w:tcPr>
                <w:tcW w:w="5103" w:type="dxa"/>
                <w:tcMar>
                  <w:top w:w="0" w:type="dxa"/>
                  <w:left w:w="108" w:type="dxa"/>
                  <w:bottom w:w="0" w:type="dxa"/>
                  <w:right w:w="108" w:type="dxa"/>
                </w:tcMar>
              </w:tcPr>
              <w:p>
                <w:pPr>
                  <w:spacing w:line="259" w:lineRule="auto"/>
                  <w:jc w:val="both"/>
                  <w:rPr>
                    <w:bCs/>
                    <w:kern w:val="2"/>
                    <w:sz w:val="22"/>
                    <w:szCs w:val="22"/>
                    <w:lang w:eastAsia="lt-LT"/>
                  </w:rPr>
                </w:pPr>
                <w:r>
                  <w:rPr>
                    <w:rFonts w:eastAsia="Calibri"/>
                    <w:kern w:val="2"/>
                    <w:sz w:val="22"/>
                    <w:szCs w:val="22"/>
                  </w:rPr>
                  <w:t>23 priedo 11.4, 11.5 papunkčiai, 23 priedo 3</w:t>
                </w:r>
                <w:r>
                  <w:rPr>
                    <w:bCs/>
                    <w:kern w:val="2"/>
                    <w:sz w:val="22"/>
                    <w:szCs w:val="22"/>
                    <w:lang w:eastAsia="lt-LT"/>
                  </w:rPr>
                  <w:t xml:space="preserve"> priedo 8 klausimas.</w:t>
                </w:r>
              </w:p>
            </w:tc>
          </w:tr>
          <w:tr>
            <w:tc>
              <w:tcPr>
                <w:tcW w:w="8500" w:type="dxa"/>
                <w:tcMar>
                  <w:top w:w="0" w:type="dxa"/>
                  <w:left w:w="108" w:type="dxa"/>
                  <w:bottom w:w="0" w:type="dxa"/>
                  <w:right w:w="108" w:type="dxa"/>
                </w:tcMar>
              </w:tcPr>
              <w:p>
                <w:pPr>
                  <w:jc w:val="both"/>
                  <w:rPr>
                    <w:sz w:val="22"/>
                    <w:szCs w:val="22"/>
                  </w:rPr>
                </w:pPr>
                <w:r>
                  <w:rPr>
                    <w:b/>
                    <w:bCs/>
                    <w:sz w:val="22"/>
                    <w:szCs w:val="22"/>
                  </w:rPr>
                  <w:t>4 straipsnio 1 dalis</w:t>
                </w:r>
                <w:r>
                  <w:rPr>
                    <w:sz w:val="22"/>
                    <w:szCs w:val="22"/>
                  </w:rPr>
                  <w:t xml:space="preserve"> „</w:t>
                </w:r>
                <w:r>
                  <w:rPr>
                    <w:i/>
                    <w:iCs/>
                    <w:color w:val="000000"/>
                    <w:kern w:val="2"/>
                    <w:sz w:val="22"/>
                    <w:szCs w:val="22"/>
                    <w:shd w:val="clear" w:color="auto" w:fill="FFFFFF"/>
                  </w:rPr>
                  <w:t>De minimis</w:t>
                </w:r>
                <w:r>
                  <w:rPr>
                    <w:color w:val="000000"/>
                    <w:kern w:val="2"/>
                    <w:sz w:val="22"/>
                    <w:szCs w:val="22"/>
                    <w:shd w:val="clear" w:color="auto" w:fill="FFFFFF"/>
                  </w:rPr>
                  <w:t> pagalba laikoma suteikta tuo momentu, kai įmonė pagal taikomą nacionalinį teisinį režimą įgyja juridinę teisę tokią pagalbą gauti, nepriklausomai nuo </w:t>
                </w:r>
                <w:r>
                  <w:rPr>
                    <w:i/>
                    <w:iCs/>
                    <w:color w:val="000000"/>
                    <w:kern w:val="2"/>
                    <w:sz w:val="22"/>
                    <w:szCs w:val="22"/>
                    <w:shd w:val="clear" w:color="auto" w:fill="FFFFFF"/>
                  </w:rPr>
                  <w:t>de minimis</w:t>
                </w:r>
                <w:r>
                  <w:rPr>
                    <w:color w:val="000000"/>
                    <w:kern w:val="2"/>
                    <w:sz w:val="22"/>
                    <w:szCs w:val="22"/>
                    <w:shd w:val="clear" w:color="auto" w:fill="FFFFFF"/>
                  </w:rPr>
                  <w:t> pagalbos išmokėjimo įmonei datos.“</w:t>
                </w:r>
              </w:p>
            </w:tc>
            <w:tc>
              <w:tcPr>
                <w:tcW w:w="5103" w:type="dxa"/>
                <w:tcMar>
                  <w:top w:w="0" w:type="dxa"/>
                  <w:left w:w="108" w:type="dxa"/>
                  <w:bottom w:w="0" w:type="dxa"/>
                  <w:right w:w="108" w:type="dxa"/>
                </w:tcMar>
              </w:tcPr>
              <w:p>
                <w:pPr>
                  <w:jc w:val="both"/>
                  <w:rPr>
                    <w:bCs/>
                    <w:kern w:val="2"/>
                    <w:sz w:val="22"/>
                    <w:szCs w:val="22"/>
                    <w:lang w:eastAsia="lt-LT"/>
                  </w:rPr>
                </w:pPr>
                <w:r>
                  <w:rPr>
                    <w:kern w:val="2"/>
                    <w:sz w:val="22"/>
                    <w:szCs w:val="22"/>
                    <w:lang w:eastAsia="lt-LT"/>
                  </w:rPr>
                  <w:t>23 priedo 3 priedo 9 klausimas.</w:t>
                </w:r>
              </w:p>
            </w:tc>
          </w:tr>
          <w:tr>
            <w:tc>
              <w:tcPr>
                <w:tcW w:w="8500" w:type="dxa"/>
                <w:tcMar>
                  <w:top w:w="0" w:type="dxa"/>
                  <w:left w:w="108" w:type="dxa"/>
                  <w:bottom w:w="0" w:type="dxa"/>
                  <w:right w:w="108" w:type="dxa"/>
                </w:tcMar>
              </w:tcPr>
              <w:p>
                <w:pPr>
                  <w:spacing w:line="259" w:lineRule="auto"/>
                  <w:rPr>
                    <w:sz w:val="22"/>
                    <w:szCs w:val="22"/>
                  </w:rPr>
                </w:pPr>
                <w:r>
                  <w:rPr>
                    <w:b/>
                    <w:bCs/>
                    <w:sz w:val="22"/>
                    <w:szCs w:val="22"/>
                  </w:rPr>
                  <w:t>3 straipsnio 5 dalis</w:t>
                </w:r>
                <w:r>
                  <w:rPr>
                    <w:sz w:val="22"/>
                    <w:szCs w:val="22"/>
                  </w:rPr>
                  <w:t xml:space="preserve"> „</w:t>
                </w:r>
                <w:r>
                  <w:rPr>
                    <w:color w:val="000000"/>
                    <w:sz w:val="22"/>
                    <w:szCs w:val="22"/>
                  </w:rPr>
                  <w:t>2, 3 ir 3a dalyse nurodytos </w:t>
                </w:r>
                <w:r>
                  <w:rPr>
                    <w:i/>
                    <w:iCs/>
                    <w:color w:val="000000"/>
                    <w:sz w:val="22"/>
                    <w:szCs w:val="22"/>
                  </w:rPr>
                  <w:t>de minimis</w:t>
                </w:r>
                <w:r>
                  <w:rPr>
                    <w:color w:val="000000"/>
                    <w:sz w:val="22"/>
                    <w:szCs w:val="22"/>
                  </w:rPr>
                  <w:t> viršutinės ribos ir nacionalinė bei sektoriaus ribos taikomos neatsižvelgiant į </w:t>
                </w:r>
                <w:r>
                  <w:rPr>
                    <w:i/>
                    <w:iCs/>
                    <w:color w:val="000000"/>
                    <w:sz w:val="22"/>
                    <w:szCs w:val="22"/>
                  </w:rPr>
                  <w:t>de minimis</w:t>
                </w:r>
                <w:r>
                  <w:rPr>
                    <w:color w:val="000000"/>
                    <w:sz w:val="22"/>
                    <w:szCs w:val="22"/>
                  </w:rPr>
                  <w:t> pagalbos formą ar siekiamą tikslą ir į tai, ar valstybės narės suteikta pagalba visa arba iš dalies finansuojama Sąjungos kilmės ištekliais. Trejų metų laikotarpis nustatomas vertinant tuos finansinius metus, kuriuos vertina atitinkamos valstybės narės įmonė.“</w:t>
                </w:r>
              </w:p>
            </w:tc>
            <w:tc>
              <w:tcPr>
                <w:tcW w:w="5103" w:type="dxa"/>
                <w:tcMar>
                  <w:top w:w="0" w:type="dxa"/>
                  <w:left w:w="108" w:type="dxa"/>
                  <w:bottom w:w="0" w:type="dxa"/>
                  <w:right w:w="108" w:type="dxa"/>
                </w:tcMar>
              </w:tcPr>
              <w:p>
                <w:pPr>
                  <w:jc w:val="both"/>
                  <w:rPr>
                    <w:bCs/>
                    <w:kern w:val="2"/>
                    <w:sz w:val="22"/>
                    <w:szCs w:val="22"/>
                    <w:lang w:eastAsia="lt-LT"/>
                  </w:rPr>
                </w:pPr>
                <w:r>
                  <w:rPr>
                    <w:kern w:val="2"/>
                    <w:sz w:val="22"/>
                    <w:szCs w:val="22"/>
                    <w:lang w:eastAsia="lt-LT"/>
                  </w:rPr>
                  <w:t>23 priedo 3 priedo 10 klausimas.</w:t>
                </w:r>
              </w:p>
            </w:tc>
          </w:tr>
          <w:tr>
            <w:tc>
              <w:tcPr>
                <w:tcW w:w="8500" w:type="dxa"/>
                <w:tcMar>
                  <w:top w:w="0" w:type="dxa"/>
                  <w:left w:w="108" w:type="dxa"/>
                  <w:bottom w:w="0" w:type="dxa"/>
                  <w:right w:w="108" w:type="dxa"/>
                </w:tcMar>
              </w:tcPr>
              <w:p>
                <w:pPr>
                  <w:jc w:val="both"/>
                  <w:rPr>
                    <w:sz w:val="22"/>
                    <w:szCs w:val="22"/>
                  </w:rPr>
                </w:pPr>
                <w:r>
                  <w:rPr>
                    <w:b/>
                    <w:bCs/>
                    <w:sz w:val="22"/>
                    <w:szCs w:val="22"/>
                  </w:rPr>
                  <w:t>3 straipsnio 6 dalis</w:t>
                </w:r>
                <w:r>
                  <w:rPr>
                    <w:sz w:val="22"/>
                    <w:szCs w:val="22"/>
                  </w:rPr>
                  <w:t xml:space="preserve"> „</w:t>
                </w:r>
                <w:r>
                  <w:rPr>
                    <w:color w:val="000000"/>
                    <w:kern w:val="2"/>
                    <w:sz w:val="22"/>
                    <w:szCs w:val="22"/>
                    <w:shd w:val="clear" w:color="auto" w:fill="FFFFFF"/>
                  </w:rPr>
                  <w:t>Laikantis 2, 3 ir 3a dalyse nurodytų </w:t>
                </w:r>
                <w:r>
                  <w:rPr>
                    <w:i/>
                    <w:iCs/>
                    <w:color w:val="000000"/>
                    <w:kern w:val="2"/>
                    <w:sz w:val="22"/>
                    <w:szCs w:val="22"/>
                    <w:shd w:val="clear" w:color="auto" w:fill="FFFFFF"/>
                  </w:rPr>
                  <w:t>de minimis</w:t>
                </w:r>
                <w:r>
                  <w:rPr>
                    <w:color w:val="000000"/>
                    <w:kern w:val="2"/>
                    <w:sz w:val="22"/>
                    <w:szCs w:val="22"/>
                    <w:shd w:val="clear" w:color="auto" w:fill="FFFFFF"/>
                  </w:rPr>
                  <w:t> viršutinių ribų ir nacionalinės bei sektoriaus ribos, pagalba išreiškiama kaip piniginė dotacija. Visi naudojami skaičiai yra bruto, t. y. prieš mokesčių ar kitokios rinkliavos atskaitymą. Jeigu pagalba teikiama ne kaip dotacija, pagalbos suma turi atitikti pagalbos bendrąjį subsidijos ekvivalentą.“</w:t>
                </w:r>
              </w:p>
            </w:tc>
            <w:tc>
              <w:tcPr>
                <w:tcW w:w="5103" w:type="dxa"/>
                <w:tcMar>
                  <w:top w:w="0" w:type="dxa"/>
                  <w:left w:w="108" w:type="dxa"/>
                  <w:bottom w:w="0" w:type="dxa"/>
                  <w:right w:w="108" w:type="dxa"/>
                </w:tcMar>
              </w:tcPr>
              <w:p>
                <w:pPr>
                  <w:jc w:val="both"/>
                  <w:rPr>
                    <w:bCs/>
                    <w:kern w:val="2"/>
                    <w:sz w:val="22"/>
                    <w:szCs w:val="22"/>
                    <w:lang w:eastAsia="lt-LT"/>
                  </w:rPr>
                </w:pPr>
                <w:r>
                  <w:rPr>
                    <w:kern w:val="2"/>
                    <w:sz w:val="22"/>
                    <w:szCs w:val="22"/>
                    <w:lang w:eastAsia="lt-LT"/>
                  </w:rPr>
                  <w:t>23 priedo 3 priedo 11 klausimas</w:t>
                </w:r>
                <w:r>
                  <w:rPr>
                    <w:color w:val="000000"/>
                    <w:kern w:val="2"/>
                    <w:sz w:val="22"/>
                    <w:szCs w:val="22"/>
                    <w:shd w:val="clear" w:color="auto" w:fill="FFFFFF"/>
                  </w:rPr>
                  <w:t>.</w:t>
                </w:r>
              </w:p>
            </w:tc>
          </w:tr>
          <w:tr>
            <w:tc>
              <w:tcPr>
                <w:tcW w:w="8500" w:type="dxa"/>
                <w:tcMar>
                  <w:top w:w="0" w:type="dxa"/>
                  <w:left w:w="108" w:type="dxa"/>
                  <w:bottom w:w="0" w:type="dxa"/>
                  <w:right w:w="108" w:type="dxa"/>
                </w:tcMar>
              </w:tcPr>
              <w:p>
                <w:pPr>
                  <w:jc w:val="both"/>
                  <w:rPr>
                    <w:sz w:val="22"/>
                    <w:szCs w:val="22"/>
                  </w:rPr>
                </w:pPr>
                <w:r>
                  <w:rPr>
                    <w:b/>
                    <w:bCs/>
                    <w:sz w:val="22"/>
                    <w:szCs w:val="22"/>
                  </w:rPr>
                  <w:t>3 straipsnio 9 dalis</w:t>
                </w:r>
                <w:r>
                  <w:rPr>
                    <w:sz w:val="22"/>
                    <w:szCs w:val="22"/>
                  </w:rPr>
                  <w:t xml:space="preserve"> „</w:t>
                </w:r>
                <w:r>
                  <w:rPr>
                    <w:color w:val="000000"/>
                    <w:kern w:val="2"/>
                    <w:sz w:val="22"/>
                    <w:szCs w:val="22"/>
                    <w:shd w:val="clear" w:color="auto" w:fill="FFFFFF"/>
                  </w:rPr>
                  <w:t>Jei dvi įmonės susijungia arba viena įsigyja kitą, apskaičiuojant, ar nauja </w:t>
                </w:r>
                <w:r>
                  <w:rPr>
                    <w:i/>
                    <w:iCs/>
                    <w:color w:val="000000"/>
                    <w:kern w:val="2"/>
                    <w:sz w:val="22"/>
                    <w:szCs w:val="22"/>
                    <w:shd w:val="clear" w:color="auto" w:fill="FFFFFF"/>
                  </w:rPr>
                  <w:t>de minimis</w:t>
                </w:r>
                <w:r>
                  <w:rPr>
                    <w:color w:val="000000"/>
                    <w:kern w:val="2"/>
                    <w:sz w:val="22"/>
                    <w:szCs w:val="22"/>
                    <w:shd w:val="clear" w:color="auto" w:fill="FFFFFF"/>
                  </w:rPr>
                  <w:t> pagalba naujajai arba įsigyjančiajai įmonei viršija atitinkamas </w:t>
                </w:r>
                <w:r>
                  <w:rPr>
                    <w:i/>
                    <w:iCs/>
                    <w:color w:val="000000"/>
                    <w:kern w:val="2"/>
                    <w:sz w:val="22"/>
                    <w:szCs w:val="22"/>
                    <w:shd w:val="clear" w:color="auto" w:fill="FFFFFF"/>
                  </w:rPr>
                  <w:t>de minimis</w:t>
                </w:r>
                <w:r>
                  <w:rPr>
                    <w:color w:val="000000"/>
                    <w:kern w:val="2"/>
                    <w:sz w:val="22"/>
                    <w:szCs w:val="22"/>
                    <w:shd w:val="clear" w:color="auto" w:fill="FFFFFF"/>
                  </w:rPr>
                  <w:t> viršutines ribas, atitinkamą nacionalinę ribą arba sektoriaus ribą, atsižvelgiama į visą ankstesnę </w:t>
                </w:r>
                <w:r>
                  <w:rPr>
                    <w:i/>
                    <w:iCs/>
                    <w:color w:val="000000"/>
                    <w:kern w:val="2"/>
                    <w:sz w:val="22"/>
                    <w:szCs w:val="22"/>
                    <w:shd w:val="clear" w:color="auto" w:fill="FFFFFF"/>
                  </w:rPr>
                  <w:t>de minimis</w:t>
                </w:r>
                <w:r>
                  <w:rPr>
                    <w:color w:val="000000"/>
                    <w:kern w:val="2"/>
                    <w:sz w:val="22"/>
                    <w:szCs w:val="22"/>
                    <w:shd w:val="clear" w:color="auto" w:fill="FFFFFF"/>
                  </w:rPr>
                  <w:t> pagalbą, suteiktą bet kuriai iš susijungiančių įmonių. </w:t>
                </w:r>
                <w:r>
                  <w:rPr>
                    <w:i/>
                    <w:iCs/>
                    <w:color w:val="000000"/>
                    <w:kern w:val="2"/>
                    <w:sz w:val="22"/>
                    <w:szCs w:val="22"/>
                    <w:shd w:val="clear" w:color="auto" w:fill="FFFFFF"/>
                  </w:rPr>
                  <w:t>De minimis</w:t>
                </w:r>
                <w:r>
                  <w:rPr>
                    <w:color w:val="000000"/>
                    <w:kern w:val="2"/>
                    <w:sz w:val="22"/>
                    <w:szCs w:val="22"/>
                    <w:shd w:val="clear" w:color="auto" w:fill="FFFFFF"/>
                  </w:rPr>
                  <w:t> pagalba, kuri teisėtai suteikta prieš susijungimą arba įsigijimą, tebėra teisėta.“</w:t>
                </w:r>
              </w:p>
            </w:tc>
            <w:tc>
              <w:tcPr>
                <w:tcW w:w="5103" w:type="dxa"/>
                <w:tcMar>
                  <w:top w:w="0" w:type="dxa"/>
                  <w:left w:w="108" w:type="dxa"/>
                  <w:bottom w:w="0" w:type="dxa"/>
                  <w:right w:w="108" w:type="dxa"/>
                </w:tcMar>
              </w:tcPr>
              <w:p>
                <w:pPr>
                  <w:jc w:val="both"/>
                  <w:rPr>
                    <w:bCs/>
                    <w:kern w:val="2"/>
                    <w:sz w:val="22"/>
                    <w:szCs w:val="22"/>
                    <w:lang w:eastAsia="lt-LT"/>
                  </w:rPr>
                </w:pPr>
                <w:r>
                  <w:rPr>
                    <w:kern w:val="2"/>
                    <w:sz w:val="22"/>
                    <w:szCs w:val="22"/>
                    <w:lang w:eastAsia="lt-LT"/>
                  </w:rPr>
                  <w:t>23 priedo 3 priedo 12 klausimas.</w:t>
                </w:r>
                <w:r>
                  <w:rPr>
                    <w:bCs/>
                    <w:kern w:val="2"/>
                    <w:sz w:val="22"/>
                    <w:szCs w:val="22"/>
                    <w:lang w:eastAsia="lt-LT"/>
                  </w:rPr>
                  <w:t xml:space="preserve"> </w:t>
                </w:r>
              </w:p>
            </w:tc>
          </w:tr>
          <w:tr>
            <w:tc>
              <w:tcPr>
                <w:tcW w:w="8500" w:type="dxa"/>
                <w:tcMar>
                  <w:top w:w="0" w:type="dxa"/>
                  <w:left w:w="108" w:type="dxa"/>
                  <w:bottom w:w="0" w:type="dxa"/>
                  <w:right w:w="108" w:type="dxa"/>
                </w:tcMar>
              </w:tcPr>
              <w:p>
                <w:pPr>
                  <w:spacing w:line="259" w:lineRule="auto"/>
                  <w:jc w:val="both"/>
                  <w:rPr>
                    <w:color w:val="000000"/>
                    <w:sz w:val="22"/>
                    <w:szCs w:val="22"/>
                  </w:rPr>
                </w:pPr>
                <w:r>
                  <w:rPr>
                    <w:b/>
                    <w:bCs/>
                    <w:sz w:val="22"/>
                    <w:szCs w:val="22"/>
                  </w:rPr>
                  <w:t>3 straipsnio 10 dalis</w:t>
                </w:r>
                <w:r>
                  <w:rPr>
                    <w:sz w:val="22"/>
                    <w:szCs w:val="22"/>
                  </w:rPr>
                  <w:t xml:space="preserve"> „</w:t>
                </w:r>
                <w:r>
                  <w:rPr>
                    <w:color w:val="000000"/>
                    <w:sz w:val="22"/>
                    <w:szCs w:val="22"/>
                  </w:rPr>
                  <w:t>Jei viena įmonė suskaidoma į dvi ar daugiau atskirų įmonių, iki suskaidymo suteikta </w:t>
                </w:r>
                <w:r>
                  <w:rPr>
                    <w:i/>
                    <w:iCs/>
                    <w:color w:val="000000"/>
                    <w:sz w:val="22"/>
                    <w:szCs w:val="22"/>
                  </w:rPr>
                  <w:t>de minimis</w:t>
                </w:r>
                <w:r>
                  <w:rPr>
                    <w:color w:val="000000"/>
                    <w:sz w:val="22"/>
                    <w:szCs w:val="22"/>
                  </w:rPr>
                  <w:t> pagalba priskiriama įmonei, kuri ja pasinaudojo, o tai iš principo yra įmonė, perimanti veiklą, kuriai vykdyti </w:t>
                </w:r>
                <w:r>
                  <w:rPr>
                    <w:i/>
                    <w:iCs/>
                    <w:color w:val="000000"/>
                    <w:sz w:val="22"/>
                    <w:szCs w:val="22"/>
                  </w:rPr>
                  <w:t>de minimis</w:t>
                </w:r>
                <w:r>
                  <w:rPr>
                    <w:color w:val="000000"/>
                    <w:sz w:val="22"/>
                    <w:szCs w:val="22"/>
                  </w:rPr>
                  <w:t> pagalba panaudota. Jei toks priskyrimas neįmanomas, </w:t>
                </w:r>
                <w:r>
                  <w:rPr>
                    <w:i/>
                    <w:iCs/>
                    <w:color w:val="000000"/>
                    <w:sz w:val="22"/>
                    <w:szCs w:val="22"/>
                  </w:rPr>
                  <w:t>de minimis</w:t>
                </w:r>
                <w:r>
                  <w:rPr>
                    <w:color w:val="000000"/>
                    <w:sz w:val="22"/>
                    <w:szCs w:val="22"/>
                  </w:rPr>
                  <w:t> pagalba proporcingai paskirstoma remiantis naujųjų įmonių nuosavo kapitalo balansine verte suskaidymo įsigaliojimo dieną.“</w:t>
                </w:r>
              </w:p>
              <w:p>
                <w:pPr>
                  <w:rPr>
                    <w:sz w:val="14"/>
                    <w:szCs w:val="14"/>
                  </w:rPr>
                </w:pPr>
              </w:p>
              <w:p>
                <w:pPr>
                  <w:jc w:val="both"/>
                  <w:rPr>
                    <w:sz w:val="22"/>
                    <w:szCs w:val="22"/>
                  </w:rPr>
                </w:pPr>
              </w:p>
            </w:tc>
            <w:tc>
              <w:tcPr>
                <w:tcW w:w="5103" w:type="dxa"/>
                <w:tcMar>
                  <w:top w:w="0" w:type="dxa"/>
                  <w:left w:w="108" w:type="dxa"/>
                  <w:bottom w:w="0" w:type="dxa"/>
                  <w:right w:w="108" w:type="dxa"/>
                </w:tcMar>
              </w:tcPr>
              <w:p>
                <w:pPr>
                  <w:jc w:val="both"/>
                  <w:rPr>
                    <w:bCs/>
                    <w:kern w:val="2"/>
                    <w:sz w:val="22"/>
                    <w:szCs w:val="22"/>
                    <w:lang w:eastAsia="lt-LT"/>
                  </w:rPr>
                </w:pPr>
                <w:r>
                  <w:rPr>
                    <w:kern w:val="2"/>
                    <w:sz w:val="22"/>
                    <w:szCs w:val="22"/>
                    <w:lang w:eastAsia="lt-LT"/>
                  </w:rPr>
                  <w:t>23 priedo 3 priedo 13 klausimas.</w:t>
                </w:r>
              </w:p>
            </w:tc>
          </w:tr>
          <w:tr>
            <w:tc>
              <w:tcPr>
                <w:tcW w:w="8500" w:type="dxa"/>
                <w:tcMar>
                  <w:top w:w="0" w:type="dxa"/>
                  <w:left w:w="108" w:type="dxa"/>
                  <w:bottom w:w="0" w:type="dxa"/>
                  <w:right w:w="108" w:type="dxa"/>
                </w:tcMar>
              </w:tcPr>
              <w:p>
                <w:pPr>
                  <w:jc w:val="both"/>
                  <w:rPr>
                    <w:color w:val="000000"/>
                    <w:kern w:val="2"/>
                    <w:sz w:val="22"/>
                    <w:szCs w:val="22"/>
                    <w:shd w:val="clear" w:color="auto" w:fill="FFFFFF"/>
                  </w:rPr>
                </w:pPr>
                <w:r>
                  <w:rPr>
                    <w:b/>
                    <w:bCs/>
                    <w:sz w:val="22"/>
                    <w:szCs w:val="22"/>
                  </w:rPr>
                  <w:t>4 straipsnio 1 dalis</w:t>
                </w:r>
                <w:r>
                  <w:rPr>
                    <w:sz w:val="22"/>
                    <w:szCs w:val="22"/>
                  </w:rPr>
                  <w:t xml:space="preserve"> „</w:t>
                </w:r>
                <w:r>
                  <w:rPr>
                    <w:color w:val="000000"/>
                    <w:kern w:val="2"/>
                    <w:sz w:val="22"/>
                    <w:szCs w:val="22"/>
                    <w:shd w:val="clear" w:color="auto" w:fill="FFFFFF"/>
                  </w:rPr>
                  <w:t>Šis reglamentas taikomas tik pagalbai, kurios bendrąjį subsidijos ekvivalentą įmanoma tiksliai </w:t>
                </w:r>
                <w:r>
                  <w:rPr>
                    <w:i/>
                    <w:iCs/>
                    <w:color w:val="000000"/>
                    <w:kern w:val="2"/>
                    <w:sz w:val="22"/>
                    <w:szCs w:val="22"/>
                    <w:shd w:val="clear" w:color="auto" w:fill="FFFFFF"/>
                  </w:rPr>
                  <w:t>ex ante</w:t>
                </w:r>
                <w:r>
                  <w:rPr>
                    <w:color w:val="000000"/>
                    <w:kern w:val="2"/>
                    <w:sz w:val="22"/>
                    <w:szCs w:val="22"/>
                    <w:shd w:val="clear" w:color="auto" w:fill="FFFFFF"/>
                  </w:rPr>
                  <w:t> apskaičiuoti neatliekant rizikos vertinimo (skaidriai pagalbai).“</w:t>
                </w:r>
              </w:p>
              <w:p>
                <w:pPr>
                  <w:jc w:val="both"/>
                  <w:rPr>
                    <w:sz w:val="22"/>
                    <w:szCs w:val="22"/>
                  </w:rPr>
                </w:pPr>
                <w:r>
                  <w:rPr>
                    <w:b/>
                    <w:bCs/>
                    <w:color w:val="000000"/>
                    <w:sz w:val="22"/>
                    <w:szCs w:val="22"/>
                    <w:shd w:val="clear" w:color="auto" w:fill="FFFFFF"/>
                  </w:rPr>
                  <w:t>4 straipsnio 7 dalis</w:t>
                </w:r>
                <w:r>
                  <w:rPr>
                    <w:color w:val="000000"/>
                    <w:sz w:val="22"/>
                    <w:szCs w:val="22"/>
                    <w:shd w:val="clear" w:color="auto" w:fill="FFFFFF"/>
                  </w:rPr>
                  <w:t xml:space="preserve"> „</w:t>
                </w:r>
                <w:r>
                  <w:rPr>
                    <w:color w:val="000000"/>
                    <w:kern w:val="2"/>
                    <w:sz w:val="22"/>
                    <w:szCs w:val="22"/>
                    <w:shd w:val="clear" w:color="auto" w:fill="FFFFFF"/>
                  </w:rPr>
                  <w:t>Pagalba, kurią sudaro kitos priemonės, laikoma skaidria </w:t>
                </w:r>
                <w:r>
                  <w:rPr>
                    <w:i/>
                    <w:iCs/>
                    <w:color w:val="000000"/>
                    <w:kern w:val="2"/>
                    <w:sz w:val="22"/>
                    <w:szCs w:val="22"/>
                    <w:shd w:val="clear" w:color="auto" w:fill="FFFFFF"/>
                  </w:rPr>
                  <w:t>de minimis</w:t>
                </w:r>
                <w:r>
                  <w:rPr>
                    <w:color w:val="000000"/>
                    <w:kern w:val="2"/>
                    <w:sz w:val="22"/>
                    <w:szCs w:val="22"/>
                    <w:shd w:val="clear" w:color="auto" w:fill="FFFFFF"/>
                  </w:rPr>
                  <w:t> pagalba, jei tokia priemone numatoma riba, kuria užtikrinama, kad atitinkama viršutinė riba nebūtų viršyta.“</w:t>
                </w:r>
              </w:p>
            </w:tc>
            <w:tc>
              <w:tcPr>
                <w:tcW w:w="5103" w:type="dxa"/>
                <w:tcMar>
                  <w:top w:w="0" w:type="dxa"/>
                  <w:left w:w="108" w:type="dxa"/>
                  <w:bottom w:w="0" w:type="dxa"/>
                  <w:right w:w="108" w:type="dxa"/>
                </w:tcMar>
              </w:tcPr>
              <w:p>
                <w:pPr>
                  <w:tabs>
                    <w:tab w:val="left" w:pos="451"/>
                    <w:tab w:val="left" w:pos="11719"/>
                  </w:tabs>
                  <w:spacing w:line="259" w:lineRule="auto"/>
                  <w:jc w:val="both"/>
                  <w:rPr>
                    <w:bCs/>
                    <w:kern w:val="2"/>
                    <w:sz w:val="22"/>
                    <w:szCs w:val="22"/>
                    <w:lang w:eastAsia="lt-LT"/>
                  </w:rPr>
                </w:pPr>
                <w:r>
                  <w:rPr>
                    <w:kern w:val="2"/>
                    <w:sz w:val="22"/>
                    <w:szCs w:val="22"/>
                  </w:rPr>
                  <w:t xml:space="preserve">23 priedo 11.3 papunktis, </w:t>
                </w:r>
                <w:r>
                  <w:rPr>
                    <w:kern w:val="2"/>
                    <w:sz w:val="22"/>
                    <w:szCs w:val="22"/>
                    <w:lang w:eastAsia="lt-LT"/>
                  </w:rPr>
                  <w:t>23 priedo 3 priedo 14 klausimas.</w:t>
                </w:r>
              </w:p>
            </w:tc>
          </w:tr>
          <w:tr>
            <w:tc>
              <w:tcPr>
                <w:tcW w:w="8500" w:type="dxa"/>
                <w:tcMar>
                  <w:top w:w="0" w:type="dxa"/>
                  <w:left w:w="108" w:type="dxa"/>
                  <w:bottom w:w="0" w:type="dxa"/>
                  <w:right w:w="108" w:type="dxa"/>
                </w:tcMar>
              </w:tcPr>
              <w:p>
                <w:pPr>
                  <w:shd w:val="clear" w:color="auto" w:fill="FFFFFF"/>
                  <w:spacing w:line="259" w:lineRule="auto"/>
                  <w:jc w:val="both"/>
                  <w:rPr>
                    <w:b/>
                    <w:bCs/>
                    <w:sz w:val="22"/>
                    <w:szCs w:val="22"/>
                  </w:rPr>
                </w:pPr>
                <w:r>
                  <w:rPr>
                    <w:b/>
                    <w:bCs/>
                    <w:sz w:val="22"/>
                    <w:szCs w:val="22"/>
                  </w:rPr>
                  <w:t>5 straipsnis. Pagalbos sumavimas</w:t>
                </w:r>
              </w:p>
              <w:p>
                <w:pPr>
                  <w:rPr>
                    <w:sz w:val="14"/>
                    <w:szCs w:val="14"/>
                  </w:rPr>
                </w:pPr>
              </w:p>
              <w:p>
                <w:pPr>
                  <w:shd w:val="clear" w:color="auto" w:fill="FFFFFF"/>
                  <w:spacing w:line="259" w:lineRule="auto"/>
                  <w:jc w:val="both"/>
                  <w:rPr>
                    <w:color w:val="000000"/>
                    <w:kern w:val="2"/>
                    <w:sz w:val="22"/>
                    <w:szCs w:val="22"/>
                  </w:rPr>
                </w:pPr>
                <w:r>
                  <w:rPr>
                    <w:sz w:val="22"/>
                    <w:szCs w:val="22"/>
                  </w:rPr>
                  <w:t>„</w:t>
                </w:r>
                <w:r>
                  <w:rPr>
                    <w:color w:val="000000"/>
                    <w:kern w:val="2"/>
                    <w:sz w:val="22"/>
                    <w:szCs w:val="22"/>
                  </w:rPr>
                  <w:t xml:space="preserve">1. Jeigu įmonė vykdo veiklą pirminės žemės ūkio produktų gamybos sektoriuje ir viename ar keliuose sektoriuose arba kitose veiklos srityse, kurioms taikomas Reglamentas </w:t>
                </w:r>
                <w:fldSimple w:instr="HYPERLINK http://eur-lex.europa.eu/legal-content/LIT/TXT/?uri=CELEX:32013R1407&amp;locale=lt \t _blank">
                  <w:r>
                    <w:rPr>
                      <w:color w:val="0000FF" w:themeColor="hyperlink"/>
                      <w:kern w:val="2"/>
                      <w:sz w:val="22"/>
                      <w:szCs w:val="22"/>
                      <w:u w:val="single"/>
                    </w:rPr>
                    <w:t>(ES) Nr. 1407/2013</w:t>
                  </w:r>
                </w:fldSimple>
                <w:r>
                  <w:rPr>
                    <w:color w:val="000000"/>
                    <w:kern w:val="2"/>
                    <w:sz w:val="22"/>
                    <w:szCs w:val="22"/>
                  </w:rPr>
                  <w:t>, galima sumuoti pagal šį reglamentą teikiamą </w:t>
                </w:r>
                <w:r>
                  <w:rPr>
                    <w:i/>
                    <w:iCs/>
                    <w:color w:val="000000"/>
                    <w:kern w:val="2"/>
                    <w:sz w:val="22"/>
                    <w:szCs w:val="22"/>
                  </w:rPr>
                  <w:t>de minimis</w:t>
                </w:r>
                <w:r>
                  <w:rPr>
                    <w:color w:val="000000"/>
                    <w:kern w:val="2"/>
                    <w:sz w:val="22"/>
                    <w:szCs w:val="22"/>
                  </w:rPr>
                  <w:t> pagalbą veiklai žemės ūkio produktų gamybos sektoriuje vykdyti ir </w:t>
                </w:r>
                <w:r>
                  <w:rPr>
                    <w:i/>
                    <w:iCs/>
                    <w:color w:val="000000"/>
                    <w:kern w:val="2"/>
                    <w:sz w:val="22"/>
                    <w:szCs w:val="22"/>
                  </w:rPr>
                  <w:t>de minimis</w:t>
                </w:r>
                <w:r>
                  <w:rPr>
                    <w:color w:val="000000"/>
                    <w:kern w:val="2"/>
                    <w:sz w:val="22"/>
                    <w:szCs w:val="22"/>
                  </w:rPr>
                  <w:t xml:space="preserve"> pagalbą veiklai pastarajame (- uosiuose) sektoriuje (-iuose) arba veiklos srityse vykdyti, neviršijant Reglamento </w:t>
                </w:r>
                <w:fldSimple w:instr="HYPERLINK http://eur-lex.europa.eu/legal-content/LIT/TXT/?uri=CELEX:32013R1407&amp;locale=lt \t _blank">
                  <w:r>
                    <w:rPr>
                      <w:color w:val="0000FF" w:themeColor="hyperlink"/>
                      <w:kern w:val="2"/>
                      <w:sz w:val="22"/>
                      <w:szCs w:val="22"/>
                      <w:u w:val="single"/>
                    </w:rPr>
                    <w:t>(ES) Nr. 1407/2013</w:t>
                  </w:r>
                </w:fldSimple>
                <w:r>
                  <w:rPr>
                    <w:color w:val="000000"/>
                    <w:kern w:val="2"/>
                    <w:sz w:val="22"/>
                    <w:szCs w:val="22"/>
                  </w:rPr>
                  <w:t xml:space="preserve"> 3 straipsnio 2 dalyje nustatytos viršutinės ribos, jeigu valstybės narės tinkamomis priemonėmis, pavyzdžiui, atskirdamos veiklos sritis ar sąnaudas, užtikrina, kad pirminės žemės ūkio produktų gamybos sektoriaus veiklai vykdyti nebūtų skiriama </w:t>
                </w:r>
                <w:r>
                  <w:rPr>
                    <w:i/>
                    <w:iCs/>
                    <w:color w:val="000000"/>
                    <w:kern w:val="2"/>
                    <w:sz w:val="22"/>
                    <w:szCs w:val="22"/>
                  </w:rPr>
                  <w:t>de minimis</w:t>
                </w:r>
                <w:r>
                  <w:rPr>
                    <w:color w:val="000000"/>
                    <w:kern w:val="2"/>
                    <w:sz w:val="22"/>
                    <w:szCs w:val="22"/>
                  </w:rPr>
                  <w:t xml:space="preserve"> pagalba, suteikta pagal Reglamentą </w:t>
                </w:r>
                <w:fldSimple w:instr="HYPERLINK http://eur-lex.europa.eu/legal-content/LIT/TXT/?uri=CELEX:32013R1407&amp;locale=lt \t _blank">
                  <w:r>
                    <w:rPr>
                      <w:color w:val="0000FF" w:themeColor="hyperlink"/>
                      <w:kern w:val="2"/>
                      <w:sz w:val="22"/>
                      <w:szCs w:val="22"/>
                      <w:u w:val="single"/>
                    </w:rPr>
                    <w:t>(ES) Nr. 1407/2013</w:t>
                  </w:r>
                </w:fldSimple>
                <w:r>
                  <w:rPr>
                    <w:color w:val="000000"/>
                    <w:kern w:val="2"/>
                    <w:sz w:val="22"/>
                    <w:szCs w:val="22"/>
                  </w:rPr>
                  <w:t>.</w:t>
                </w:r>
              </w:p>
              <w:p>
                <w:pPr>
                  <w:rPr>
                    <w:sz w:val="14"/>
                    <w:szCs w:val="14"/>
                  </w:rPr>
                </w:pPr>
              </w:p>
              <w:p>
                <w:pPr>
                  <w:shd w:val="clear" w:color="auto" w:fill="FFFFFF"/>
                  <w:spacing w:line="259" w:lineRule="auto"/>
                  <w:jc w:val="both"/>
                  <w:rPr>
                    <w:color w:val="000000"/>
                    <w:kern w:val="2"/>
                    <w:sz w:val="22"/>
                    <w:szCs w:val="22"/>
                  </w:rPr>
                </w:pPr>
                <w:r>
                  <w:rPr>
                    <w:color w:val="000000"/>
                    <w:kern w:val="2"/>
                    <w:sz w:val="22"/>
                    <w:szCs w:val="22"/>
                  </w:rPr>
                  <w:t>2. Jeigu įmonė vykdo veiklą pirminės žemės ūkio produktų gamybos veiklą ir pirminės žvejybos ir akvakultūros produktų gamybos veiklą, galima sumuoti pagal šį reglamentą teikiamą </w:t>
                </w:r>
                <w:r>
                  <w:rPr>
                    <w:i/>
                    <w:iCs/>
                    <w:color w:val="000000"/>
                    <w:kern w:val="2"/>
                    <w:sz w:val="22"/>
                    <w:szCs w:val="22"/>
                  </w:rPr>
                  <w:t>de minimis</w:t>
                </w:r>
                <w:r>
                  <w:rPr>
                    <w:color w:val="000000"/>
                    <w:kern w:val="2"/>
                    <w:sz w:val="22"/>
                    <w:szCs w:val="22"/>
                  </w:rPr>
                  <w:t xml:space="preserve"> pagalbą veiklai žemės ūkio produktų gamybos sektoriuje vykdyti ir pagal Reglamentą </w:t>
                </w:r>
                <w:fldSimple w:instr="HYPERLINK http://eur-lex.europa.eu/legal-content/LIT/TXT/?uri=CELEX:32014R0717&amp;locale=lt \t _blank">
                  <w:r>
                    <w:rPr>
                      <w:color w:val="0000FF" w:themeColor="hyperlink"/>
                      <w:kern w:val="2"/>
                      <w:sz w:val="22"/>
                      <w:szCs w:val="22"/>
                      <w:u w:val="single"/>
                    </w:rPr>
                    <w:t>(ES) Nr. 717/2014</w:t>
                  </w:r>
                </w:fldSimple>
                <w:r>
                  <w:rPr>
                    <w:color w:val="000000"/>
                    <w:kern w:val="2"/>
                    <w:sz w:val="22"/>
                    <w:szCs w:val="22"/>
                  </w:rPr>
                  <w:t xml:space="preserve"> teikiamą </w:t>
                </w:r>
                <w:r>
                  <w:rPr>
                    <w:i/>
                    <w:iCs/>
                    <w:color w:val="000000"/>
                    <w:kern w:val="2"/>
                    <w:sz w:val="22"/>
                    <w:szCs w:val="22"/>
                  </w:rPr>
                  <w:t>de minimis</w:t>
                </w:r>
                <w:r>
                  <w:rPr>
                    <w:color w:val="000000"/>
                    <w:kern w:val="2"/>
                    <w:sz w:val="22"/>
                    <w:szCs w:val="22"/>
                  </w:rPr>
                  <w:t> pagalbą veiklai žvejybos ir akvakultūros sektoriuje vykdyti, neviršijant tame reglamente nustatytos atitinkamos viršutinės ribos, jeigu atitinkama valstybė narė tinkamomis priemonėmis, pavyzdžiui, atskirdamos veiklos sritis ar sąnaudas, užtikrina, kad pirminės žemės ūkio produktų gamybos sektoriaus veiklai vykdyti nebūtų skiriama </w:t>
                </w:r>
                <w:r>
                  <w:rPr>
                    <w:i/>
                    <w:iCs/>
                    <w:color w:val="000000"/>
                    <w:kern w:val="2"/>
                    <w:sz w:val="22"/>
                    <w:szCs w:val="22"/>
                  </w:rPr>
                  <w:t>de minimis</w:t>
                </w:r>
                <w:r>
                  <w:rPr>
                    <w:color w:val="000000"/>
                    <w:kern w:val="2"/>
                    <w:sz w:val="22"/>
                    <w:szCs w:val="22"/>
                  </w:rPr>
                  <w:t xml:space="preserve"> pagalba, suteikta pagal Reglamentą </w:t>
                </w:r>
                <w:fldSimple w:instr="HYPERLINK http://eur-lex.europa.eu/legal-content/LIT/TXT/?uri=CELEX:32014R0717&amp;locale=lt \t _blank">
                  <w:r>
                    <w:rPr>
                      <w:color w:val="0000FF" w:themeColor="hyperlink"/>
                      <w:kern w:val="2"/>
                      <w:sz w:val="22"/>
                      <w:szCs w:val="22"/>
                      <w:u w:val="single"/>
                    </w:rPr>
                    <w:t>(ES) Nr. 717/2014</w:t>
                  </w:r>
                </w:fldSimple>
                <w:r>
                  <w:rPr>
                    <w:color w:val="000000"/>
                    <w:kern w:val="2"/>
                    <w:sz w:val="22"/>
                    <w:szCs w:val="22"/>
                  </w:rPr>
                  <w:t>.</w:t>
                </w:r>
              </w:p>
              <w:p>
                <w:pPr>
                  <w:rPr>
                    <w:sz w:val="14"/>
                    <w:szCs w:val="14"/>
                  </w:rPr>
                </w:pPr>
              </w:p>
              <w:p>
                <w:pPr>
                  <w:shd w:val="clear" w:color="auto" w:fill="FFFFFF"/>
                  <w:spacing w:line="259" w:lineRule="auto"/>
                  <w:jc w:val="both"/>
                  <w:rPr>
                    <w:sz w:val="22"/>
                    <w:szCs w:val="22"/>
                  </w:rPr>
                </w:pPr>
                <w:r>
                  <w:rPr>
                    <w:color w:val="000000"/>
                    <w:kern w:val="2"/>
                    <w:sz w:val="22"/>
                    <w:szCs w:val="22"/>
                  </w:rPr>
                  <w:t xml:space="preserve">3. </w:t>
                </w:r>
                <w:r>
                  <w:rPr>
                    <w:i/>
                    <w:iCs/>
                    <w:color w:val="000000"/>
                    <w:kern w:val="2"/>
                    <w:sz w:val="22"/>
                    <w:szCs w:val="22"/>
                  </w:rPr>
                  <w:t>De minimis</w:t>
                </w:r>
                <w:r>
                  <w:rPr>
                    <w:color w:val="000000"/>
                    <w:kern w:val="2"/>
                    <w:sz w:val="22"/>
                    <w:szCs w:val="22"/>
                  </w:rPr>
                  <w:t> pagalba nesumuojama su valstybės pagalba, skiriama toms pačioms tinkamoms finansuoti sąnaudoms, arba su valstybės pagalba, susijusia su ta pačia rizikos finansų priemone, jeigu dėl tokio pagalbos sumavimo būtų viršytas bendrosios išimties reglamente arba Komisijos priimtame sprendime nustatytas didžiausias atitinkamas pagalbos intensyvumas arba kiekvienu atveju atskirai nustatyta pagalbos suma. </w:t>
                </w:r>
                <w:r>
                  <w:rPr>
                    <w:i/>
                    <w:iCs/>
                    <w:color w:val="000000"/>
                    <w:kern w:val="2"/>
                    <w:sz w:val="22"/>
                    <w:szCs w:val="22"/>
                  </w:rPr>
                  <w:t>De minimis</w:t>
                </w:r>
                <w:r>
                  <w:rPr>
                    <w:color w:val="000000"/>
                    <w:kern w:val="2"/>
                    <w:sz w:val="22"/>
                    <w:szCs w:val="22"/>
                  </w:rPr>
                  <w:t> pagalba, kuri nėra teikiama arba priskiriama konkrečioms tinkamoms finansuoti sąnaudoms, gali būti sumuojama su kita valstybės pagalba, suteikta pagal bendrosios išimties reglamentą arba Komisijos priimtą sprendimą.“</w:t>
                </w:r>
              </w:p>
            </w:tc>
            <w:tc>
              <w:tcPr>
                <w:tcW w:w="5103" w:type="dxa"/>
                <w:tcMar>
                  <w:top w:w="0" w:type="dxa"/>
                  <w:left w:w="108" w:type="dxa"/>
                  <w:bottom w:w="0" w:type="dxa"/>
                  <w:right w:w="108" w:type="dxa"/>
                </w:tcMar>
              </w:tcPr>
              <w:p>
                <w:pPr>
                  <w:jc w:val="both"/>
                  <w:rPr>
                    <w:bCs/>
                    <w:kern w:val="2"/>
                    <w:sz w:val="22"/>
                    <w:szCs w:val="22"/>
                    <w:lang w:eastAsia="lt-LT"/>
                  </w:rPr>
                </w:pPr>
                <w:r>
                  <w:rPr>
                    <w:kern w:val="2"/>
                    <w:sz w:val="22"/>
                    <w:szCs w:val="22"/>
                    <w:lang w:eastAsia="lt-LT"/>
                  </w:rPr>
                  <w:t>23 priedo 3 priedo 15 klausimas.</w:t>
                </w:r>
              </w:p>
            </w:tc>
          </w:tr>
          <w:tr>
            <w:tc>
              <w:tcPr>
                <w:tcW w:w="8500" w:type="dxa"/>
                <w:tcMar>
                  <w:top w:w="0" w:type="dxa"/>
                  <w:left w:w="108" w:type="dxa"/>
                  <w:bottom w:w="0" w:type="dxa"/>
                  <w:right w:w="108" w:type="dxa"/>
                </w:tcMar>
              </w:tcPr>
              <w:p>
                <w:pPr>
                  <w:rPr>
                    <w:sz w:val="10"/>
                    <w:szCs w:val="10"/>
                  </w:rPr>
                </w:pPr>
              </w:p>
              <w:p>
                <w:pPr>
                  <w:shd w:val="clear" w:color="auto" w:fill="FFFFFF"/>
                  <w:jc w:val="both"/>
                  <w:rPr>
                    <w:b/>
                    <w:bCs/>
                    <w:szCs w:val="24"/>
                  </w:rPr>
                </w:pPr>
                <w:r>
                  <w:rPr>
                    <w:b/>
                    <w:bCs/>
                    <w:sz w:val="22"/>
                    <w:szCs w:val="22"/>
                  </w:rPr>
                  <w:t>8 straipsnis.</w:t>
                </w:r>
                <w:r>
                  <w:rPr>
                    <w:b/>
                    <w:bCs/>
                    <w:szCs w:val="24"/>
                  </w:rPr>
                  <w:t>Įsigaliojimas ir taikymo laikotarpis</w:t>
                </w:r>
              </w:p>
            </w:tc>
            <w:tc>
              <w:tcPr>
                <w:tcW w:w="5103" w:type="dxa"/>
                <w:tcMar>
                  <w:top w:w="0" w:type="dxa"/>
                  <w:left w:w="108" w:type="dxa"/>
                  <w:bottom w:w="0" w:type="dxa"/>
                  <w:right w:w="108" w:type="dxa"/>
                </w:tcMar>
              </w:tcPr>
              <w:p>
                <w:pPr>
                  <w:jc w:val="both"/>
                  <w:rPr>
                    <w:bCs/>
                    <w:kern w:val="2"/>
                    <w:sz w:val="22"/>
                    <w:szCs w:val="22"/>
                    <w:lang w:eastAsia="lt-LT"/>
                  </w:rPr>
                </w:pPr>
                <w:r>
                  <w:rPr>
                    <w:kern w:val="2"/>
                    <w:sz w:val="22"/>
                    <w:szCs w:val="22"/>
                    <w:lang w:eastAsia="lt-LT"/>
                  </w:rPr>
                  <w:t>23 priedo 3 priedo 16 klausimas.</w:t>
                </w:r>
              </w:p>
            </w:tc>
          </w:tr>
          <w:tr>
            <w:tc>
              <w:tcPr>
                <w:tcW w:w="13603" w:type="dxa"/>
                <w:gridSpan w:val="2"/>
                <w:tcMar>
                  <w:top w:w="0" w:type="dxa"/>
                  <w:left w:w="108" w:type="dxa"/>
                  <w:bottom w:w="0" w:type="dxa"/>
                  <w:right w:w="108" w:type="dxa"/>
                </w:tcMar>
              </w:tcPr>
              <w:p>
                <w:pPr>
                  <w:jc w:val="center"/>
                  <w:rPr>
                    <w:b/>
                    <w:bCs/>
                    <w:kern w:val="2"/>
                    <w:sz w:val="22"/>
                    <w:szCs w:val="22"/>
                    <w:lang w:eastAsia="lt-LT"/>
                  </w:rPr>
                </w:pPr>
                <w:r>
                  <w:rPr>
                    <w:b/>
                    <w:bCs/>
                    <w:kern w:val="2"/>
                    <w:sz w:val="22"/>
                    <w:szCs w:val="22"/>
                  </w:rPr>
                  <w:t xml:space="preserve">Reglamento </w:t>
                </w:r>
                <w:fldSimple w:instr="HYPERLINK http://eur-lex.europa.eu/legal-content/LIT/TXT/?uri=CELEX:32717R2014&amp;locale=lt \t _blank">
                  <w:r>
                    <w:rPr>
                      <w:b/>
                      <w:bCs/>
                      <w:kern w:val="2"/>
                      <w:sz w:val="22"/>
                      <w:szCs w:val="22"/>
                      <w:u w:val="single"/>
                      <w:color w:val="0000FF" w:themeColor="hyperlink"/>
                    </w:rPr>
                    <w:t>(ES) 717/2014</w:t>
                  </w:r>
                </w:fldSimple>
                <w:r>
                  <w:rPr>
                    <w:b/>
                    <w:bCs/>
                    <w:kern w:val="2"/>
                    <w:sz w:val="22"/>
                    <w:szCs w:val="22"/>
                  </w:rPr>
                  <w:t xml:space="preserve"> nuostatos</w:t>
                </w:r>
              </w:p>
            </w:tc>
          </w:tr>
          <w:tr>
            <w:tc>
              <w:tcPr>
                <w:tcW w:w="8500" w:type="dxa"/>
                <w:tcMar>
                  <w:top w:w="0" w:type="dxa"/>
                  <w:left w:w="108" w:type="dxa"/>
                  <w:bottom w:w="0" w:type="dxa"/>
                  <w:right w:w="108" w:type="dxa"/>
                </w:tcMar>
              </w:tcPr>
              <w:p>
                <w:pPr>
                  <w:spacing w:line="259" w:lineRule="auto"/>
                  <w:jc w:val="both"/>
                  <w:rPr>
                    <w:color w:val="000000"/>
                    <w:kern w:val="2"/>
                    <w:sz w:val="22"/>
                    <w:szCs w:val="22"/>
                  </w:rPr>
                </w:pPr>
                <w:r>
                  <w:rPr>
                    <w:b/>
                    <w:color w:val="000000"/>
                    <w:kern w:val="2"/>
                    <w:sz w:val="22"/>
                    <w:szCs w:val="22"/>
                    <w:shd w:val="clear" w:color="auto" w:fill="FFFFFF"/>
                  </w:rPr>
                  <w:t>1 straipsnio 1 dalis</w:t>
                </w:r>
                <w:r>
                  <w:rPr>
                    <w:color w:val="000000"/>
                    <w:kern w:val="2"/>
                    <w:sz w:val="22"/>
                    <w:szCs w:val="22"/>
                    <w:shd w:val="clear" w:color="auto" w:fill="FFFFFF"/>
                  </w:rPr>
                  <w:t>: „</w:t>
                </w:r>
                <w:r>
                  <w:rPr>
                    <w:color w:val="000000"/>
                    <w:kern w:val="2"/>
                    <w:sz w:val="22"/>
                    <w:szCs w:val="22"/>
                  </w:rPr>
                  <w:t>Šis reglamentas taikomas pagalbai, teikiamai įmonėms, vykdančioms pirminės žvejybos ir akvakultūros produktų gamybos veiklą, išskyrus:</w:t>
                </w:r>
              </w:p>
              <w:p>
                <w:pPr>
                  <w:rPr>
                    <w:sz w:val="14"/>
                    <w:szCs w:val="14"/>
                  </w:rPr>
                </w:pPr>
              </w:p>
              <w:p>
                <w:pPr>
                  <w:shd w:val="clear" w:color="auto" w:fill="FFFFFF"/>
                  <w:spacing w:line="259" w:lineRule="auto"/>
                  <w:jc w:val="both"/>
                  <w:rPr>
                    <w:color w:val="000000"/>
                    <w:kern w:val="2"/>
                    <w:sz w:val="22"/>
                    <w:szCs w:val="22"/>
                  </w:rPr>
                </w:pPr>
                <w:r>
                  <w:rPr>
                    <w:color w:val="000000"/>
                    <w:kern w:val="2"/>
                    <w:sz w:val="22"/>
                    <w:szCs w:val="22"/>
                  </w:rPr>
                  <w:t>a) pagalbą, kurios dydis nustatytas remiantis įsigytų arba rinkai pateiktų produktų kaina arba kiekiu;</w:t>
                </w:r>
              </w:p>
              <w:p>
                <w:pPr>
                  <w:rPr>
                    <w:sz w:val="14"/>
                    <w:szCs w:val="14"/>
                  </w:rPr>
                </w:pPr>
              </w:p>
              <w:p>
                <w:pPr>
                  <w:shd w:val="clear" w:color="auto" w:fill="FFFFFF"/>
                  <w:spacing w:line="259" w:lineRule="auto"/>
                  <w:jc w:val="both"/>
                  <w:rPr>
                    <w:color w:val="000000"/>
                    <w:kern w:val="2"/>
                    <w:sz w:val="22"/>
                    <w:szCs w:val="22"/>
                  </w:rPr>
                </w:pPr>
                <w:r>
                  <w:rPr>
                    <w:color w:val="000000"/>
                    <w:kern w:val="2"/>
                    <w:sz w:val="22"/>
                    <w:szCs w:val="22"/>
                  </w:rPr>
                  <w:t>b) pagalbą, teikiamą su eksportu susijusiai veiklai trečiosiose šalyse arba valstybėse narėse, t. y. pagalbą, tiesiogiai susijusią su eksportuojamais kiekiais, platinimo tinklo kūrimu bei veikla, arba kitomis einamosiomis išlaidomis, susijusiomis su eksporto veikla;</w:t>
                </w:r>
              </w:p>
              <w:p>
                <w:pPr>
                  <w:rPr>
                    <w:sz w:val="14"/>
                    <w:szCs w:val="14"/>
                  </w:rPr>
                </w:pPr>
              </w:p>
              <w:p>
                <w:pPr>
                  <w:shd w:val="clear" w:color="auto" w:fill="FFFFFF"/>
                  <w:spacing w:line="259" w:lineRule="auto"/>
                  <w:jc w:val="both"/>
                  <w:rPr>
                    <w:color w:val="000000"/>
                    <w:kern w:val="2"/>
                    <w:sz w:val="22"/>
                    <w:szCs w:val="22"/>
                  </w:rPr>
                </w:pPr>
                <w:r>
                  <w:rPr>
                    <w:color w:val="000000"/>
                    <w:kern w:val="2"/>
                    <w:sz w:val="22"/>
                    <w:szCs w:val="22"/>
                  </w:rPr>
                  <w:t>c) pagalbą, kuri priklauso nuo to, ar daugiau vartojama vietinių nei importuotų prekių;</w:t>
                </w:r>
              </w:p>
              <w:p>
                <w:pPr>
                  <w:rPr>
                    <w:sz w:val="14"/>
                    <w:szCs w:val="14"/>
                  </w:rPr>
                </w:pPr>
              </w:p>
              <w:p>
                <w:pPr>
                  <w:shd w:val="clear" w:color="auto" w:fill="FFFFFF"/>
                  <w:spacing w:line="259" w:lineRule="auto"/>
                  <w:jc w:val="both"/>
                  <w:rPr>
                    <w:color w:val="000000"/>
                    <w:kern w:val="2"/>
                    <w:sz w:val="22"/>
                    <w:szCs w:val="22"/>
                  </w:rPr>
                </w:pPr>
                <w:r>
                  <w:rPr>
                    <w:color w:val="000000"/>
                    <w:kern w:val="2"/>
                    <w:sz w:val="22"/>
                    <w:szCs w:val="22"/>
                  </w:rPr>
                  <w:t>d) pagalbą žvejybos laivams įsigyti;</w:t>
                </w:r>
              </w:p>
              <w:p>
                <w:pPr>
                  <w:rPr>
                    <w:sz w:val="14"/>
                    <w:szCs w:val="14"/>
                  </w:rPr>
                </w:pPr>
              </w:p>
              <w:p>
                <w:pPr>
                  <w:shd w:val="clear" w:color="auto" w:fill="FFFFFF"/>
                  <w:spacing w:line="259" w:lineRule="auto"/>
                  <w:jc w:val="both"/>
                  <w:rPr>
                    <w:color w:val="000000"/>
                    <w:kern w:val="2"/>
                    <w:sz w:val="22"/>
                    <w:szCs w:val="22"/>
                  </w:rPr>
                </w:pPr>
                <w:r>
                  <w:rPr>
                    <w:color w:val="000000"/>
                    <w:kern w:val="2"/>
                    <w:sz w:val="22"/>
                    <w:szCs w:val="22"/>
                  </w:rPr>
                  <w:t>e) pagalbą, skirtą žvejybos laivų pagrindiniams ar pagalbiniams varikliams atnaujinti ar pakeisti naujais;</w:t>
                </w:r>
              </w:p>
              <w:p>
                <w:pPr>
                  <w:rPr>
                    <w:sz w:val="14"/>
                    <w:szCs w:val="14"/>
                  </w:rPr>
                </w:pPr>
              </w:p>
              <w:p>
                <w:pPr>
                  <w:shd w:val="clear" w:color="auto" w:fill="FFFFFF"/>
                  <w:spacing w:line="259" w:lineRule="auto"/>
                  <w:jc w:val="both"/>
                  <w:rPr>
                    <w:color w:val="000000"/>
                    <w:kern w:val="2"/>
                    <w:sz w:val="22"/>
                    <w:szCs w:val="22"/>
                  </w:rPr>
                </w:pPr>
                <w:r>
                  <w:rPr>
                    <w:color w:val="000000"/>
                    <w:kern w:val="2"/>
                    <w:sz w:val="22"/>
                    <w:szCs w:val="22"/>
                  </w:rPr>
                  <w:t>f) pagalbą operacijoms, kuriomis padidinamas žvejybos laivo žvejybos pajėgumas, arba įrangos, kuria didinamas žvejybos laivo pajėgumas rasti žuvų, įsigijimo pagalbą;</w:t>
                </w:r>
              </w:p>
              <w:p>
                <w:pPr>
                  <w:rPr>
                    <w:sz w:val="14"/>
                    <w:szCs w:val="14"/>
                  </w:rPr>
                </w:pPr>
              </w:p>
              <w:p>
                <w:pPr>
                  <w:shd w:val="clear" w:color="auto" w:fill="FFFFFF"/>
                  <w:spacing w:line="259" w:lineRule="auto"/>
                  <w:jc w:val="both"/>
                  <w:rPr>
                    <w:color w:val="000000"/>
                    <w:kern w:val="2"/>
                    <w:sz w:val="22"/>
                    <w:szCs w:val="22"/>
                  </w:rPr>
                </w:pPr>
                <w:r>
                  <w:rPr>
                    <w:color w:val="000000"/>
                    <w:kern w:val="2"/>
                    <w:sz w:val="22"/>
                    <w:szCs w:val="22"/>
                  </w:rPr>
                  <w:t>g) žvejybos laivų statybos ar jų importo pagalbą;</w:t>
                </w:r>
              </w:p>
              <w:p>
                <w:pPr>
                  <w:rPr>
                    <w:sz w:val="14"/>
                    <w:szCs w:val="14"/>
                  </w:rPr>
                </w:pPr>
              </w:p>
              <w:p>
                <w:pPr>
                  <w:shd w:val="clear" w:color="auto" w:fill="FFFFFF"/>
                  <w:spacing w:line="259" w:lineRule="auto"/>
                  <w:jc w:val="both"/>
                  <w:rPr>
                    <w:color w:val="000000"/>
                    <w:kern w:val="2"/>
                    <w:sz w:val="22"/>
                    <w:szCs w:val="22"/>
                  </w:rPr>
                </w:pPr>
                <w:r>
                  <w:rPr>
                    <w:color w:val="000000"/>
                    <w:kern w:val="2"/>
                    <w:sz w:val="22"/>
                    <w:szCs w:val="22"/>
                  </w:rPr>
                  <w:t xml:space="preserve">h) pagalbą, skirtą žvejybos veiklai visam laikui arba laikinai nutraukti, išskyrus pagalbą, kuri atitinka Europos Parlamento ir Tarybos reglamento </w:t>
                </w:r>
                <w:fldSimple w:instr="HYPERLINK http://eur-lex.europa.eu/legal-content/LIT/TXT/?uri=CELEX:32021R1139&amp;locale=lt \t _blank">
                  <w:r>
                    <w:rPr>
                      <w:color w:val="0000FF" w:themeColor="hyperlink"/>
                      <w:kern w:val="2"/>
                      <w:sz w:val="22"/>
                      <w:szCs w:val="22"/>
                      <w:u w:val="single"/>
                    </w:rPr>
                    <w:t>(ES) 2021/1139</w:t>
                  </w:r>
                </w:fldSimple>
                <w:r>
                  <w:rPr>
                    <w:color w:val="000000"/>
                    <w:kern w:val="2"/>
                    <w:sz w:val="22"/>
                    <w:szCs w:val="22"/>
                  </w:rPr>
                  <w:t> 20 ir 21 straipsniuose nustatytas sąlygas;</w:t>
                </w:r>
              </w:p>
              <w:p>
                <w:pPr>
                  <w:rPr>
                    <w:sz w:val="14"/>
                    <w:szCs w:val="14"/>
                  </w:rPr>
                </w:pPr>
              </w:p>
              <w:p>
                <w:pPr>
                  <w:shd w:val="clear" w:color="auto" w:fill="FFFFFF"/>
                  <w:spacing w:line="259" w:lineRule="auto"/>
                  <w:jc w:val="both"/>
                  <w:rPr>
                    <w:color w:val="000000"/>
                    <w:kern w:val="2"/>
                    <w:sz w:val="22"/>
                    <w:szCs w:val="22"/>
                  </w:rPr>
                </w:pPr>
                <w:r>
                  <w:rPr>
                    <w:color w:val="000000"/>
                    <w:kern w:val="2"/>
                    <w:sz w:val="22"/>
                    <w:szCs w:val="22"/>
                  </w:rPr>
                  <w:t>i) žvalgomosios žvejybos vykdymo pagalbą;</w:t>
                </w:r>
              </w:p>
              <w:p>
                <w:pPr>
                  <w:rPr>
                    <w:sz w:val="14"/>
                    <w:szCs w:val="14"/>
                  </w:rPr>
                </w:pPr>
              </w:p>
              <w:p>
                <w:pPr>
                  <w:shd w:val="clear" w:color="auto" w:fill="FFFFFF"/>
                  <w:spacing w:line="259" w:lineRule="auto"/>
                  <w:jc w:val="both"/>
                  <w:rPr>
                    <w:color w:val="000000"/>
                    <w:kern w:val="2"/>
                    <w:sz w:val="22"/>
                    <w:szCs w:val="22"/>
                  </w:rPr>
                </w:pPr>
                <w:r>
                  <w:rPr>
                    <w:color w:val="000000"/>
                    <w:kern w:val="2"/>
                    <w:sz w:val="22"/>
                    <w:szCs w:val="22"/>
                  </w:rPr>
                  <w:t>j) verslo nuosavybės teisių perdavimo pagalbą;</w:t>
                </w:r>
              </w:p>
              <w:p>
                <w:pPr>
                  <w:rPr>
                    <w:sz w:val="14"/>
                    <w:szCs w:val="14"/>
                  </w:rPr>
                </w:pPr>
              </w:p>
              <w:p>
                <w:pPr>
                  <w:shd w:val="clear" w:color="auto" w:fill="FFFFFF"/>
                  <w:spacing w:line="259" w:lineRule="auto"/>
                  <w:jc w:val="both"/>
                  <w:rPr>
                    <w:sz w:val="22"/>
                    <w:szCs w:val="22"/>
                  </w:rPr>
                </w:pPr>
                <w:r>
                  <w:rPr>
                    <w:color w:val="000000"/>
                    <w:kern w:val="2"/>
                    <w:sz w:val="22"/>
                    <w:szCs w:val="22"/>
                  </w:rPr>
                  <w:t>k) tiesioginio išteklių atkūrimo pagalbą, išskyrus atvejus, kai tai Sąjungos teisės akte aiškiai numatyta kaip apsaugos priemonė arba kai tai daroma eksperimentinio išteklių atkūrimo tikslais.“</w:t>
                </w:r>
              </w:p>
            </w:tc>
            <w:tc>
              <w:tcPr>
                <w:tcW w:w="5103" w:type="dxa"/>
                <w:tcMar>
                  <w:top w:w="0" w:type="dxa"/>
                  <w:left w:w="108" w:type="dxa"/>
                  <w:bottom w:w="0" w:type="dxa"/>
                  <w:right w:w="108" w:type="dxa"/>
                </w:tcMar>
              </w:tcPr>
              <w:p>
                <w:pPr>
                  <w:rPr>
                    <w:sz w:val="22"/>
                    <w:szCs w:val="22"/>
                  </w:rPr>
                </w:pPr>
                <w:r>
                  <w:rPr>
                    <w:kern w:val="2"/>
                    <w:sz w:val="22"/>
                    <w:szCs w:val="22"/>
                    <w:lang w:eastAsia="lt-LT"/>
                  </w:rPr>
                  <w:t>23 priedo 4 priedo 1–7 klausimai.</w:t>
                </w:r>
              </w:p>
            </w:tc>
          </w:tr>
          <w:tr>
            <w:tc>
              <w:tcPr>
                <w:tcW w:w="8500" w:type="dxa"/>
                <w:tcMar>
                  <w:top w:w="0" w:type="dxa"/>
                  <w:left w:w="108" w:type="dxa"/>
                  <w:bottom w:w="0" w:type="dxa"/>
                  <w:right w:w="108" w:type="dxa"/>
                </w:tcMar>
              </w:tcPr>
              <w:p>
                <w:pPr>
                  <w:jc w:val="both"/>
                  <w:rPr>
                    <w:sz w:val="22"/>
                    <w:szCs w:val="22"/>
                  </w:rPr>
                </w:pPr>
                <w:r>
                  <w:rPr>
                    <w:b/>
                    <w:sz w:val="22"/>
                    <w:szCs w:val="22"/>
                  </w:rPr>
                  <w:t>1 straipsnio 2 dalis</w:t>
                </w:r>
                <w:r>
                  <w:rPr>
                    <w:sz w:val="22"/>
                    <w:szCs w:val="22"/>
                  </w:rPr>
                  <w:t xml:space="preserve"> „</w:t>
                </w:r>
                <w:r>
                  <w:rPr>
                    <w:color w:val="000000"/>
                    <w:kern w:val="2"/>
                    <w:sz w:val="22"/>
                    <w:szCs w:val="22"/>
                    <w:shd w:val="clear" w:color="auto" w:fill="FFFFFF"/>
                  </w:rPr>
                  <w:t xml:space="preserve">Jeigu įmonė vykdo pirminės žvejybos ir akvakultūros produktų gamybos veiklą ir taip pat vykdo veiklą viename ar keliuose sektoriuose arba kitose veiklos srityse, kuriems taikomas Komisijos reglamentas </w:t>
                </w:r>
                <w:fldSimple w:instr="HYPERLINK http://eur-lex.europa.eu/legal-content/LIT/TXT/?uri=CELEX:32013R1407&amp;locale=lt \t _blank">
                  <w:r>
                    <w:rPr>
                      <w:color w:val="0000FF" w:themeColor="hyperlink"/>
                      <w:kern w:val="2"/>
                      <w:sz w:val="22"/>
                      <w:szCs w:val="22"/>
                      <w:shd w:val="clear" w:color="auto" w:fill="FFFFFF"/>
                      <w:u w:val="single"/>
                    </w:rPr>
                    <w:t>(ES) Nr. 1407/2013</w:t>
                  </w:r>
                </w:fldSimple>
                <w:r>
                  <w:rPr>
                    <w:color w:val="000000"/>
                    <w:kern w:val="2"/>
                    <w:sz w:val="22"/>
                    <w:szCs w:val="22"/>
                    <w:shd w:val="clear" w:color="auto" w:fill="FFFFFF"/>
                  </w:rPr>
                  <w:t>, tas reglamentas taikomas pagalbai, skirtai pastarajam sektoriui ar sektoriams arba veiklos sritims, su sąlyga, kad atitinkama valstybė narė tinkamomis priemonėmis, kaip antai atskirdama veiklos sritis ar sąnaudas, užtikrina, kad pirminei žvejybos ir akvakultūros produktų gamybai vykdyti nebūtų skiriama </w:t>
                </w:r>
                <w:r>
                  <w:rPr>
                    <w:i/>
                    <w:iCs/>
                    <w:color w:val="000000"/>
                    <w:kern w:val="2"/>
                    <w:sz w:val="22"/>
                    <w:szCs w:val="22"/>
                    <w:shd w:val="clear" w:color="auto" w:fill="FFFFFF"/>
                  </w:rPr>
                  <w:t>de minimis</w:t>
                </w:r>
                <w:r>
                  <w:rPr>
                    <w:color w:val="000000"/>
                    <w:kern w:val="2"/>
                    <w:sz w:val="22"/>
                    <w:szCs w:val="22"/>
                    <w:shd w:val="clear" w:color="auto" w:fill="FFFFFF"/>
                  </w:rPr>
                  <w:t> pagalba, suteikta pagal tą reglamentą.“</w:t>
                </w:r>
              </w:p>
            </w:tc>
            <w:tc>
              <w:tcPr>
                <w:tcW w:w="5103" w:type="dxa"/>
                <w:tcMar>
                  <w:top w:w="0" w:type="dxa"/>
                  <w:left w:w="108" w:type="dxa"/>
                  <w:bottom w:w="0" w:type="dxa"/>
                  <w:right w:w="108" w:type="dxa"/>
                </w:tcMar>
              </w:tcPr>
              <w:p>
                <w:pPr>
                  <w:jc w:val="both"/>
                  <w:rPr>
                    <w:sz w:val="22"/>
                    <w:szCs w:val="22"/>
                  </w:rPr>
                </w:pPr>
                <w:r>
                  <w:rPr>
                    <w:kern w:val="2"/>
                    <w:sz w:val="22"/>
                    <w:szCs w:val="22"/>
                    <w:lang w:eastAsia="lt-LT"/>
                  </w:rPr>
                  <w:t>23 priedo 4 priedo 8 klausimas.</w:t>
                </w:r>
              </w:p>
            </w:tc>
          </w:tr>
          <w:tr>
            <w:tc>
              <w:tcPr>
                <w:tcW w:w="8500" w:type="dxa"/>
                <w:tcMar>
                  <w:top w:w="0" w:type="dxa"/>
                  <w:left w:w="108" w:type="dxa"/>
                  <w:bottom w:w="0" w:type="dxa"/>
                  <w:right w:w="108" w:type="dxa"/>
                </w:tcMar>
              </w:tcPr>
              <w:p>
                <w:pPr>
                  <w:spacing w:line="259" w:lineRule="auto"/>
                  <w:jc w:val="both"/>
                  <w:rPr>
                    <w:sz w:val="22"/>
                    <w:szCs w:val="22"/>
                  </w:rPr>
                </w:pPr>
                <w:r>
                  <w:rPr>
                    <w:b/>
                    <w:sz w:val="22"/>
                    <w:szCs w:val="22"/>
                  </w:rPr>
                  <w:t>1 straipsnio 3 dalis</w:t>
                </w:r>
                <w:r>
                  <w:rPr>
                    <w:sz w:val="22"/>
                    <w:szCs w:val="22"/>
                  </w:rPr>
                  <w:t xml:space="preserve"> „</w:t>
                </w:r>
                <w:r>
                  <w:rPr>
                    <w:color w:val="000000"/>
                    <w:kern w:val="2"/>
                    <w:sz w:val="22"/>
                    <w:szCs w:val="22"/>
                  </w:rPr>
                  <w:t xml:space="preserve">Jeigu įmonė vykdo pirminės žvejybos ir akvakultūros produktų gamybos veiklą ir taip pat vykdo pirminės žemės ūkio produktų gamybos veiklą, kuriai taikomas Komisijos reglamentas </w:t>
                </w:r>
                <w:fldSimple w:instr="HYPERLINK http://eur-lex.europa.eu/legal-content/LIT/TXT/?uri=CELEX:32013R1408&amp;locale=lt \t _blank">
                  <w:r>
                    <w:rPr>
                      <w:color w:val="0000FF" w:themeColor="hyperlink"/>
                      <w:kern w:val="2"/>
                      <w:sz w:val="22"/>
                      <w:szCs w:val="22"/>
                      <w:u w:val="single"/>
                    </w:rPr>
                    <w:t>(ES) Nr. 1408/2013</w:t>
                  </w:r>
                </w:fldSimple>
                <w:r>
                  <w:rPr>
                    <w:color w:val="000000"/>
                    <w:kern w:val="2"/>
                    <w:sz w:val="22"/>
                    <w:szCs w:val="22"/>
                  </w:rPr>
                  <w:t>, šis reglamentas taikomas pagalbai pirmajam sektoriui, su sąlyga, kad atitinkama valstybė narė tinkamomis priemonėmis, pavyzdžiui, atskirdama veiklos sritis ar sąnaudas, užtikrina, kad pirminės žemės ūkio produktų gamybos veiklai vykdyti nebūtų skiriama </w:t>
                </w:r>
                <w:r>
                  <w:rPr>
                    <w:i/>
                    <w:iCs/>
                    <w:color w:val="000000"/>
                    <w:kern w:val="2"/>
                    <w:sz w:val="22"/>
                    <w:szCs w:val="22"/>
                  </w:rPr>
                  <w:t>de minimis</w:t>
                </w:r>
                <w:r>
                  <w:rPr>
                    <w:color w:val="000000"/>
                    <w:kern w:val="2"/>
                    <w:sz w:val="22"/>
                    <w:szCs w:val="22"/>
                  </w:rPr>
                  <w:t> pagalba, teikiama pagal šį reglamentą.“</w:t>
                </w:r>
              </w:p>
            </w:tc>
            <w:tc>
              <w:tcPr>
                <w:tcW w:w="5103" w:type="dxa"/>
                <w:tcMar>
                  <w:top w:w="0" w:type="dxa"/>
                  <w:left w:w="108" w:type="dxa"/>
                  <w:bottom w:w="0" w:type="dxa"/>
                  <w:right w:w="108" w:type="dxa"/>
                </w:tcMar>
              </w:tcPr>
              <w:p>
                <w:pPr>
                  <w:jc w:val="both"/>
                  <w:rPr>
                    <w:sz w:val="22"/>
                    <w:szCs w:val="22"/>
                  </w:rPr>
                </w:pPr>
                <w:r>
                  <w:rPr>
                    <w:kern w:val="2"/>
                    <w:sz w:val="22"/>
                    <w:szCs w:val="22"/>
                    <w:lang w:eastAsia="lt-LT"/>
                  </w:rPr>
                  <w:t>23 priedo 4 priedo 9 klausimas.</w:t>
                </w:r>
              </w:p>
            </w:tc>
          </w:tr>
          <w:tr>
            <w:tc>
              <w:tcPr>
                <w:tcW w:w="8500" w:type="dxa"/>
                <w:tcMar>
                  <w:top w:w="0" w:type="dxa"/>
                  <w:left w:w="108" w:type="dxa"/>
                  <w:bottom w:w="0" w:type="dxa"/>
                  <w:right w:w="108" w:type="dxa"/>
                </w:tcMar>
              </w:tcPr>
              <w:p>
                <w:pPr>
                  <w:jc w:val="both"/>
                  <w:rPr>
                    <w:sz w:val="22"/>
                    <w:szCs w:val="22"/>
                  </w:rPr>
                </w:pPr>
                <w:r>
                  <w:rPr>
                    <w:b/>
                    <w:color w:val="000000"/>
                    <w:kern w:val="2"/>
                    <w:sz w:val="22"/>
                    <w:szCs w:val="22"/>
                    <w:shd w:val="clear" w:color="auto" w:fill="FFFFFF"/>
                  </w:rPr>
                  <w:t>3 straipsnio 3 dalis</w:t>
                </w:r>
                <w:r>
                  <w:rPr>
                    <w:color w:val="000000"/>
                    <w:kern w:val="2"/>
                    <w:sz w:val="22"/>
                    <w:szCs w:val="22"/>
                    <w:shd w:val="clear" w:color="auto" w:fill="FFFFFF"/>
                  </w:rPr>
                  <w:t xml:space="preserve"> „Bendra pirminės žvejybos ir akvakultūros produktų gamybos veiklą vykdančioms įmonėms suteiktos </w:t>
                </w:r>
                <w:r>
                  <w:rPr>
                    <w:i/>
                    <w:iCs/>
                    <w:color w:val="000000"/>
                    <w:kern w:val="2"/>
                    <w:sz w:val="22"/>
                    <w:szCs w:val="22"/>
                    <w:shd w:val="clear" w:color="auto" w:fill="FFFFFF"/>
                  </w:rPr>
                  <w:t>de minimis</w:t>
                </w:r>
                <w:r>
                  <w:rPr>
                    <w:color w:val="000000"/>
                    <w:kern w:val="2"/>
                    <w:sz w:val="22"/>
                    <w:szCs w:val="22"/>
                    <w:shd w:val="clear" w:color="auto" w:fill="FFFFFF"/>
                  </w:rPr>
                  <w:t> pagalbos suma kiekvienoje valstybėje narėje per bet kurį trejų finansinių metų laikotarpį neviršija priede nurodytos nacionalinės ribos.“</w:t>
                </w:r>
              </w:p>
            </w:tc>
            <w:tc>
              <w:tcPr>
                <w:tcW w:w="5103" w:type="dxa"/>
                <w:tcMar>
                  <w:top w:w="0" w:type="dxa"/>
                  <w:left w:w="108" w:type="dxa"/>
                  <w:bottom w:w="0" w:type="dxa"/>
                  <w:right w:w="108" w:type="dxa"/>
                </w:tcMar>
              </w:tcPr>
              <w:p>
                <w:pPr>
                  <w:jc w:val="both"/>
                  <w:rPr>
                    <w:sz w:val="22"/>
                    <w:szCs w:val="22"/>
                  </w:rPr>
                </w:pPr>
                <w:r>
                  <w:rPr>
                    <w:kern w:val="2"/>
                    <w:sz w:val="22"/>
                    <w:szCs w:val="22"/>
                    <w:lang w:eastAsia="lt-LT"/>
                  </w:rPr>
                  <w:t>23 priedo 4 priedo 10 klausimas.</w:t>
                </w:r>
                <w:r>
                  <w:rPr>
                    <w:bCs/>
                    <w:kern w:val="2"/>
                    <w:sz w:val="22"/>
                    <w:szCs w:val="22"/>
                    <w:lang w:eastAsia="lt-LT"/>
                  </w:rPr>
                  <w:t xml:space="preserve"> </w:t>
                </w:r>
              </w:p>
            </w:tc>
          </w:tr>
          <w:tr>
            <w:tc>
              <w:tcPr>
                <w:tcW w:w="8500" w:type="dxa"/>
                <w:tcMar>
                  <w:top w:w="0" w:type="dxa"/>
                  <w:left w:w="108" w:type="dxa"/>
                  <w:bottom w:w="0" w:type="dxa"/>
                  <w:right w:w="108" w:type="dxa"/>
                </w:tcMar>
              </w:tcPr>
              <w:p>
                <w:pPr>
                  <w:jc w:val="both"/>
                  <w:rPr>
                    <w:sz w:val="22"/>
                    <w:szCs w:val="22"/>
                  </w:rPr>
                </w:pPr>
                <w:r>
                  <w:rPr>
                    <w:sz w:val="22"/>
                    <w:szCs w:val="22"/>
                  </w:rPr>
                  <w:t>3 straipsnio 2a dalis „</w:t>
                </w:r>
                <w:r>
                  <w:rPr>
                    <w:color w:val="000000"/>
                    <w:kern w:val="2"/>
                    <w:sz w:val="22"/>
                    <w:szCs w:val="22"/>
                    <w:shd w:val="clear" w:color="auto" w:fill="FFFFFF"/>
                  </w:rPr>
                  <w:t>Nukrypdama nuo 2 dalies, valstybė narė gali nuspręsti, kad bendra vienai įmonei teikiamos </w:t>
                </w:r>
                <w:r>
                  <w:rPr>
                    <w:i/>
                    <w:iCs/>
                    <w:color w:val="000000"/>
                    <w:kern w:val="2"/>
                    <w:sz w:val="22"/>
                    <w:szCs w:val="22"/>
                    <w:shd w:val="clear" w:color="auto" w:fill="FFFFFF"/>
                  </w:rPr>
                  <w:t>de minimis</w:t>
                </w:r>
                <w:r>
                  <w:rPr>
                    <w:color w:val="000000"/>
                    <w:kern w:val="2"/>
                    <w:sz w:val="22"/>
                    <w:szCs w:val="22"/>
                    <w:shd w:val="clear" w:color="auto" w:fill="FFFFFF"/>
                  </w:rPr>
                  <w:t> pagalbos suma neturi viršyti 40 000  EUR per bet kurį trejų finansinių metų laikotarpį, jeigu ta valstybė narė yra sukūrusi nacionalinį centrinį registrą pagal 6 straipsnio 2 dalį.“</w:t>
                </w:r>
              </w:p>
            </w:tc>
            <w:tc>
              <w:tcPr>
                <w:tcW w:w="5103" w:type="dxa"/>
                <w:tcMar>
                  <w:top w:w="0" w:type="dxa"/>
                  <w:left w:w="108" w:type="dxa"/>
                  <w:bottom w:w="0" w:type="dxa"/>
                  <w:right w:w="108" w:type="dxa"/>
                </w:tcMar>
              </w:tcPr>
              <w:p>
                <w:pPr>
                  <w:spacing w:line="259" w:lineRule="auto"/>
                  <w:jc w:val="both"/>
                  <w:rPr>
                    <w:sz w:val="22"/>
                    <w:szCs w:val="22"/>
                  </w:rPr>
                </w:pPr>
                <w:r>
                  <w:rPr>
                    <w:rFonts w:eastAsia="Calibri"/>
                    <w:kern w:val="2"/>
                    <w:sz w:val="22"/>
                    <w:szCs w:val="22"/>
                  </w:rPr>
                  <w:t>23 priedo 11.4, 11.5 papunkčiai, 23 priedo 4</w:t>
                </w:r>
                <w:r>
                  <w:rPr>
                    <w:kern w:val="2"/>
                    <w:sz w:val="22"/>
                    <w:szCs w:val="22"/>
                    <w:lang w:eastAsia="lt-LT"/>
                  </w:rPr>
                  <w:t xml:space="preserve"> priedo 11 klausimas.</w:t>
                </w:r>
              </w:p>
            </w:tc>
          </w:tr>
          <w:tr>
            <w:tc>
              <w:tcPr>
                <w:tcW w:w="8500" w:type="dxa"/>
                <w:tcMar>
                  <w:top w:w="0" w:type="dxa"/>
                  <w:left w:w="108" w:type="dxa"/>
                  <w:bottom w:w="0" w:type="dxa"/>
                  <w:right w:w="108" w:type="dxa"/>
                </w:tcMar>
              </w:tcPr>
              <w:p>
                <w:pPr>
                  <w:jc w:val="both"/>
                  <w:rPr>
                    <w:sz w:val="22"/>
                    <w:szCs w:val="22"/>
                  </w:rPr>
                </w:pPr>
                <w:r>
                  <w:rPr>
                    <w:b/>
                    <w:sz w:val="22"/>
                    <w:szCs w:val="22"/>
                  </w:rPr>
                  <w:t>3 straipsnio 4 dalis</w:t>
                </w:r>
                <w:r>
                  <w:rPr>
                    <w:sz w:val="22"/>
                    <w:szCs w:val="22"/>
                  </w:rPr>
                  <w:t xml:space="preserve"> „</w:t>
                </w:r>
                <w:r>
                  <w:rPr>
                    <w:i/>
                    <w:iCs/>
                    <w:color w:val="000000"/>
                    <w:kern w:val="2"/>
                    <w:sz w:val="22"/>
                    <w:szCs w:val="22"/>
                    <w:shd w:val="clear" w:color="auto" w:fill="FFFFFF"/>
                  </w:rPr>
                  <w:t>De minimis</w:t>
                </w:r>
                <w:r>
                  <w:rPr>
                    <w:color w:val="000000"/>
                    <w:kern w:val="2"/>
                    <w:sz w:val="22"/>
                    <w:szCs w:val="22"/>
                    <w:shd w:val="clear" w:color="auto" w:fill="FFFFFF"/>
                  </w:rPr>
                  <w:t> pagalba laikoma suteikta tuo momentu, kai įmonė pagal taikomą nacionalinį teisinį režimą įgyja juridinę teisę tokią pagalbą gauti, nepriklausomai nuo </w:t>
                </w:r>
                <w:r>
                  <w:rPr>
                    <w:i/>
                    <w:iCs/>
                    <w:color w:val="000000"/>
                    <w:kern w:val="2"/>
                    <w:sz w:val="22"/>
                    <w:szCs w:val="22"/>
                    <w:shd w:val="clear" w:color="auto" w:fill="FFFFFF"/>
                  </w:rPr>
                  <w:t>de minimis</w:t>
                </w:r>
                <w:r>
                  <w:rPr>
                    <w:color w:val="000000"/>
                    <w:kern w:val="2"/>
                    <w:sz w:val="22"/>
                    <w:szCs w:val="22"/>
                    <w:shd w:val="clear" w:color="auto" w:fill="FFFFFF"/>
                  </w:rPr>
                  <w:t> pagalbos išmokėjimo įmonei datos.“</w:t>
                </w:r>
              </w:p>
            </w:tc>
            <w:tc>
              <w:tcPr>
                <w:tcW w:w="5103" w:type="dxa"/>
                <w:tcMar>
                  <w:top w:w="0" w:type="dxa"/>
                  <w:left w:w="108" w:type="dxa"/>
                  <w:bottom w:w="0" w:type="dxa"/>
                  <w:right w:w="108" w:type="dxa"/>
                </w:tcMar>
              </w:tcPr>
              <w:p>
                <w:pPr>
                  <w:jc w:val="both"/>
                  <w:rPr>
                    <w:sz w:val="22"/>
                    <w:szCs w:val="22"/>
                  </w:rPr>
                </w:pPr>
                <w:r>
                  <w:rPr>
                    <w:kern w:val="2"/>
                    <w:sz w:val="22"/>
                    <w:szCs w:val="22"/>
                    <w:lang w:eastAsia="lt-LT"/>
                  </w:rPr>
                  <w:t>23 priedo 4 priedo 12 klausimas.</w:t>
                </w:r>
              </w:p>
            </w:tc>
          </w:tr>
          <w:tr>
            <w:tc>
              <w:tcPr>
                <w:tcW w:w="8500" w:type="dxa"/>
                <w:tcMar>
                  <w:top w:w="0" w:type="dxa"/>
                  <w:left w:w="108" w:type="dxa"/>
                  <w:bottom w:w="0" w:type="dxa"/>
                  <w:right w:w="108" w:type="dxa"/>
                </w:tcMar>
              </w:tcPr>
              <w:p>
                <w:pPr>
                  <w:jc w:val="both"/>
                  <w:rPr>
                    <w:sz w:val="22"/>
                    <w:szCs w:val="22"/>
                  </w:rPr>
                </w:pPr>
                <w:r>
                  <w:rPr>
                    <w:b/>
                    <w:sz w:val="22"/>
                    <w:szCs w:val="22"/>
                  </w:rPr>
                  <w:t>3 straipsnio 5 dalis</w:t>
                </w:r>
                <w:r>
                  <w:rPr>
                    <w:sz w:val="22"/>
                    <w:szCs w:val="22"/>
                  </w:rPr>
                  <w:t xml:space="preserve"> „</w:t>
                </w:r>
                <w:r>
                  <w:rPr>
                    <w:color w:val="000000"/>
                    <w:kern w:val="2"/>
                    <w:sz w:val="22"/>
                    <w:szCs w:val="22"/>
                    <w:shd w:val="clear" w:color="auto" w:fill="FFFFFF"/>
                  </w:rPr>
                  <w:t>2 ir 2a dalyse nustatytos </w:t>
                </w:r>
                <w:r>
                  <w:rPr>
                    <w:i/>
                    <w:iCs/>
                    <w:color w:val="000000"/>
                    <w:kern w:val="2"/>
                    <w:sz w:val="22"/>
                    <w:szCs w:val="22"/>
                    <w:shd w:val="clear" w:color="auto" w:fill="FFFFFF"/>
                  </w:rPr>
                  <w:t>de minimis</w:t>
                </w:r>
                <w:r>
                  <w:rPr>
                    <w:color w:val="000000"/>
                    <w:kern w:val="2"/>
                    <w:sz w:val="22"/>
                    <w:szCs w:val="22"/>
                    <w:shd w:val="clear" w:color="auto" w:fill="FFFFFF"/>
                  </w:rPr>
                  <w:t> viršutinės ribos ir priede nustatyta nacionalinė riba taikomos nepriklausomai nuo </w:t>
                </w:r>
                <w:r>
                  <w:rPr>
                    <w:i/>
                    <w:iCs/>
                    <w:color w:val="000000"/>
                    <w:kern w:val="2"/>
                    <w:sz w:val="22"/>
                    <w:szCs w:val="22"/>
                    <w:shd w:val="clear" w:color="auto" w:fill="FFFFFF"/>
                  </w:rPr>
                  <w:t>de minimis</w:t>
                </w:r>
                <w:r>
                  <w:rPr>
                    <w:color w:val="000000"/>
                    <w:kern w:val="2"/>
                    <w:sz w:val="22"/>
                    <w:szCs w:val="22"/>
                    <w:shd w:val="clear" w:color="auto" w:fill="FFFFFF"/>
                  </w:rPr>
                  <w:t> pagalbos formos ar ja siekiamo tikslo ir nuo to, ar valstybės narės suteikta pagalba visa arba iš dalies finansuojama Sąjungos kilmės ištekliais. Trejų finansinių metų laikotarpis nustatomas vertinant tuos finansinius metus, kuriuos vertina atitinkamos valstybės narės įmonė.“</w:t>
                </w:r>
              </w:p>
            </w:tc>
            <w:tc>
              <w:tcPr>
                <w:tcW w:w="5103" w:type="dxa"/>
                <w:tcMar>
                  <w:top w:w="0" w:type="dxa"/>
                  <w:left w:w="108" w:type="dxa"/>
                  <w:bottom w:w="0" w:type="dxa"/>
                  <w:right w:w="108" w:type="dxa"/>
                </w:tcMar>
              </w:tcPr>
              <w:p>
                <w:pPr>
                  <w:jc w:val="both"/>
                  <w:rPr>
                    <w:sz w:val="22"/>
                    <w:szCs w:val="22"/>
                  </w:rPr>
                </w:pPr>
                <w:r>
                  <w:rPr>
                    <w:kern w:val="2"/>
                    <w:sz w:val="22"/>
                    <w:szCs w:val="22"/>
                    <w:lang w:eastAsia="lt-LT"/>
                  </w:rPr>
                  <w:t>23 priedo 4 priedo 13 klausimas.</w:t>
                </w:r>
              </w:p>
            </w:tc>
          </w:tr>
          <w:tr>
            <w:tc>
              <w:tcPr>
                <w:tcW w:w="8500" w:type="dxa"/>
                <w:tcMar>
                  <w:top w:w="0" w:type="dxa"/>
                  <w:left w:w="108" w:type="dxa"/>
                  <w:bottom w:w="0" w:type="dxa"/>
                  <w:right w:w="108" w:type="dxa"/>
                </w:tcMar>
              </w:tcPr>
              <w:p>
                <w:pPr>
                  <w:jc w:val="both"/>
                  <w:rPr>
                    <w:sz w:val="22"/>
                    <w:szCs w:val="22"/>
                  </w:rPr>
                </w:pPr>
                <w:r>
                  <w:rPr>
                    <w:b/>
                    <w:sz w:val="22"/>
                    <w:szCs w:val="22"/>
                  </w:rPr>
                  <w:t>3 straipsnio 6 dalis</w:t>
                </w:r>
                <w:r>
                  <w:rPr>
                    <w:sz w:val="22"/>
                    <w:szCs w:val="22"/>
                  </w:rPr>
                  <w:t xml:space="preserve"> „</w:t>
                </w:r>
                <w:r>
                  <w:rPr>
                    <w:color w:val="000000"/>
                    <w:kern w:val="2"/>
                    <w:sz w:val="22"/>
                    <w:szCs w:val="22"/>
                    <w:shd w:val="clear" w:color="auto" w:fill="FFFFFF"/>
                  </w:rPr>
                  <w:t>Laikantis 2 ir 2a dalyse nustatytų </w:t>
                </w:r>
                <w:r>
                  <w:rPr>
                    <w:i/>
                    <w:iCs/>
                    <w:color w:val="000000"/>
                    <w:kern w:val="2"/>
                    <w:sz w:val="22"/>
                    <w:szCs w:val="22"/>
                    <w:shd w:val="clear" w:color="auto" w:fill="FFFFFF"/>
                  </w:rPr>
                  <w:t>de minimis</w:t>
                </w:r>
                <w:r>
                  <w:rPr>
                    <w:color w:val="000000"/>
                    <w:kern w:val="2"/>
                    <w:sz w:val="22"/>
                    <w:szCs w:val="22"/>
                    <w:shd w:val="clear" w:color="auto" w:fill="FFFFFF"/>
                  </w:rPr>
                  <w:t> viršutinių ribų ir priede nustatytos nacionalinės ribos, pagalba išreiškiama kaip piniginė dotacija. Visi naudojami skaičiai yra bruto, t. y. prieš mokesčių ar kitokios rinkliavos atskaitymą. Jeigu pagalba teikiama ne dotacijų forma, pagalbos suma atitinka pagalbos bendrąjį subsidijos ekvivalentą.“</w:t>
                </w:r>
              </w:p>
            </w:tc>
            <w:tc>
              <w:tcPr>
                <w:tcW w:w="5103" w:type="dxa"/>
                <w:tcMar>
                  <w:top w:w="0" w:type="dxa"/>
                  <w:left w:w="108" w:type="dxa"/>
                  <w:bottom w:w="0" w:type="dxa"/>
                  <w:right w:w="108" w:type="dxa"/>
                </w:tcMar>
              </w:tcPr>
              <w:p>
                <w:pPr>
                  <w:jc w:val="both"/>
                  <w:rPr>
                    <w:sz w:val="22"/>
                    <w:szCs w:val="22"/>
                  </w:rPr>
                </w:pPr>
                <w:r>
                  <w:rPr>
                    <w:kern w:val="2"/>
                    <w:sz w:val="22"/>
                    <w:szCs w:val="22"/>
                    <w:lang w:eastAsia="lt-LT"/>
                  </w:rPr>
                  <w:t>23 priedo 4 priedo 14 klausimas.</w:t>
                </w:r>
              </w:p>
            </w:tc>
          </w:tr>
          <w:tr>
            <w:tc>
              <w:tcPr>
                <w:tcW w:w="8500" w:type="dxa"/>
                <w:tcMar>
                  <w:top w:w="0" w:type="dxa"/>
                  <w:left w:w="108" w:type="dxa"/>
                  <w:bottom w:w="0" w:type="dxa"/>
                  <w:right w:w="108" w:type="dxa"/>
                </w:tcMar>
              </w:tcPr>
              <w:p>
                <w:pPr>
                  <w:spacing w:line="259" w:lineRule="auto"/>
                  <w:jc w:val="both"/>
                  <w:rPr>
                    <w:color w:val="000000"/>
                    <w:sz w:val="22"/>
                    <w:szCs w:val="22"/>
                  </w:rPr>
                </w:pPr>
                <w:r>
                  <w:rPr>
                    <w:b/>
                    <w:sz w:val="22"/>
                    <w:szCs w:val="22"/>
                  </w:rPr>
                  <w:t>3 straipsnio 8 dalis</w:t>
                </w:r>
                <w:r>
                  <w:rPr>
                    <w:sz w:val="22"/>
                    <w:szCs w:val="22"/>
                  </w:rPr>
                  <w:t xml:space="preserve"> „</w:t>
                </w:r>
                <w:r>
                  <w:rPr>
                    <w:color w:val="000000"/>
                    <w:sz w:val="22"/>
                    <w:szCs w:val="22"/>
                  </w:rPr>
                  <w:t>Jei dvi įmonės susijungia arba viena įsigyja kitą, apskaičiuojant, ar nauja </w:t>
                </w:r>
                <w:r>
                  <w:rPr>
                    <w:i/>
                    <w:iCs/>
                    <w:color w:val="000000"/>
                    <w:sz w:val="22"/>
                    <w:szCs w:val="22"/>
                  </w:rPr>
                  <w:t>de minimis</w:t>
                </w:r>
                <w:r>
                  <w:rPr>
                    <w:color w:val="000000"/>
                    <w:sz w:val="22"/>
                    <w:szCs w:val="22"/>
                  </w:rPr>
                  <w:t> pagalba naujajai arba įsigyjančiajai įmonei viršija atitinkamą </w:t>
                </w:r>
                <w:r>
                  <w:rPr>
                    <w:i/>
                    <w:iCs/>
                    <w:color w:val="000000"/>
                    <w:sz w:val="22"/>
                    <w:szCs w:val="22"/>
                  </w:rPr>
                  <w:t>de minimis</w:t>
                </w:r>
                <w:r>
                  <w:rPr>
                    <w:color w:val="000000"/>
                    <w:sz w:val="22"/>
                    <w:szCs w:val="22"/>
                  </w:rPr>
                  <w:t> viršutinę ribą arba atitinkamą nacionalinę ribą, atsižvelgiama į visą ankstesnę </w:t>
                </w:r>
                <w:r>
                  <w:rPr>
                    <w:i/>
                    <w:iCs/>
                    <w:color w:val="000000"/>
                    <w:sz w:val="22"/>
                    <w:szCs w:val="22"/>
                  </w:rPr>
                  <w:t>de minimis</w:t>
                </w:r>
                <w:r>
                  <w:rPr>
                    <w:color w:val="000000"/>
                    <w:sz w:val="22"/>
                    <w:szCs w:val="22"/>
                  </w:rPr>
                  <w:t> pagalbą, suteiktą bet kuriai iš susijungiančių įmonių. </w:t>
                </w:r>
                <w:r>
                  <w:rPr>
                    <w:i/>
                    <w:iCs/>
                    <w:color w:val="000000"/>
                    <w:sz w:val="22"/>
                    <w:szCs w:val="22"/>
                  </w:rPr>
                  <w:t>De minimis</w:t>
                </w:r>
                <w:r>
                  <w:rPr>
                    <w:color w:val="000000"/>
                    <w:sz w:val="22"/>
                    <w:szCs w:val="22"/>
                  </w:rPr>
                  <w:t> pagalba, kuri teisėtai suteikta prieš susijungimą arba įsigijimą, tebėra teisėta.“</w:t>
                </w:r>
              </w:p>
              <w:p>
                <w:pPr>
                  <w:rPr>
                    <w:sz w:val="14"/>
                    <w:szCs w:val="14"/>
                  </w:rPr>
                </w:pPr>
              </w:p>
              <w:p>
                <w:pPr>
                  <w:jc w:val="both"/>
                  <w:rPr>
                    <w:sz w:val="22"/>
                    <w:szCs w:val="22"/>
                  </w:rPr>
                </w:pPr>
              </w:p>
            </w:tc>
            <w:tc>
              <w:tcPr>
                <w:tcW w:w="5103" w:type="dxa"/>
                <w:tcMar>
                  <w:top w:w="0" w:type="dxa"/>
                  <w:left w:w="108" w:type="dxa"/>
                  <w:bottom w:w="0" w:type="dxa"/>
                  <w:right w:w="108" w:type="dxa"/>
                </w:tcMar>
              </w:tcPr>
              <w:p>
                <w:pPr>
                  <w:jc w:val="both"/>
                  <w:rPr>
                    <w:sz w:val="22"/>
                    <w:szCs w:val="22"/>
                  </w:rPr>
                </w:pPr>
                <w:r>
                  <w:rPr>
                    <w:kern w:val="2"/>
                    <w:sz w:val="22"/>
                    <w:szCs w:val="22"/>
                    <w:lang w:eastAsia="lt-LT"/>
                  </w:rPr>
                  <w:t>23 priedo 4 priedo 15 klausimas.</w:t>
                </w:r>
                <w:r>
                  <w:rPr>
                    <w:bCs/>
                    <w:kern w:val="2"/>
                    <w:sz w:val="22"/>
                    <w:szCs w:val="22"/>
                    <w:lang w:eastAsia="lt-LT"/>
                  </w:rPr>
                  <w:t xml:space="preserve"> </w:t>
                </w:r>
              </w:p>
            </w:tc>
          </w:tr>
          <w:tr>
            <w:tc>
              <w:tcPr>
                <w:tcW w:w="8500" w:type="dxa"/>
                <w:tcMar>
                  <w:top w:w="0" w:type="dxa"/>
                  <w:left w:w="108" w:type="dxa"/>
                  <w:bottom w:w="0" w:type="dxa"/>
                  <w:right w:w="108" w:type="dxa"/>
                </w:tcMar>
              </w:tcPr>
              <w:p>
                <w:pPr>
                  <w:jc w:val="both"/>
                  <w:rPr>
                    <w:sz w:val="22"/>
                    <w:szCs w:val="22"/>
                  </w:rPr>
                </w:pPr>
                <w:r>
                  <w:rPr>
                    <w:sz w:val="22"/>
                    <w:szCs w:val="22"/>
                  </w:rPr>
                  <w:t>3 straipsnio 9 dalis „</w:t>
                </w:r>
                <w:r>
                  <w:rPr>
                    <w:color w:val="000000"/>
                    <w:kern w:val="2"/>
                    <w:sz w:val="22"/>
                    <w:szCs w:val="22"/>
                    <w:shd w:val="clear" w:color="auto" w:fill="FFFFFF"/>
                  </w:rPr>
                  <w:t>Jei viena įmonė suskaidoma į dvi ar daugiau atskirų įmonių, iki suskaidymo suteikta </w:t>
                </w:r>
                <w:r>
                  <w:rPr>
                    <w:i/>
                    <w:iCs/>
                    <w:color w:val="000000"/>
                    <w:kern w:val="2"/>
                    <w:sz w:val="22"/>
                    <w:szCs w:val="22"/>
                    <w:shd w:val="clear" w:color="auto" w:fill="FFFFFF"/>
                  </w:rPr>
                  <w:t>de minimis</w:t>
                </w:r>
                <w:r>
                  <w:rPr>
                    <w:color w:val="000000"/>
                    <w:kern w:val="2"/>
                    <w:sz w:val="22"/>
                    <w:szCs w:val="22"/>
                    <w:shd w:val="clear" w:color="auto" w:fill="FFFFFF"/>
                  </w:rPr>
                  <w:t> pagalba priskiriama įmonei, kuri ja pasinaudojo, o tai iš principo yra įmonė, perimanti veiklą, kuriai vykdyti </w:t>
                </w:r>
                <w:r>
                  <w:rPr>
                    <w:i/>
                    <w:iCs/>
                    <w:color w:val="000000"/>
                    <w:kern w:val="2"/>
                    <w:sz w:val="22"/>
                    <w:szCs w:val="22"/>
                    <w:shd w:val="clear" w:color="auto" w:fill="FFFFFF"/>
                  </w:rPr>
                  <w:t>de minimis</w:t>
                </w:r>
                <w:r>
                  <w:rPr>
                    <w:color w:val="000000"/>
                    <w:kern w:val="2"/>
                    <w:sz w:val="22"/>
                    <w:szCs w:val="22"/>
                    <w:shd w:val="clear" w:color="auto" w:fill="FFFFFF"/>
                  </w:rPr>
                  <w:t> pagalba panaudota. Jei toks priskyrimas neįmanomas, </w:t>
                </w:r>
                <w:r>
                  <w:rPr>
                    <w:i/>
                    <w:iCs/>
                    <w:color w:val="000000"/>
                    <w:kern w:val="2"/>
                    <w:sz w:val="22"/>
                    <w:szCs w:val="22"/>
                    <w:shd w:val="clear" w:color="auto" w:fill="FFFFFF"/>
                  </w:rPr>
                  <w:t>de minimis</w:t>
                </w:r>
                <w:r>
                  <w:rPr>
                    <w:color w:val="000000"/>
                    <w:kern w:val="2"/>
                    <w:sz w:val="22"/>
                    <w:szCs w:val="22"/>
                    <w:shd w:val="clear" w:color="auto" w:fill="FFFFFF"/>
                  </w:rPr>
                  <w:t> pagalba proporcingai paskirstoma remiantis naujųjų įmonių nuosavo kapitalo balansine verte suskaidymo įsigaliojimo dieną.“</w:t>
                </w:r>
              </w:p>
            </w:tc>
            <w:tc>
              <w:tcPr>
                <w:tcW w:w="5103" w:type="dxa"/>
                <w:tcMar>
                  <w:top w:w="0" w:type="dxa"/>
                  <w:left w:w="108" w:type="dxa"/>
                  <w:bottom w:w="0" w:type="dxa"/>
                  <w:right w:w="108" w:type="dxa"/>
                </w:tcMar>
              </w:tcPr>
              <w:p>
                <w:pPr>
                  <w:jc w:val="both"/>
                  <w:rPr>
                    <w:sz w:val="22"/>
                    <w:szCs w:val="22"/>
                  </w:rPr>
                </w:pPr>
                <w:r>
                  <w:rPr>
                    <w:kern w:val="2"/>
                    <w:sz w:val="22"/>
                    <w:szCs w:val="22"/>
                    <w:lang w:eastAsia="lt-LT"/>
                  </w:rPr>
                  <w:t>23 priedo 4 priedo 16 klausimas.</w:t>
                </w:r>
              </w:p>
            </w:tc>
          </w:tr>
          <w:tr>
            <w:tc>
              <w:tcPr>
                <w:tcW w:w="8500" w:type="dxa"/>
                <w:tcMar>
                  <w:top w:w="0" w:type="dxa"/>
                  <w:left w:w="108" w:type="dxa"/>
                  <w:bottom w:w="0" w:type="dxa"/>
                  <w:right w:w="108" w:type="dxa"/>
                </w:tcMar>
              </w:tcPr>
              <w:p>
                <w:pPr>
                  <w:shd w:val="clear" w:color="auto" w:fill="FFFFFF"/>
                  <w:spacing w:line="259" w:lineRule="auto"/>
                  <w:jc w:val="both"/>
                  <w:rPr>
                    <w:b/>
                    <w:sz w:val="22"/>
                    <w:szCs w:val="22"/>
                  </w:rPr>
                </w:pPr>
                <w:r>
                  <w:rPr>
                    <w:b/>
                    <w:sz w:val="22"/>
                    <w:szCs w:val="22"/>
                  </w:rPr>
                  <w:t>5 straipsnis. Pagalbos sumavimas.</w:t>
                </w:r>
              </w:p>
              <w:p>
                <w:pPr>
                  <w:rPr>
                    <w:sz w:val="14"/>
                    <w:szCs w:val="14"/>
                  </w:rPr>
                </w:pPr>
              </w:p>
              <w:p>
                <w:pPr>
                  <w:shd w:val="clear" w:color="auto" w:fill="FFFFFF"/>
                  <w:spacing w:line="259" w:lineRule="auto"/>
                  <w:ind w:firstLine="57"/>
                  <w:jc w:val="both"/>
                  <w:rPr>
                    <w:b/>
                    <w:sz w:val="22"/>
                    <w:szCs w:val="22"/>
                  </w:rPr>
                </w:pPr>
                <w:r>
                  <w:rPr>
                    <w:sz w:val="22"/>
                    <w:szCs w:val="22"/>
                  </w:rPr>
                  <w:t>„</w:t>
                </w:r>
                <w:r>
                  <w:rPr>
                    <w:color w:val="000000"/>
                    <w:kern w:val="2"/>
                    <w:sz w:val="22"/>
                    <w:szCs w:val="22"/>
                  </w:rPr>
                  <w:t xml:space="preserve">1. Jeigu įmonė vykdo pirminės žvejybos ir akvakultūros produktų gamybos veiklą ir taip pat vykdo veiklą viename ar keliuose sektoriuose arba kitose veiklos srityse, kuriems taikomas Reglamentas </w:t>
                </w:r>
                <w:fldSimple w:instr="HYPERLINK http://eur-lex.europa.eu/legal-content/LIT/TXT/?uri=CELEX:32013R1407&amp;locale=lt \t _blank">
                  <w:r>
                    <w:rPr>
                      <w:color w:val="0000FF" w:themeColor="hyperlink"/>
                      <w:kern w:val="2"/>
                      <w:sz w:val="22"/>
                      <w:szCs w:val="22"/>
                      <w:u w:val="single"/>
                    </w:rPr>
                    <w:t>(ES) Nr. 1407/2013</w:t>
                  </w:r>
                </w:fldSimple>
                <w:r>
                  <w:rPr>
                    <w:color w:val="000000"/>
                    <w:kern w:val="2"/>
                    <w:sz w:val="22"/>
                    <w:szCs w:val="22"/>
                  </w:rPr>
                  <w:t>, galima sumuoti pagal šį reglamentą teikiamą </w:t>
                </w:r>
                <w:r>
                  <w:rPr>
                    <w:i/>
                    <w:iCs/>
                    <w:color w:val="000000"/>
                    <w:kern w:val="2"/>
                    <w:sz w:val="22"/>
                    <w:szCs w:val="22"/>
                  </w:rPr>
                  <w:t>de minimis</w:t>
                </w:r>
                <w:r>
                  <w:rPr>
                    <w:color w:val="000000"/>
                    <w:kern w:val="2"/>
                    <w:sz w:val="22"/>
                    <w:szCs w:val="22"/>
                  </w:rPr>
                  <w:t> pagalbą veiklai pirminės žvejybos ir akvakultūros produktų gamybos sektoriuje vykdyti ir </w:t>
                </w:r>
                <w:r>
                  <w:rPr>
                    <w:i/>
                    <w:iCs/>
                    <w:color w:val="000000"/>
                    <w:kern w:val="2"/>
                    <w:sz w:val="22"/>
                    <w:szCs w:val="22"/>
                  </w:rPr>
                  <w:t>de minimis</w:t>
                </w:r>
                <w:r>
                  <w:rPr>
                    <w:color w:val="000000"/>
                    <w:kern w:val="2"/>
                    <w:sz w:val="22"/>
                    <w:szCs w:val="22"/>
                  </w:rPr>
                  <w:t xml:space="preserve"> pagalbą veiklai pastarajame sektoriuje ar sektoriuose arba veiklos srityse vykdyti, neviršijant Reglamento </w:t>
                </w:r>
                <w:fldSimple w:instr="HYPERLINK http://eur-lex.europa.eu/legal-content/LIT/TXT/?uri=CELEX:32013R1407&amp;locale=lt \t _blank">
                  <w:r>
                    <w:rPr>
                      <w:color w:val="0000FF" w:themeColor="hyperlink"/>
                      <w:kern w:val="2"/>
                      <w:sz w:val="22"/>
                      <w:szCs w:val="22"/>
                      <w:u w:val="single"/>
                    </w:rPr>
                    <w:t>(ES) Nr. 1407/2013</w:t>
                  </w:r>
                </w:fldSimple>
                <w:r>
                  <w:rPr>
                    <w:color w:val="000000"/>
                    <w:kern w:val="2"/>
                    <w:sz w:val="22"/>
                    <w:szCs w:val="22"/>
                  </w:rPr>
                  <w:t> 3 straipsnio 2 dalyje nustatytos viršutinės ribos, jeigu atitinkama valstybė narė tinkamomis priemonėmis, pavyzdžiui, atskirdamos veiklos sritis ar sąnaudas, užtikrina, kad pirminės žvejybos ir akvakultūros produktų gamybos veiklai vykdyti nebūtų skiriama </w:t>
                </w:r>
                <w:r>
                  <w:rPr>
                    <w:i/>
                    <w:iCs/>
                    <w:color w:val="000000"/>
                    <w:kern w:val="2"/>
                    <w:sz w:val="22"/>
                    <w:szCs w:val="22"/>
                  </w:rPr>
                  <w:t>de minimis</w:t>
                </w:r>
                <w:r>
                  <w:rPr>
                    <w:color w:val="000000"/>
                    <w:kern w:val="2"/>
                    <w:sz w:val="22"/>
                    <w:szCs w:val="22"/>
                  </w:rPr>
                  <w:t xml:space="preserve"> pagalba, suteikta pagal Reglamentą </w:t>
                </w:r>
                <w:fldSimple w:instr="HYPERLINK http://eur-lex.europa.eu/legal-content/LIT/TXT/?uri=CELEX:32013R1407&amp;locale=lt \t _blank">
                  <w:r>
                    <w:rPr>
                      <w:color w:val="0000FF" w:themeColor="hyperlink"/>
                      <w:kern w:val="2"/>
                      <w:sz w:val="22"/>
                      <w:szCs w:val="22"/>
                      <w:u w:val="single"/>
                    </w:rPr>
                    <w:t>(ES) Nr. 1407/2013</w:t>
                  </w:r>
                </w:fldSimple>
                <w:r>
                  <w:rPr>
                    <w:color w:val="000000"/>
                    <w:kern w:val="2"/>
                    <w:sz w:val="22"/>
                    <w:szCs w:val="22"/>
                  </w:rPr>
                  <w:t>.</w:t>
                </w:r>
              </w:p>
              <w:p>
                <w:pPr>
                  <w:rPr>
                    <w:sz w:val="14"/>
                    <w:szCs w:val="14"/>
                  </w:rPr>
                </w:pPr>
              </w:p>
              <w:p>
                <w:pPr>
                  <w:shd w:val="clear" w:color="auto" w:fill="FFFFFF"/>
                  <w:spacing w:line="259" w:lineRule="auto"/>
                  <w:jc w:val="both"/>
                  <w:rPr>
                    <w:color w:val="000000"/>
                    <w:kern w:val="2"/>
                    <w:sz w:val="22"/>
                    <w:szCs w:val="22"/>
                  </w:rPr>
                </w:pPr>
                <w:r>
                  <w:rPr>
                    <w:color w:val="000000"/>
                    <w:kern w:val="2"/>
                    <w:sz w:val="22"/>
                    <w:szCs w:val="22"/>
                  </w:rPr>
                  <w:t xml:space="preserve">2. Jeigu įmonė vykdo pirminės žvejybos ir akvakultūros produktų gamybos veiklą ir taip pat vykdo pirminės žemės ūkio produktų gamybos veiklą, galima sumuoti pagal Reglamentą </w:t>
                </w:r>
                <w:fldSimple w:instr="HYPERLINK http://eur-lex.europa.eu/legal-content/LIT/TXT/?uri=CELEX:32013R1408&amp;locale=lt \t _blank">
                  <w:r>
                    <w:rPr>
                      <w:color w:val="0000FF" w:themeColor="hyperlink"/>
                      <w:kern w:val="2"/>
                      <w:sz w:val="22"/>
                      <w:szCs w:val="22"/>
                      <w:u w:val="single"/>
                    </w:rPr>
                    <w:t>(ES) Nr. 1408/2013</w:t>
                  </w:r>
                </w:fldSimple>
                <w:r>
                  <w:rPr>
                    <w:color w:val="000000"/>
                    <w:kern w:val="2"/>
                    <w:sz w:val="22"/>
                    <w:szCs w:val="22"/>
                  </w:rPr>
                  <w:t xml:space="preserve"> teikiamą </w:t>
                </w:r>
                <w:r>
                  <w:rPr>
                    <w:i/>
                    <w:iCs/>
                    <w:color w:val="000000"/>
                    <w:kern w:val="2"/>
                    <w:sz w:val="22"/>
                    <w:szCs w:val="22"/>
                  </w:rPr>
                  <w:t>de minimis</w:t>
                </w:r>
                <w:r>
                  <w:rPr>
                    <w:color w:val="000000"/>
                    <w:kern w:val="2"/>
                    <w:sz w:val="22"/>
                    <w:szCs w:val="22"/>
                  </w:rPr>
                  <w:t> pagalbą ir pagal šį reglamentą teikiamą </w:t>
                </w:r>
                <w:r>
                  <w:rPr>
                    <w:i/>
                    <w:iCs/>
                    <w:color w:val="000000"/>
                    <w:kern w:val="2"/>
                    <w:sz w:val="22"/>
                    <w:szCs w:val="22"/>
                  </w:rPr>
                  <w:t>de minimis</w:t>
                </w:r>
                <w:r>
                  <w:rPr>
                    <w:color w:val="000000"/>
                    <w:kern w:val="2"/>
                    <w:sz w:val="22"/>
                    <w:szCs w:val="22"/>
                  </w:rPr>
                  <w:t> pagalbą žvejybos ir akvakultūros sektoriui, neviršijant šiame reglamente nustatytos atitinkamos viršutinės ribos, su sąlyga, kad atitinkama valstybė narė tinkamomis priemonėmis, pavyzdžiui, atskirdama veiklos sritis ar sąnaudas, užtikrina, kad pirminės žemės ūkio produktų gamybos veiklai vykdyti nebūtų skiriama </w:t>
                </w:r>
                <w:r>
                  <w:rPr>
                    <w:i/>
                    <w:iCs/>
                    <w:color w:val="000000"/>
                    <w:kern w:val="2"/>
                    <w:sz w:val="22"/>
                    <w:szCs w:val="22"/>
                  </w:rPr>
                  <w:t>de minimis</w:t>
                </w:r>
                <w:r>
                  <w:rPr>
                    <w:color w:val="000000"/>
                    <w:kern w:val="2"/>
                    <w:sz w:val="22"/>
                    <w:szCs w:val="22"/>
                  </w:rPr>
                  <w:t> pagalba, teikiama pagal šį reglamentą.</w:t>
                </w:r>
              </w:p>
              <w:p>
                <w:pPr>
                  <w:rPr>
                    <w:sz w:val="14"/>
                    <w:szCs w:val="14"/>
                  </w:rPr>
                </w:pPr>
              </w:p>
              <w:p>
                <w:pPr>
                  <w:shd w:val="clear" w:color="auto" w:fill="FFFFFF"/>
                  <w:spacing w:line="259" w:lineRule="auto"/>
                  <w:jc w:val="both"/>
                  <w:rPr>
                    <w:sz w:val="22"/>
                    <w:szCs w:val="22"/>
                  </w:rPr>
                </w:pPr>
                <w:r>
                  <w:rPr>
                    <w:color w:val="000000"/>
                    <w:kern w:val="2"/>
                    <w:sz w:val="22"/>
                    <w:szCs w:val="22"/>
                  </w:rPr>
                  <w:t xml:space="preserve">3. </w:t>
                </w:r>
                <w:r>
                  <w:rPr>
                    <w:i/>
                    <w:iCs/>
                    <w:color w:val="000000"/>
                    <w:kern w:val="2"/>
                    <w:sz w:val="22"/>
                    <w:szCs w:val="22"/>
                  </w:rPr>
                  <w:t>De minimis</w:t>
                </w:r>
                <w:r>
                  <w:rPr>
                    <w:color w:val="000000"/>
                    <w:kern w:val="2"/>
                    <w:sz w:val="22"/>
                    <w:szCs w:val="22"/>
                  </w:rPr>
                  <w:t> pagalba nesumuojama su valstybės pagalba, skiriama toms pačioms tinkamoms finansuoti sąnaudoms, arba su valstybės pagalba, susijusia su ta pačia rizikos finansų priemone, jeigu dėl tokio pagalbos sumavimo būtų viršytas bendrosios išimties reglamente arba Komisijos priimtame sprendime nustatytas didžiausias atitinkamas pagalbos intensyvumas arba kiekvienu atveju atskirai nustatyta pagalbos suma. </w:t>
                </w:r>
                <w:r>
                  <w:rPr>
                    <w:i/>
                    <w:iCs/>
                    <w:color w:val="000000"/>
                    <w:kern w:val="2"/>
                    <w:sz w:val="22"/>
                    <w:szCs w:val="22"/>
                  </w:rPr>
                  <w:t>De minimis</w:t>
                </w:r>
                <w:r>
                  <w:rPr>
                    <w:color w:val="000000"/>
                    <w:kern w:val="2"/>
                    <w:sz w:val="22"/>
                    <w:szCs w:val="22"/>
                  </w:rPr>
                  <w:t> pagalba, kuri nėra teikiama arba priskiriama konkrečioms tinkamoms finansuoti sąnaudoms, gali būti sumuojama su kita valstybės pagalba, suteikta pagal bendrosios išimties reglamentą arba Komisijos priimtą sprendimą.“</w:t>
                </w:r>
              </w:p>
            </w:tc>
            <w:tc>
              <w:tcPr>
                <w:tcW w:w="5103" w:type="dxa"/>
                <w:tcMar>
                  <w:top w:w="0" w:type="dxa"/>
                  <w:left w:w="108" w:type="dxa"/>
                  <w:bottom w:w="0" w:type="dxa"/>
                  <w:right w:w="108" w:type="dxa"/>
                </w:tcMar>
              </w:tcPr>
              <w:p>
                <w:pPr>
                  <w:jc w:val="both"/>
                  <w:rPr>
                    <w:sz w:val="22"/>
                    <w:szCs w:val="22"/>
                  </w:rPr>
                </w:pPr>
                <w:r>
                  <w:rPr>
                    <w:kern w:val="2"/>
                    <w:sz w:val="22"/>
                    <w:szCs w:val="22"/>
                    <w:lang w:eastAsia="lt-LT"/>
                  </w:rPr>
                  <w:t>23 priedo 4 priedo 17 klausimas.</w:t>
                </w:r>
              </w:p>
            </w:tc>
          </w:tr>
          <w:tr>
            <w:tc>
              <w:tcPr>
                <w:tcW w:w="8500" w:type="dxa"/>
                <w:tcMar>
                  <w:top w:w="0" w:type="dxa"/>
                  <w:left w:w="108" w:type="dxa"/>
                  <w:bottom w:w="0" w:type="dxa"/>
                  <w:right w:w="108" w:type="dxa"/>
                </w:tcMar>
              </w:tcPr>
              <w:p>
                <w:pPr>
                  <w:rPr>
                    <w:sz w:val="10"/>
                    <w:szCs w:val="10"/>
                  </w:rPr>
                </w:pPr>
              </w:p>
              <w:p>
                <w:pPr>
                  <w:shd w:val="clear" w:color="auto" w:fill="FFFFFF"/>
                  <w:jc w:val="both"/>
                  <w:rPr>
                    <w:b/>
                    <w:szCs w:val="24"/>
                  </w:rPr>
                </w:pPr>
                <w:r>
                  <w:rPr>
                    <w:b/>
                    <w:bCs/>
                    <w:sz w:val="22"/>
                    <w:szCs w:val="22"/>
                  </w:rPr>
                  <w:t xml:space="preserve">8 straipsnis. </w:t>
                </w:r>
                <w:r>
                  <w:rPr>
                    <w:b/>
                    <w:bCs/>
                    <w:szCs w:val="24"/>
                  </w:rPr>
                  <w:t>Įsigaliojimas ir taikymo laikotarpis</w:t>
                </w:r>
              </w:p>
            </w:tc>
            <w:tc>
              <w:tcPr>
                <w:tcW w:w="5103" w:type="dxa"/>
                <w:tcMar>
                  <w:top w:w="0" w:type="dxa"/>
                  <w:left w:w="108" w:type="dxa"/>
                  <w:bottom w:w="0" w:type="dxa"/>
                  <w:right w:w="108" w:type="dxa"/>
                </w:tcMar>
              </w:tcPr>
              <w:p>
                <w:pPr>
                  <w:jc w:val="both"/>
                  <w:rPr>
                    <w:sz w:val="22"/>
                    <w:szCs w:val="22"/>
                  </w:rPr>
                </w:pPr>
                <w:r>
                  <w:rPr>
                    <w:kern w:val="2"/>
                    <w:sz w:val="22"/>
                    <w:szCs w:val="22"/>
                    <w:lang w:eastAsia="lt-LT"/>
                  </w:rPr>
                  <w:t>23 priedo 4 priedo 18 klausimas.</w:t>
                </w:r>
              </w:p>
            </w:tc>
          </w:tr>
        </w:tbl>
        <w:p>
          <w:pPr>
            <w:spacing w:line="259" w:lineRule="auto"/>
            <w:jc w:val="both"/>
            <w:rPr>
              <w:kern w:val="2"/>
              <w:sz w:val="22"/>
              <w:szCs w:val="22"/>
            </w:rPr>
          </w:pPr>
        </w:p>
        <w:p>
          <w:pPr>
            <w:rPr>
              <w:sz w:val="14"/>
              <w:szCs w:val="14"/>
            </w:rPr>
          </w:pPr>
        </w:p>
        <w:p>
          <w:pPr>
            <w:spacing w:line="259" w:lineRule="auto"/>
            <w:jc w:val="center"/>
            <w:rPr>
              <w:kern w:val="2"/>
              <w:sz w:val="22"/>
              <w:szCs w:val="22"/>
            </w:rPr>
          </w:pPr>
          <w:r>
            <w:rPr>
              <w:kern w:val="2"/>
              <w:sz w:val="22"/>
              <w:szCs w:val="22"/>
            </w:rPr>
            <w:t>__________</w:t>
          </w:r>
        </w:p>
      </w:sdtContent>
    </w:sdt>
    <w:sectPr>
      <w:footerReference w:type="default" r:id="rId7"/>
      <w:pgSz w:w="15840" w:h="12240" w:orient="landscape"/>
      <w:pgMar w:top="1701" w:right="1701" w:bottom="567" w:left="1134" w:header="720" w:footer="720" w:gutter="0"/>
      <w:cols w:space="72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lang w:val="en-US"/>
        </w:rPr>
      </w:pPr>
      <w:r>
        <w:rPr>
          <w:kern w:val="2"/>
          <w:sz w:val="22"/>
          <w:szCs w:val="22"/>
          <w:lang w:val="en-US"/>
        </w:rPr>
        <w:separator/>
      </w:r>
    </w:p>
  </w:endnote>
  <w:endnote w:type="continuationSeparator" w:id="0">
    <w:p>
      <w:pPr>
        <w:rPr>
          <w:kern w:val="2"/>
          <w:sz w:val="22"/>
          <w:szCs w:val="22"/>
          <w:lang w:val="en-US"/>
        </w:rPr>
      </w:pPr>
      <w:r>
        <w:rPr>
          <w:kern w:val="2"/>
          <w:sz w:val="22"/>
          <w:szCs w:val="22"/>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jc w:val="center"/>
      <w:rPr>
        <w:kern w:val="2"/>
        <w:sz w:val="22"/>
        <w:szCs w:val="22"/>
        <w:lang w:val="en-US"/>
      </w:rPr>
    </w:pPr>
    <w:r>
      <w:rPr>
        <w:kern w:val="2"/>
        <w:sz w:val="22"/>
        <w:szCs w:val="22"/>
        <w:lang w:val="en-US"/>
      </w:rPr>
      <w:fldChar w:fldCharType="begin"/>
    </w:r>
    <w:r>
      <w:rPr>
        <w:kern w:val="2"/>
        <w:sz w:val="22"/>
        <w:szCs w:val="22"/>
        <w:lang w:val="en-US"/>
      </w:rPr>
      <w:instrText xml:space="preserve"> PAGE   \* MERGEFORMAT </w:instrText>
    </w:r>
    <w:r>
      <w:rPr>
        <w:kern w:val="2"/>
        <w:sz w:val="22"/>
        <w:szCs w:val="22"/>
        <w:lang w:val="en-US"/>
      </w:rPr>
      <w:fldChar w:fldCharType="separate"/>
    </w:r>
    <w:r>
      <w:rPr>
        <w:kern w:val="2"/>
        <w:sz w:val="22"/>
        <w:szCs w:val="22"/>
        <w:lang w:val="en-US"/>
      </w:rPr>
      <w:t>2</w:t>
    </w:r>
    <w:r>
      <w:rPr>
        <w:kern w:val="2"/>
        <w:sz w:val="22"/>
        <w:szCs w:val="22"/>
        <w:lang w:val="en-US"/>
      </w:rPr>
      <w:fldChar w:fldCharType="end"/>
    </w:r>
  </w:p>
  <w:p>
    <w:pPr>
      <w:tabs>
        <w:tab w:val="center" w:pos="4986"/>
        <w:tab w:val="right" w:pos="9972"/>
      </w:tabs>
      <w:rPr>
        <w:kern w:val="2"/>
        <w:sz w:val="22"/>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lang w:val="en-US"/>
        </w:rPr>
      </w:pPr>
      <w:r>
        <w:rPr>
          <w:kern w:val="2"/>
          <w:sz w:val="22"/>
          <w:szCs w:val="22"/>
          <w:lang w:val="en-US"/>
        </w:rPr>
        <w:separator/>
      </w:r>
    </w:p>
  </w:footnote>
  <w:footnote w:type="continuationSeparator" w:id="0">
    <w:p>
      <w:pPr>
        <w:rPr>
          <w:kern w:val="2"/>
          <w:sz w:val="22"/>
          <w:szCs w:val="22"/>
          <w:lang w:val="en-US"/>
        </w:rPr>
      </w:pPr>
      <w:r>
        <w:rPr>
          <w:kern w:val="2"/>
          <w:sz w:val="22"/>
          <w:szCs w:val="22"/>
          <w:lang w:val="en-US"/>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725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37EDA1-3275-47CF-88E5-CAE74C511F7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16735708">
      <w:bodyDiv w:val="1"/>
      <w:marLeft w:val="0"/>
      <w:marRight w:val="0"/>
      <w:marTop w:val="0"/>
      <w:marBottom w:val="0"/>
      <w:divBdr>
        <w:top w:val="none" w:sz="0" w:space="0" w:color="auto"/>
        <w:left w:val="none" w:sz="0" w:space="0" w:color="auto"/>
        <w:bottom w:val="none" w:sz="0" w:space="0" w:color="auto"/>
        <w:right w:val="none" w:sz="0" w:space="0" w:color="auto"/>
      </w:divBdr>
      <w:divsChild>
        <w:div w:id="518741332">
          <w:marLeft w:val="0"/>
          <w:marRight w:val="0"/>
          <w:marTop w:val="0"/>
          <w:marBottom w:val="0"/>
          <w:divBdr>
            <w:top w:val="none" w:sz="0" w:space="0" w:color="auto"/>
            <w:left w:val="none" w:sz="0" w:space="0" w:color="auto"/>
            <w:bottom w:val="none" w:sz="0" w:space="0" w:color="auto"/>
            <w:right w:val="none" w:sz="0" w:space="0" w:color="auto"/>
          </w:divBdr>
          <w:divsChild>
            <w:div w:id="1938635441">
              <w:marLeft w:val="0"/>
              <w:marRight w:val="0"/>
              <w:marTop w:val="0"/>
              <w:marBottom w:val="0"/>
              <w:divBdr>
                <w:top w:val="none" w:sz="0" w:space="0" w:color="auto"/>
                <w:left w:val="none" w:sz="0" w:space="0" w:color="auto"/>
                <w:bottom w:val="none" w:sz="0" w:space="0" w:color="auto"/>
                <w:right w:val="none" w:sz="0" w:space="0" w:color="auto"/>
              </w:divBdr>
            </w:div>
            <w:div w:id="2134127773">
              <w:marLeft w:val="0"/>
              <w:marRight w:val="0"/>
              <w:marTop w:val="120"/>
              <w:marBottom w:val="0"/>
              <w:divBdr>
                <w:top w:val="none" w:sz="0" w:space="0" w:color="auto"/>
                <w:left w:val="none" w:sz="0" w:space="0" w:color="auto"/>
                <w:bottom w:val="none" w:sz="0" w:space="0" w:color="auto"/>
                <w:right w:val="none" w:sz="0" w:space="0" w:color="auto"/>
              </w:divBdr>
            </w:div>
          </w:divsChild>
        </w:div>
        <w:div w:id="1363870445">
          <w:marLeft w:val="0"/>
          <w:marRight w:val="0"/>
          <w:marTop w:val="0"/>
          <w:marBottom w:val="0"/>
          <w:divBdr>
            <w:top w:val="none" w:sz="0" w:space="0" w:color="auto"/>
            <w:left w:val="none" w:sz="0" w:space="0" w:color="auto"/>
            <w:bottom w:val="none" w:sz="0" w:space="0" w:color="auto"/>
            <w:right w:val="none" w:sz="0" w:space="0" w:color="auto"/>
          </w:divBdr>
          <w:divsChild>
            <w:div w:id="604506121">
              <w:marLeft w:val="0"/>
              <w:marRight w:val="0"/>
              <w:marTop w:val="0"/>
              <w:marBottom w:val="0"/>
              <w:divBdr>
                <w:top w:val="none" w:sz="0" w:space="0" w:color="auto"/>
                <w:left w:val="none" w:sz="0" w:space="0" w:color="auto"/>
                <w:bottom w:val="none" w:sz="0" w:space="0" w:color="auto"/>
                <w:right w:val="none" w:sz="0" w:space="0" w:color="auto"/>
              </w:divBdr>
            </w:div>
            <w:div w:id="1587959041">
              <w:marLeft w:val="0"/>
              <w:marRight w:val="0"/>
              <w:marTop w:val="120"/>
              <w:marBottom w:val="0"/>
              <w:divBdr>
                <w:top w:val="none" w:sz="0" w:space="0" w:color="auto"/>
                <w:left w:val="none" w:sz="0" w:space="0" w:color="auto"/>
                <w:bottom w:val="none" w:sz="0" w:space="0" w:color="auto"/>
                <w:right w:val="none" w:sz="0" w:space="0" w:color="auto"/>
              </w:divBdr>
            </w:div>
          </w:divsChild>
        </w:div>
        <w:div w:id="1792285778">
          <w:marLeft w:val="0"/>
          <w:marRight w:val="0"/>
          <w:marTop w:val="0"/>
          <w:marBottom w:val="0"/>
          <w:divBdr>
            <w:top w:val="none" w:sz="0" w:space="0" w:color="auto"/>
            <w:left w:val="none" w:sz="0" w:space="0" w:color="auto"/>
            <w:bottom w:val="none" w:sz="0" w:space="0" w:color="auto"/>
            <w:right w:val="none" w:sz="0" w:space="0" w:color="auto"/>
          </w:divBdr>
          <w:divsChild>
            <w:div w:id="167407129">
              <w:marLeft w:val="0"/>
              <w:marRight w:val="0"/>
              <w:marTop w:val="0"/>
              <w:marBottom w:val="0"/>
              <w:divBdr>
                <w:top w:val="none" w:sz="0" w:space="0" w:color="auto"/>
                <w:left w:val="none" w:sz="0" w:space="0" w:color="auto"/>
                <w:bottom w:val="none" w:sz="0" w:space="0" w:color="auto"/>
                <w:right w:val="none" w:sz="0" w:space="0" w:color="auto"/>
              </w:divBdr>
            </w:div>
            <w:div w:id="1141651837">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 w:id="431246074">
      <w:bodyDiv w:val="1"/>
      <w:marLeft w:val="0"/>
      <w:marRight w:val="0"/>
      <w:marTop w:val="0"/>
      <w:marBottom w:val="0"/>
      <w:divBdr>
        <w:top w:val="none" w:sz="0" w:space="0" w:color="auto"/>
        <w:left w:val="none" w:sz="0" w:space="0" w:color="auto"/>
        <w:bottom w:val="none" w:sz="0" w:space="0" w:color="auto"/>
        <w:right w:val="none" w:sz="0" w:space="0" w:color="auto"/>
      </w:divBdr>
      <w:divsChild>
        <w:div w:id="1411464227">
          <w:marLeft w:val="0"/>
          <w:marRight w:val="0"/>
          <w:marTop w:val="0"/>
          <w:marBottom w:val="0"/>
          <w:divBdr>
            <w:top w:val="none" w:sz="0" w:space="0" w:color="auto"/>
            <w:left w:val="none" w:sz="0" w:space="0" w:color="auto"/>
            <w:bottom w:val="none" w:sz="0" w:space="0" w:color="auto"/>
            <w:right w:val="none" w:sz="0" w:space="0" w:color="auto"/>
          </w:divBdr>
        </w:div>
      </w:divsChild>
    </w:div>
    <w:div w:id="472018936">
      <w:bodyDiv w:val="1"/>
      <w:marLeft w:val="0"/>
      <w:marRight w:val="0"/>
      <w:marTop w:val="0"/>
      <w:marBottom w:val="0"/>
      <w:divBdr>
        <w:top w:val="none" w:sz="0" w:space="0" w:color="auto"/>
        <w:left w:val="none" w:sz="0" w:space="0" w:color="auto"/>
        <w:bottom w:val="none" w:sz="0" w:space="0" w:color="auto"/>
        <w:right w:val="none" w:sz="0" w:space="0" w:color="auto"/>
      </w:divBdr>
      <w:divsChild>
        <w:div w:id="196354141">
          <w:marLeft w:val="0"/>
          <w:marRight w:val="0"/>
          <w:marTop w:val="0"/>
          <w:marBottom w:val="0"/>
          <w:divBdr>
            <w:top w:val="none" w:sz="0" w:space="0" w:color="auto"/>
            <w:left w:val="none" w:sz="0" w:space="0" w:color="auto"/>
            <w:bottom w:val="none" w:sz="0" w:space="0" w:color="auto"/>
            <w:right w:val="none" w:sz="0" w:space="0" w:color="auto"/>
          </w:divBdr>
          <w:divsChild>
            <w:div w:id="53823540">
              <w:marLeft w:val="0"/>
              <w:marRight w:val="0"/>
              <w:marTop w:val="0"/>
              <w:marBottom w:val="0"/>
              <w:divBdr>
                <w:top w:val="none" w:sz="0" w:space="0" w:color="auto"/>
                <w:left w:val="none" w:sz="0" w:space="0" w:color="auto"/>
                <w:bottom w:val="none" w:sz="0" w:space="0" w:color="auto"/>
                <w:right w:val="none" w:sz="0" w:space="0" w:color="auto"/>
              </w:divBdr>
            </w:div>
          </w:divsChild>
        </w:div>
        <w:div w:id="1267154330">
          <w:marLeft w:val="0"/>
          <w:marRight w:val="0"/>
          <w:marTop w:val="0"/>
          <w:marBottom w:val="0"/>
          <w:divBdr>
            <w:top w:val="none" w:sz="0" w:space="0" w:color="auto"/>
            <w:left w:val="none" w:sz="0" w:space="0" w:color="auto"/>
            <w:bottom w:val="none" w:sz="0" w:space="0" w:color="auto"/>
            <w:right w:val="none" w:sz="0" w:space="0" w:color="auto"/>
          </w:divBdr>
          <w:divsChild>
            <w:div w:id="1313944752">
              <w:marLeft w:val="0"/>
              <w:marRight w:val="0"/>
              <w:marTop w:val="0"/>
              <w:marBottom w:val="0"/>
              <w:divBdr>
                <w:top w:val="none" w:sz="0" w:space="0" w:color="auto"/>
                <w:left w:val="none" w:sz="0" w:space="0" w:color="auto"/>
                <w:bottom w:val="none" w:sz="0" w:space="0" w:color="auto"/>
                <w:right w:val="none" w:sz="0" w:space="0" w:color="auto"/>
              </w:divBdr>
            </w:div>
          </w:divsChild>
        </w:div>
        <w:div w:id="1825319572">
          <w:marLeft w:val="0"/>
          <w:marRight w:val="0"/>
          <w:marTop w:val="0"/>
          <w:marBottom w:val="0"/>
          <w:divBdr>
            <w:top w:val="none" w:sz="0" w:space="0" w:color="auto"/>
            <w:left w:val="none" w:sz="0" w:space="0" w:color="auto"/>
            <w:bottom w:val="none" w:sz="0" w:space="0" w:color="auto"/>
            <w:right w:val="none" w:sz="0" w:space="0" w:color="auto"/>
          </w:divBdr>
          <w:divsChild>
            <w:div w:id="1443528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430638">
      <w:bodyDiv w:val="1"/>
      <w:marLeft w:val="0"/>
      <w:marRight w:val="0"/>
      <w:marTop w:val="0"/>
      <w:marBottom w:val="0"/>
      <w:divBdr>
        <w:top w:val="none" w:sz="0" w:space="0" w:color="auto"/>
        <w:left w:val="none" w:sz="0" w:space="0" w:color="auto"/>
        <w:bottom w:val="none" w:sz="0" w:space="0" w:color="auto"/>
        <w:right w:val="none" w:sz="0" w:space="0" w:color="auto"/>
      </w:divBdr>
      <w:divsChild>
        <w:div w:id="958878623">
          <w:marLeft w:val="0"/>
          <w:marRight w:val="0"/>
          <w:marTop w:val="0"/>
          <w:marBottom w:val="0"/>
          <w:divBdr>
            <w:top w:val="none" w:sz="0" w:space="0" w:color="auto"/>
            <w:left w:val="none" w:sz="0" w:space="0" w:color="auto"/>
            <w:bottom w:val="none" w:sz="0" w:space="0" w:color="auto"/>
            <w:right w:val="none" w:sz="0" w:space="0" w:color="auto"/>
          </w:divBdr>
        </w:div>
      </w:divsChild>
    </w:div>
    <w:div w:id="578952497">
      <w:bodyDiv w:val="1"/>
      <w:marLeft w:val="0"/>
      <w:marRight w:val="0"/>
      <w:marTop w:val="0"/>
      <w:marBottom w:val="0"/>
      <w:divBdr>
        <w:top w:val="none" w:sz="0" w:space="0" w:color="auto"/>
        <w:left w:val="none" w:sz="0" w:space="0" w:color="auto"/>
        <w:bottom w:val="none" w:sz="0" w:space="0" w:color="auto"/>
        <w:right w:val="none" w:sz="0" w:space="0" w:color="auto"/>
      </w:divBdr>
      <w:divsChild>
        <w:div w:id="1792898591">
          <w:marLeft w:val="0"/>
          <w:marRight w:val="0"/>
          <w:marTop w:val="0"/>
          <w:marBottom w:val="0"/>
          <w:divBdr>
            <w:top w:val="none" w:sz="0" w:space="0" w:color="auto"/>
            <w:left w:val="none" w:sz="0" w:space="0" w:color="auto"/>
            <w:bottom w:val="none" w:sz="0" w:space="0" w:color="auto"/>
            <w:right w:val="none" w:sz="0" w:space="0" w:color="auto"/>
          </w:divBdr>
        </w:div>
      </w:divsChild>
    </w:div>
    <w:div w:id="718822735">
      <w:bodyDiv w:val="1"/>
      <w:marLeft w:val="0"/>
      <w:marRight w:val="0"/>
      <w:marTop w:val="0"/>
      <w:marBottom w:val="0"/>
      <w:divBdr>
        <w:top w:val="none" w:sz="0" w:space="0" w:color="auto"/>
        <w:left w:val="none" w:sz="0" w:space="0" w:color="auto"/>
        <w:bottom w:val="none" w:sz="0" w:space="0" w:color="auto"/>
        <w:right w:val="none" w:sz="0" w:space="0" w:color="auto"/>
      </w:divBdr>
      <w:divsChild>
        <w:div w:id="830145105">
          <w:marLeft w:val="0"/>
          <w:marRight w:val="0"/>
          <w:marTop w:val="0"/>
          <w:marBottom w:val="0"/>
          <w:divBdr>
            <w:top w:val="none" w:sz="0" w:space="0" w:color="auto"/>
            <w:left w:val="none" w:sz="0" w:space="0" w:color="auto"/>
            <w:bottom w:val="none" w:sz="0" w:space="0" w:color="auto"/>
            <w:right w:val="none" w:sz="0" w:space="0" w:color="auto"/>
          </w:divBdr>
          <w:divsChild>
            <w:div w:id="336541271">
              <w:marLeft w:val="0"/>
              <w:marRight w:val="0"/>
              <w:marTop w:val="0"/>
              <w:marBottom w:val="0"/>
              <w:divBdr>
                <w:top w:val="none" w:sz="0" w:space="0" w:color="auto"/>
                <w:left w:val="none" w:sz="0" w:space="0" w:color="auto"/>
                <w:bottom w:val="none" w:sz="0" w:space="0" w:color="auto"/>
                <w:right w:val="none" w:sz="0" w:space="0" w:color="auto"/>
              </w:divBdr>
            </w:div>
          </w:divsChild>
        </w:div>
        <w:div w:id="1295793845">
          <w:marLeft w:val="0"/>
          <w:marRight w:val="0"/>
          <w:marTop w:val="0"/>
          <w:marBottom w:val="0"/>
          <w:divBdr>
            <w:top w:val="none" w:sz="0" w:space="0" w:color="auto"/>
            <w:left w:val="none" w:sz="0" w:space="0" w:color="auto"/>
            <w:bottom w:val="none" w:sz="0" w:space="0" w:color="auto"/>
            <w:right w:val="none" w:sz="0" w:space="0" w:color="auto"/>
          </w:divBdr>
          <w:divsChild>
            <w:div w:id="2007391124">
              <w:marLeft w:val="0"/>
              <w:marRight w:val="0"/>
              <w:marTop w:val="0"/>
              <w:marBottom w:val="0"/>
              <w:divBdr>
                <w:top w:val="none" w:sz="0" w:space="0" w:color="auto"/>
                <w:left w:val="none" w:sz="0" w:space="0" w:color="auto"/>
                <w:bottom w:val="none" w:sz="0" w:space="0" w:color="auto"/>
                <w:right w:val="none" w:sz="0" w:space="0" w:color="auto"/>
              </w:divBdr>
            </w:div>
          </w:divsChild>
        </w:div>
        <w:div w:id="1847208113">
          <w:marLeft w:val="0"/>
          <w:marRight w:val="0"/>
          <w:marTop w:val="0"/>
          <w:marBottom w:val="0"/>
          <w:divBdr>
            <w:top w:val="none" w:sz="0" w:space="0" w:color="auto"/>
            <w:left w:val="none" w:sz="0" w:space="0" w:color="auto"/>
            <w:bottom w:val="none" w:sz="0" w:space="0" w:color="auto"/>
            <w:right w:val="none" w:sz="0" w:space="0" w:color="auto"/>
          </w:divBdr>
          <w:divsChild>
            <w:div w:id="807863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104606">
      <w:bodyDiv w:val="1"/>
      <w:marLeft w:val="0"/>
      <w:marRight w:val="0"/>
      <w:marTop w:val="0"/>
      <w:marBottom w:val="0"/>
      <w:divBdr>
        <w:top w:val="none" w:sz="0" w:space="0" w:color="auto"/>
        <w:left w:val="none" w:sz="0" w:space="0" w:color="auto"/>
        <w:bottom w:val="none" w:sz="0" w:space="0" w:color="auto"/>
        <w:right w:val="none" w:sz="0" w:space="0" w:color="auto"/>
      </w:divBdr>
    </w:div>
    <w:div w:id="761416184">
      <w:bodyDiv w:val="1"/>
      <w:marLeft w:val="0"/>
      <w:marRight w:val="0"/>
      <w:marTop w:val="0"/>
      <w:marBottom w:val="0"/>
      <w:divBdr>
        <w:top w:val="none" w:sz="0" w:space="0" w:color="auto"/>
        <w:left w:val="none" w:sz="0" w:space="0" w:color="auto"/>
        <w:bottom w:val="none" w:sz="0" w:space="0" w:color="auto"/>
        <w:right w:val="none" w:sz="0" w:space="0" w:color="auto"/>
      </w:divBdr>
      <w:divsChild>
        <w:div w:id="1292052604">
          <w:marLeft w:val="0"/>
          <w:marRight w:val="0"/>
          <w:marTop w:val="0"/>
          <w:marBottom w:val="0"/>
          <w:divBdr>
            <w:top w:val="none" w:sz="0" w:space="0" w:color="auto"/>
            <w:left w:val="none" w:sz="0" w:space="0" w:color="auto"/>
            <w:bottom w:val="none" w:sz="0" w:space="0" w:color="auto"/>
            <w:right w:val="none" w:sz="0" w:space="0" w:color="auto"/>
          </w:divBdr>
        </w:div>
        <w:div w:id="2035185648">
          <w:marLeft w:val="0"/>
          <w:marRight w:val="0"/>
          <w:marTop w:val="0"/>
          <w:marBottom w:val="0"/>
          <w:divBdr>
            <w:top w:val="none" w:sz="0" w:space="0" w:color="auto"/>
            <w:left w:val="none" w:sz="0" w:space="0" w:color="auto"/>
            <w:bottom w:val="none" w:sz="0" w:space="0" w:color="auto"/>
            <w:right w:val="none" w:sz="0" w:space="0" w:color="auto"/>
          </w:divBdr>
        </w:div>
      </w:divsChild>
    </w:div>
    <w:div w:id="856306307">
      <w:bodyDiv w:val="1"/>
      <w:marLeft w:val="0"/>
      <w:marRight w:val="0"/>
      <w:marTop w:val="0"/>
      <w:marBottom w:val="0"/>
      <w:divBdr>
        <w:top w:val="none" w:sz="0" w:space="0" w:color="auto"/>
        <w:left w:val="none" w:sz="0" w:space="0" w:color="auto"/>
        <w:bottom w:val="none" w:sz="0" w:space="0" w:color="auto"/>
        <w:right w:val="none" w:sz="0" w:space="0" w:color="auto"/>
      </w:divBdr>
    </w:div>
    <w:div w:id="1004556414">
      <w:bodyDiv w:val="1"/>
      <w:marLeft w:val="0"/>
      <w:marRight w:val="0"/>
      <w:marTop w:val="0"/>
      <w:marBottom w:val="0"/>
      <w:divBdr>
        <w:top w:val="none" w:sz="0" w:space="0" w:color="auto"/>
        <w:left w:val="none" w:sz="0" w:space="0" w:color="auto"/>
        <w:bottom w:val="none" w:sz="0" w:space="0" w:color="auto"/>
        <w:right w:val="none" w:sz="0" w:space="0" w:color="auto"/>
      </w:divBdr>
    </w:div>
    <w:div w:id="1034618275">
      <w:bodyDiv w:val="1"/>
      <w:marLeft w:val="0"/>
      <w:marRight w:val="0"/>
      <w:marTop w:val="0"/>
      <w:marBottom w:val="0"/>
      <w:divBdr>
        <w:top w:val="none" w:sz="0" w:space="0" w:color="auto"/>
        <w:left w:val="none" w:sz="0" w:space="0" w:color="auto"/>
        <w:bottom w:val="none" w:sz="0" w:space="0" w:color="auto"/>
        <w:right w:val="none" w:sz="0" w:space="0" w:color="auto"/>
      </w:divBdr>
      <w:divsChild>
        <w:div w:id="555163675">
          <w:marLeft w:val="0"/>
          <w:marRight w:val="0"/>
          <w:marTop w:val="0"/>
          <w:marBottom w:val="0"/>
          <w:divBdr>
            <w:top w:val="none" w:sz="0" w:space="0" w:color="auto"/>
            <w:left w:val="none" w:sz="0" w:space="0" w:color="auto"/>
            <w:bottom w:val="none" w:sz="0" w:space="0" w:color="auto"/>
            <w:right w:val="none" w:sz="0" w:space="0" w:color="auto"/>
          </w:divBdr>
        </w:div>
      </w:divsChild>
    </w:div>
    <w:div w:id="1102844102">
      <w:bodyDiv w:val="1"/>
      <w:marLeft w:val="0"/>
      <w:marRight w:val="0"/>
      <w:marTop w:val="0"/>
      <w:marBottom w:val="0"/>
      <w:divBdr>
        <w:top w:val="none" w:sz="0" w:space="0" w:color="auto"/>
        <w:left w:val="none" w:sz="0" w:space="0" w:color="auto"/>
        <w:bottom w:val="none" w:sz="0" w:space="0" w:color="auto"/>
        <w:right w:val="none" w:sz="0" w:space="0" w:color="auto"/>
      </w:divBdr>
      <w:divsChild>
        <w:div w:id="2058889087">
          <w:marLeft w:val="0"/>
          <w:marRight w:val="0"/>
          <w:marTop w:val="0"/>
          <w:marBottom w:val="0"/>
          <w:divBdr>
            <w:top w:val="none" w:sz="0" w:space="0" w:color="auto"/>
            <w:left w:val="none" w:sz="0" w:space="0" w:color="auto"/>
            <w:bottom w:val="none" w:sz="0" w:space="0" w:color="auto"/>
            <w:right w:val="none" w:sz="0" w:space="0" w:color="auto"/>
          </w:divBdr>
          <w:divsChild>
            <w:div w:id="14156165">
              <w:marLeft w:val="0"/>
              <w:marRight w:val="0"/>
              <w:marTop w:val="0"/>
              <w:marBottom w:val="0"/>
              <w:divBdr>
                <w:top w:val="none" w:sz="0" w:space="0" w:color="auto"/>
                <w:left w:val="none" w:sz="0" w:space="0" w:color="auto"/>
                <w:bottom w:val="none" w:sz="0" w:space="0" w:color="auto"/>
                <w:right w:val="none" w:sz="0" w:space="0" w:color="auto"/>
              </w:divBdr>
              <w:divsChild>
                <w:div w:id="1155103753">
                  <w:marLeft w:val="0"/>
                  <w:marRight w:val="0"/>
                  <w:marTop w:val="0"/>
                  <w:marBottom w:val="0"/>
                  <w:divBdr>
                    <w:top w:val="none" w:sz="0" w:space="0" w:color="auto"/>
                    <w:left w:val="none" w:sz="0" w:space="0" w:color="auto"/>
                    <w:bottom w:val="none" w:sz="0" w:space="0" w:color="auto"/>
                    <w:right w:val="none" w:sz="0" w:space="0" w:color="auto"/>
                  </w:divBdr>
                </w:div>
                <w:div w:id="1990205187">
                  <w:marLeft w:val="0"/>
                  <w:marRight w:val="0"/>
                  <w:marTop w:val="120"/>
                  <w:marBottom w:val="0"/>
                  <w:divBdr>
                    <w:top w:val="none" w:sz="0" w:space="0" w:color="auto"/>
                    <w:left w:val="none" w:sz="0" w:space="0" w:color="auto"/>
                    <w:bottom w:val="none" w:sz="0" w:space="0" w:color="auto"/>
                    <w:right w:val="none" w:sz="0" w:space="0" w:color="auto"/>
                  </w:divBdr>
                </w:div>
              </w:divsChild>
            </w:div>
            <w:div w:id="404186136">
              <w:marLeft w:val="0"/>
              <w:marRight w:val="0"/>
              <w:marTop w:val="0"/>
              <w:marBottom w:val="0"/>
              <w:divBdr>
                <w:top w:val="none" w:sz="0" w:space="0" w:color="auto"/>
                <w:left w:val="none" w:sz="0" w:space="0" w:color="auto"/>
                <w:bottom w:val="none" w:sz="0" w:space="0" w:color="auto"/>
                <w:right w:val="none" w:sz="0" w:space="0" w:color="auto"/>
              </w:divBdr>
              <w:divsChild>
                <w:div w:id="1273324688">
                  <w:marLeft w:val="0"/>
                  <w:marRight w:val="0"/>
                  <w:marTop w:val="0"/>
                  <w:marBottom w:val="0"/>
                  <w:divBdr>
                    <w:top w:val="none" w:sz="0" w:space="0" w:color="auto"/>
                    <w:left w:val="none" w:sz="0" w:space="0" w:color="auto"/>
                    <w:bottom w:val="none" w:sz="0" w:space="0" w:color="auto"/>
                    <w:right w:val="none" w:sz="0" w:space="0" w:color="auto"/>
                  </w:divBdr>
                </w:div>
                <w:div w:id="1816674787">
                  <w:marLeft w:val="0"/>
                  <w:marRight w:val="0"/>
                  <w:marTop w:val="120"/>
                  <w:marBottom w:val="0"/>
                  <w:divBdr>
                    <w:top w:val="none" w:sz="0" w:space="0" w:color="auto"/>
                    <w:left w:val="none" w:sz="0" w:space="0" w:color="auto"/>
                    <w:bottom w:val="none" w:sz="0" w:space="0" w:color="auto"/>
                    <w:right w:val="none" w:sz="0" w:space="0" w:color="auto"/>
                  </w:divBdr>
                </w:div>
              </w:divsChild>
            </w:div>
            <w:div w:id="417871442">
              <w:marLeft w:val="0"/>
              <w:marRight w:val="0"/>
              <w:marTop w:val="0"/>
              <w:marBottom w:val="0"/>
              <w:divBdr>
                <w:top w:val="none" w:sz="0" w:space="0" w:color="auto"/>
                <w:left w:val="none" w:sz="0" w:space="0" w:color="auto"/>
                <w:bottom w:val="none" w:sz="0" w:space="0" w:color="auto"/>
                <w:right w:val="none" w:sz="0" w:space="0" w:color="auto"/>
              </w:divBdr>
              <w:divsChild>
                <w:div w:id="12146041">
                  <w:marLeft w:val="0"/>
                  <w:marRight w:val="0"/>
                  <w:marTop w:val="0"/>
                  <w:marBottom w:val="0"/>
                  <w:divBdr>
                    <w:top w:val="none" w:sz="0" w:space="0" w:color="auto"/>
                    <w:left w:val="none" w:sz="0" w:space="0" w:color="auto"/>
                    <w:bottom w:val="none" w:sz="0" w:space="0" w:color="auto"/>
                    <w:right w:val="none" w:sz="0" w:space="0" w:color="auto"/>
                  </w:divBdr>
                </w:div>
                <w:div w:id="960458469">
                  <w:marLeft w:val="0"/>
                  <w:marRight w:val="0"/>
                  <w:marTop w:val="120"/>
                  <w:marBottom w:val="0"/>
                  <w:divBdr>
                    <w:top w:val="none" w:sz="0" w:space="0" w:color="auto"/>
                    <w:left w:val="none" w:sz="0" w:space="0" w:color="auto"/>
                    <w:bottom w:val="none" w:sz="0" w:space="0" w:color="auto"/>
                    <w:right w:val="none" w:sz="0" w:space="0" w:color="auto"/>
                  </w:divBdr>
                </w:div>
              </w:divsChild>
            </w:div>
            <w:div w:id="508524531">
              <w:marLeft w:val="0"/>
              <w:marRight w:val="0"/>
              <w:marTop w:val="0"/>
              <w:marBottom w:val="0"/>
              <w:divBdr>
                <w:top w:val="none" w:sz="0" w:space="0" w:color="auto"/>
                <w:left w:val="none" w:sz="0" w:space="0" w:color="auto"/>
                <w:bottom w:val="none" w:sz="0" w:space="0" w:color="auto"/>
                <w:right w:val="none" w:sz="0" w:space="0" w:color="auto"/>
              </w:divBdr>
              <w:divsChild>
                <w:div w:id="458307542">
                  <w:marLeft w:val="0"/>
                  <w:marRight w:val="0"/>
                  <w:marTop w:val="120"/>
                  <w:marBottom w:val="0"/>
                  <w:divBdr>
                    <w:top w:val="none" w:sz="0" w:space="0" w:color="auto"/>
                    <w:left w:val="none" w:sz="0" w:space="0" w:color="auto"/>
                    <w:bottom w:val="none" w:sz="0" w:space="0" w:color="auto"/>
                    <w:right w:val="none" w:sz="0" w:space="0" w:color="auto"/>
                  </w:divBdr>
                </w:div>
                <w:div w:id="691032667">
                  <w:marLeft w:val="0"/>
                  <w:marRight w:val="0"/>
                  <w:marTop w:val="0"/>
                  <w:marBottom w:val="0"/>
                  <w:divBdr>
                    <w:top w:val="none" w:sz="0" w:space="0" w:color="auto"/>
                    <w:left w:val="none" w:sz="0" w:space="0" w:color="auto"/>
                    <w:bottom w:val="none" w:sz="0" w:space="0" w:color="auto"/>
                    <w:right w:val="none" w:sz="0" w:space="0" w:color="auto"/>
                  </w:divBdr>
                </w:div>
              </w:divsChild>
            </w:div>
            <w:div w:id="545482826">
              <w:marLeft w:val="0"/>
              <w:marRight w:val="0"/>
              <w:marTop w:val="0"/>
              <w:marBottom w:val="0"/>
              <w:divBdr>
                <w:top w:val="none" w:sz="0" w:space="0" w:color="auto"/>
                <w:left w:val="none" w:sz="0" w:space="0" w:color="auto"/>
                <w:bottom w:val="none" w:sz="0" w:space="0" w:color="auto"/>
                <w:right w:val="none" w:sz="0" w:space="0" w:color="auto"/>
              </w:divBdr>
              <w:divsChild>
                <w:div w:id="907110064">
                  <w:marLeft w:val="0"/>
                  <w:marRight w:val="0"/>
                  <w:marTop w:val="0"/>
                  <w:marBottom w:val="0"/>
                  <w:divBdr>
                    <w:top w:val="none" w:sz="0" w:space="0" w:color="auto"/>
                    <w:left w:val="none" w:sz="0" w:space="0" w:color="auto"/>
                    <w:bottom w:val="none" w:sz="0" w:space="0" w:color="auto"/>
                    <w:right w:val="none" w:sz="0" w:space="0" w:color="auto"/>
                  </w:divBdr>
                </w:div>
                <w:div w:id="2116290699">
                  <w:marLeft w:val="0"/>
                  <w:marRight w:val="0"/>
                  <w:marTop w:val="120"/>
                  <w:marBottom w:val="0"/>
                  <w:divBdr>
                    <w:top w:val="none" w:sz="0" w:space="0" w:color="auto"/>
                    <w:left w:val="none" w:sz="0" w:space="0" w:color="auto"/>
                    <w:bottom w:val="none" w:sz="0" w:space="0" w:color="auto"/>
                    <w:right w:val="none" w:sz="0" w:space="0" w:color="auto"/>
                  </w:divBdr>
                </w:div>
              </w:divsChild>
            </w:div>
            <w:div w:id="1032457810">
              <w:marLeft w:val="0"/>
              <w:marRight w:val="0"/>
              <w:marTop w:val="0"/>
              <w:marBottom w:val="0"/>
              <w:divBdr>
                <w:top w:val="none" w:sz="0" w:space="0" w:color="auto"/>
                <w:left w:val="none" w:sz="0" w:space="0" w:color="auto"/>
                <w:bottom w:val="none" w:sz="0" w:space="0" w:color="auto"/>
                <w:right w:val="none" w:sz="0" w:space="0" w:color="auto"/>
              </w:divBdr>
              <w:divsChild>
                <w:div w:id="517155456">
                  <w:marLeft w:val="0"/>
                  <w:marRight w:val="0"/>
                  <w:marTop w:val="120"/>
                  <w:marBottom w:val="0"/>
                  <w:divBdr>
                    <w:top w:val="none" w:sz="0" w:space="0" w:color="auto"/>
                    <w:left w:val="none" w:sz="0" w:space="0" w:color="auto"/>
                    <w:bottom w:val="none" w:sz="0" w:space="0" w:color="auto"/>
                    <w:right w:val="none" w:sz="0" w:space="0" w:color="auto"/>
                  </w:divBdr>
                </w:div>
                <w:div w:id="2053383959">
                  <w:marLeft w:val="0"/>
                  <w:marRight w:val="0"/>
                  <w:marTop w:val="0"/>
                  <w:marBottom w:val="0"/>
                  <w:divBdr>
                    <w:top w:val="none" w:sz="0" w:space="0" w:color="auto"/>
                    <w:left w:val="none" w:sz="0" w:space="0" w:color="auto"/>
                    <w:bottom w:val="none" w:sz="0" w:space="0" w:color="auto"/>
                    <w:right w:val="none" w:sz="0" w:space="0" w:color="auto"/>
                  </w:divBdr>
                </w:div>
              </w:divsChild>
            </w:div>
            <w:div w:id="1117220631">
              <w:marLeft w:val="0"/>
              <w:marRight w:val="0"/>
              <w:marTop w:val="0"/>
              <w:marBottom w:val="0"/>
              <w:divBdr>
                <w:top w:val="none" w:sz="0" w:space="0" w:color="auto"/>
                <w:left w:val="none" w:sz="0" w:space="0" w:color="auto"/>
                <w:bottom w:val="none" w:sz="0" w:space="0" w:color="auto"/>
                <w:right w:val="none" w:sz="0" w:space="0" w:color="auto"/>
              </w:divBdr>
              <w:divsChild>
                <w:div w:id="251087555">
                  <w:marLeft w:val="0"/>
                  <w:marRight w:val="0"/>
                  <w:marTop w:val="0"/>
                  <w:marBottom w:val="0"/>
                  <w:divBdr>
                    <w:top w:val="none" w:sz="0" w:space="0" w:color="auto"/>
                    <w:left w:val="none" w:sz="0" w:space="0" w:color="auto"/>
                    <w:bottom w:val="none" w:sz="0" w:space="0" w:color="auto"/>
                    <w:right w:val="none" w:sz="0" w:space="0" w:color="auto"/>
                  </w:divBdr>
                </w:div>
                <w:div w:id="1989478908">
                  <w:marLeft w:val="0"/>
                  <w:marRight w:val="0"/>
                  <w:marTop w:val="120"/>
                  <w:marBottom w:val="0"/>
                  <w:divBdr>
                    <w:top w:val="none" w:sz="0" w:space="0" w:color="auto"/>
                    <w:left w:val="none" w:sz="0" w:space="0" w:color="auto"/>
                    <w:bottom w:val="none" w:sz="0" w:space="0" w:color="auto"/>
                    <w:right w:val="none" w:sz="0" w:space="0" w:color="auto"/>
                  </w:divBdr>
                </w:div>
              </w:divsChild>
            </w:div>
            <w:div w:id="1189567053">
              <w:marLeft w:val="0"/>
              <w:marRight w:val="0"/>
              <w:marTop w:val="0"/>
              <w:marBottom w:val="0"/>
              <w:divBdr>
                <w:top w:val="none" w:sz="0" w:space="0" w:color="auto"/>
                <w:left w:val="none" w:sz="0" w:space="0" w:color="auto"/>
                <w:bottom w:val="none" w:sz="0" w:space="0" w:color="auto"/>
                <w:right w:val="none" w:sz="0" w:space="0" w:color="auto"/>
              </w:divBdr>
              <w:divsChild>
                <w:div w:id="1129515007">
                  <w:marLeft w:val="0"/>
                  <w:marRight w:val="0"/>
                  <w:marTop w:val="0"/>
                  <w:marBottom w:val="0"/>
                  <w:divBdr>
                    <w:top w:val="none" w:sz="0" w:space="0" w:color="auto"/>
                    <w:left w:val="none" w:sz="0" w:space="0" w:color="auto"/>
                    <w:bottom w:val="none" w:sz="0" w:space="0" w:color="auto"/>
                    <w:right w:val="none" w:sz="0" w:space="0" w:color="auto"/>
                  </w:divBdr>
                </w:div>
                <w:div w:id="1534658052">
                  <w:marLeft w:val="0"/>
                  <w:marRight w:val="0"/>
                  <w:marTop w:val="120"/>
                  <w:marBottom w:val="0"/>
                  <w:divBdr>
                    <w:top w:val="none" w:sz="0" w:space="0" w:color="auto"/>
                    <w:left w:val="none" w:sz="0" w:space="0" w:color="auto"/>
                    <w:bottom w:val="none" w:sz="0" w:space="0" w:color="auto"/>
                    <w:right w:val="none" w:sz="0" w:space="0" w:color="auto"/>
                  </w:divBdr>
                </w:div>
              </w:divsChild>
            </w:div>
            <w:div w:id="1207180545">
              <w:marLeft w:val="0"/>
              <w:marRight w:val="0"/>
              <w:marTop w:val="0"/>
              <w:marBottom w:val="0"/>
              <w:divBdr>
                <w:top w:val="none" w:sz="0" w:space="0" w:color="auto"/>
                <w:left w:val="none" w:sz="0" w:space="0" w:color="auto"/>
                <w:bottom w:val="none" w:sz="0" w:space="0" w:color="auto"/>
                <w:right w:val="none" w:sz="0" w:space="0" w:color="auto"/>
              </w:divBdr>
              <w:divsChild>
                <w:div w:id="609897542">
                  <w:marLeft w:val="0"/>
                  <w:marRight w:val="0"/>
                  <w:marTop w:val="0"/>
                  <w:marBottom w:val="0"/>
                  <w:divBdr>
                    <w:top w:val="none" w:sz="0" w:space="0" w:color="auto"/>
                    <w:left w:val="none" w:sz="0" w:space="0" w:color="auto"/>
                    <w:bottom w:val="none" w:sz="0" w:space="0" w:color="auto"/>
                    <w:right w:val="none" w:sz="0" w:space="0" w:color="auto"/>
                  </w:divBdr>
                </w:div>
                <w:div w:id="1978100214">
                  <w:marLeft w:val="0"/>
                  <w:marRight w:val="0"/>
                  <w:marTop w:val="120"/>
                  <w:marBottom w:val="0"/>
                  <w:divBdr>
                    <w:top w:val="none" w:sz="0" w:space="0" w:color="auto"/>
                    <w:left w:val="none" w:sz="0" w:space="0" w:color="auto"/>
                    <w:bottom w:val="none" w:sz="0" w:space="0" w:color="auto"/>
                    <w:right w:val="none" w:sz="0" w:space="0" w:color="auto"/>
                  </w:divBdr>
                </w:div>
              </w:divsChild>
            </w:div>
            <w:div w:id="1271278975">
              <w:marLeft w:val="0"/>
              <w:marRight w:val="0"/>
              <w:marTop w:val="0"/>
              <w:marBottom w:val="0"/>
              <w:divBdr>
                <w:top w:val="none" w:sz="0" w:space="0" w:color="auto"/>
                <w:left w:val="none" w:sz="0" w:space="0" w:color="auto"/>
                <w:bottom w:val="none" w:sz="0" w:space="0" w:color="auto"/>
                <w:right w:val="none" w:sz="0" w:space="0" w:color="auto"/>
              </w:divBdr>
              <w:divsChild>
                <w:div w:id="629016688">
                  <w:marLeft w:val="0"/>
                  <w:marRight w:val="0"/>
                  <w:marTop w:val="0"/>
                  <w:marBottom w:val="0"/>
                  <w:divBdr>
                    <w:top w:val="none" w:sz="0" w:space="0" w:color="auto"/>
                    <w:left w:val="none" w:sz="0" w:space="0" w:color="auto"/>
                    <w:bottom w:val="none" w:sz="0" w:space="0" w:color="auto"/>
                    <w:right w:val="none" w:sz="0" w:space="0" w:color="auto"/>
                  </w:divBdr>
                </w:div>
                <w:div w:id="1215386497">
                  <w:marLeft w:val="0"/>
                  <w:marRight w:val="0"/>
                  <w:marTop w:val="120"/>
                  <w:marBottom w:val="0"/>
                  <w:divBdr>
                    <w:top w:val="none" w:sz="0" w:space="0" w:color="auto"/>
                    <w:left w:val="none" w:sz="0" w:space="0" w:color="auto"/>
                    <w:bottom w:val="none" w:sz="0" w:space="0" w:color="auto"/>
                    <w:right w:val="none" w:sz="0" w:space="0" w:color="auto"/>
                  </w:divBdr>
                </w:div>
              </w:divsChild>
            </w:div>
            <w:div w:id="1325428604">
              <w:marLeft w:val="0"/>
              <w:marRight w:val="0"/>
              <w:marTop w:val="0"/>
              <w:marBottom w:val="0"/>
              <w:divBdr>
                <w:top w:val="none" w:sz="0" w:space="0" w:color="auto"/>
                <w:left w:val="none" w:sz="0" w:space="0" w:color="auto"/>
                <w:bottom w:val="none" w:sz="0" w:space="0" w:color="auto"/>
                <w:right w:val="none" w:sz="0" w:space="0" w:color="auto"/>
              </w:divBdr>
              <w:divsChild>
                <w:div w:id="1428695605">
                  <w:marLeft w:val="0"/>
                  <w:marRight w:val="0"/>
                  <w:marTop w:val="0"/>
                  <w:marBottom w:val="0"/>
                  <w:divBdr>
                    <w:top w:val="none" w:sz="0" w:space="0" w:color="auto"/>
                    <w:left w:val="none" w:sz="0" w:space="0" w:color="auto"/>
                    <w:bottom w:val="none" w:sz="0" w:space="0" w:color="auto"/>
                    <w:right w:val="none" w:sz="0" w:space="0" w:color="auto"/>
                  </w:divBdr>
                </w:div>
                <w:div w:id="2117021421">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 w:id="1107232239">
      <w:bodyDiv w:val="1"/>
      <w:marLeft w:val="0"/>
      <w:marRight w:val="0"/>
      <w:marTop w:val="0"/>
      <w:marBottom w:val="0"/>
      <w:divBdr>
        <w:top w:val="none" w:sz="0" w:space="0" w:color="auto"/>
        <w:left w:val="none" w:sz="0" w:space="0" w:color="auto"/>
        <w:bottom w:val="none" w:sz="0" w:space="0" w:color="auto"/>
        <w:right w:val="none" w:sz="0" w:space="0" w:color="auto"/>
      </w:divBdr>
      <w:divsChild>
        <w:div w:id="945383997">
          <w:marLeft w:val="0"/>
          <w:marRight w:val="0"/>
          <w:marTop w:val="0"/>
          <w:marBottom w:val="0"/>
          <w:divBdr>
            <w:top w:val="none" w:sz="0" w:space="0" w:color="auto"/>
            <w:left w:val="none" w:sz="0" w:space="0" w:color="auto"/>
            <w:bottom w:val="none" w:sz="0" w:space="0" w:color="auto"/>
            <w:right w:val="none" w:sz="0" w:space="0" w:color="auto"/>
          </w:divBdr>
          <w:divsChild>
            <w:div w:id="1646084189">
              <w:marLeft w:val="0"/>
              <w:marRight w:val="0"/>
              <w:marTop w:val="0"/>
              <w:marBottom w:val="0"/>
              <w:divBdr>
                <w:top w:val="none" w:sz="0" w:space="0" w:color="auto"/>
                <w:left w:val="none" w:sz="0" w:space="0" w:color="auto"/>
                <w:bottom w:val="none" w:sz="0" w:space="0" w:color="auto"/>
                <w:right w:val="none" w:sz="0" w:space="0" w:color="auto"/>
              </w:divBdr>
            </w:div>
          </w:divsChild>
        </w:div>
        <w:div w:id="1851483436">
          <w:marLeft w:val="0"/>
          <w:marRight w:val="0"/>
          <w:marTop w:val="0"/>
          <w:marBottom w:val="0"/>
          <w:divBdr>
            <w:top w:val="none" w:sz="0" w:space="0" w:color="auto"/>
            <w:left w:val="none" w:sz="0" w:space="0" w:color="auto"/>
            <w:bottom w:val="none" w:sz="0" w:space="0" w:color="auto"/>
            <w:right w:val="none" w:sz="0" w:space="0" w:color="auto"/>
          </w:divBdr>
          <w:divsChild>
            <w:div w:id="1536699845">
              <w:marLeft w:val="0"/>
              <w:marRight w:val="0"/>
              <w:marTop w:val="0"/>
              <w:marBottom w:val="0"/>
              <w:divBdr>
                <w:top w:val="none" w:sz="0" w:space="0" w:color="auto"/>
                <w:left w:val="none" w:sz="0" w:space="0" w:color="auto"/>
                <w:bottom w:val="none" w:sz="0" w:space="0" w:color="auto"/>
                <w:right w:val="none" w:sz="0" w:space="0" w:color="auto"/>
              </w:divBdr>
            </w:div>
          </w:divsChild>
        </w:div>
        <w:div w:id="1873221996">
          <w:marLeft w:val="0"/>
          <w:marRight w:val="0"/>
          <w:marTop w:val="0"/>
          <w:marBottom w:val="0"/>
          <w:divBdr>
            <w:top w:val="none" w:sz="0" w:space="0" w:color="auto"/>
            <w:left w:val="none" w:sz="0" w:space="0" w:color="auto"/>
            <w:bottom w:val="none" w:sz="0" w:space="0" w:color="auto"/>
            <w:right w:val="none" w:sz="0" w:space="0" w:color="auto"/>
          </w:divBdr>
          <w:divsChild>
            <w:div w:id="1338386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0271847">
      <w:bodyDiv w:val="1"/>
      <w:marLeft w:val="0"/>
      <w:marRight w:val="0"/>
      <w:marTop w:val="0"/>
      <w:marBottom w:val="0"/>
      <w:divBdr>
        <w:top w:val="none" w:sz="0" w:space="0" w:color="auto"/>
        <w:left w:val="none" w:sz="0" w:space="0" w:color="auto"/>
        <w:bottom w:val="none" w:sz="0" w:space="0" w:color="auto"/>
        <w:right w:val="none" w:sz="0" w:space="0" w:color="auto"/>
      </w:divBdr>
      <w:divsChild>
        <w:div w:id="107043194">
          <w:marLeft w:val="0"/>
          <w:marRight w:val="0"/>
          <w:marTop w:val="0"/>
          <w:marBottom w:val="0"/>
          <w:divBdr>
            <w:top w:val="none" w:sz="0" w:space="0" w:color="auto"/>
            <w:left w:val="none" w:sz="0" w:space="0" w:color="auto"/>
            <w:bottom w:val="none" w:sz="0" w:space="0" w:color="auto"/>
            <w:right w:val="none" w:sz="0" w:space="0" w:color="auto"/>
          </w:divBdr>
          <w:divsChild>
            <w:div w:id="271595486">
              <w:marLeft w:val="0"/>
              <w:marRight w:val="0"/>
              <w:marTop w:val="0"/>
              <w:marBottom w:val="0"/>
              <w:divBdr>
                <w:top w:val="none" w:sz="0" w:space="0" w:color="auto"/>
                <w:left w:val="none" w:sz="0" w:space="0" w:color="auto"/>
                <w:bottom w:val="none" w:sz="0" w:space="0" w:color="auto"/>
                <w:right w:val="none" w:sz="0" w:space="0" w:color="auto"/>
              </w:divBdr>
              <w:divsChild>
                <w:div w:id="865365716">
                  <w:marLeft w:val="0"/>
                  <w:marRight w:val="0"/>
                  <w:marTop w:val="120"/>
                  <w:marBottom w:val="0"/>
                  <w:divBdr>
                    <w:top w:val="none" w:sz="0" w:space="0" w:color="auto"/>
                    <w:left w:val="none" w:sz="0" w:space="0" w:color="auto"/>
                    <w:bottom w:val="none" w:sz="0" w:space="0" w:color="auto"/>
                    <w:right w:val="none" w:sz="0" w:space="0" w:color="auto"/>
                  </w:divBdr>
                </w:div>
                <w:div w:id="1398749772">
                  <w:marLeft w:val="0"/>
                  <w:marRight w:val="0"/>
                  <w:marTop w:val="0"/>
                  <w:marBottom w:val="0"/>
                  <w:divBdr>
                    <w:top w:val="none" w:sz="0" w:space="0" w:color="auto"/>
                    <w:left w:val="none" w:sz="0" w:space="0" w:color="auto"/>
                    <w:bottom w:val="none" w:sz="0" w:space="0" w:color="auto"/>
                    <w:right w:val="none" w:sz="0" w:space="0" w:color="auto"/>
                  </w:divBdr>
                </w:div>
              </w:divsChild>
            </w:div>
            <w:div w:id="492450359">
              <w:marLeft w:val="0"/>
              <w:marRight w:val="0"/>
              <w:marTop w:val="0"/>
              <w:marBottom w:val="0"/>
              <w:divBdr>
                <w:top w:val="none" w:sz="0" w:space="0" w:color="auto"/>
                <w:left w:val="none" w:sz="0" w:space="0" w:color="auto"/>
                <w:bottom w:val="none" w:sz="0" w:space="0" w:color="auto"/>
                <w:right w:val="none" w:sz="0" w:space="0" w:color="auto"/>
              </w:divBdr>
              <w:divsChild>
                <w:div w:id="1597136041">
                  <w:marLeft w:val="0"/>
                  <w:marRight w:val="0"/>
                  <w:marTop w:val="120"/>
                  <w:marBottom w:val="0"/>
                  <w:divBdr>
                    <w:top w:val="none" w:sz="0" w:space="0" w:color="auto"/>
                    <w:left w:val="none" w:sz="0" w:space="0" w:color="auto"/>
                    <w:bottom w:val="none" w:sz="0" w:space="0" w:color="auto"/>
                    <w:right w:val="none" w:sz="0" w:space="0" w:color="auto"/>
                  </w:divBdr>
                </w:div>
                <w:div w:id="1802575344">
                  <w:marLeft w:val="0"/>
                  <w:marRight w:val="0"/>
                  <w:marTop w:val="0"/>
                  <w:marBottom w:val="0"/>
                  <w:divBdr>
                    <w:top w:val="none" w:sz="0" w:space="0" w:color="auto"/>
                    <w:left w:val="none" w:sz="0" w:space="0" w:color="auto"/>
                    <w:bottom w:val="none" w:sz="0" w:space="0" w:color="auto"/>
                    <w:right w:val="none" w:sz="0" w:space="0" w:color="auto"/>
                  </w:divBdr>
                </w:div>
              </w:divsChild>
            </w:div>
            <w:div w:id="673459406">
              <w:marLeft w:val="0"/>
              <w:marRight w:val="0"/>
              <w:marTop w:val="0"/>
              <w:marBottom w:val="0"/>
              <w:divBdr>
                <w:top w:val="none" w:sz="0" w:space="0" w:color="auto"/>
                <w:left w:val="none" w:sz="0" w:space="0" w:color="auto"/>
                <w:bottom w:val="none" w:sz="0" w:space="0" w:color="auto"/>
                <w:right w:val="none" w:sz="0" w:space="0" w:color="auto"/>
              </w:divBdr>
              <w:divsChild>
                <w:div w:id="252588669">
                  <w:marLeft w:val="0"/>
                  <w:marRight w:val="0"/>
                  <w:marTop w:val="120"/>
                  <w:marBottom w:val="0"/>
                  <w:divBdr>
                    <w:top w:val="none" w:sz="0" w:space="0" w:color="auto"/>
                    <w:left w:val="none" w:sz="0" w:space="0" w:color="auto"/>
                    <w:bottom w:val="none" w:sz="0" w:space="0" w:color="auto"/>
                    <w:right w:val="none" w:sz="0" w:space="0" w:color="auto"/>
                  </w:divBdr>
                </w:div>
                <w:div w:id="1826046982">
                  <w:marLeft w:val="0"/>
                  <w:marRight w:val="0"/>
                  <w:marTop w:val="0"/>
                  <w:marBottom w:val="0"/>
                  <w:divBdr>
                    <w:top w:val="none" w:sz="0" w:space="0" w:color="auto"/>
                    <w:left w:val="none" w:sz="0" w:space="0" w:color="auto"/>
                    <w:bottom w:val="none" w:sz="0" w:space="0" w:color="auto"/>
                    <w:right w:val="none" w:sz="0" w:space="0" w:color="auto"/>
                  </w:divBdr>
                </w:div>
              </w:divsChild>
            </w:div>
            <w:div w:id="856777429">
              <w:marLeft w:val="0"/>
              <w:marRight w:val="0"/>
              <w:marTop w:val="0"/>
              <w:marBottom w:val="0"/>
              <w:divBdr>
                <w:top w:val="none" w:sz="0" w:space="0" w:color="auto"/>
                <w:left w:val="none" w:sz="0" w:space="0" w:color="auto"/>
                <w:bottom w:val="none" w:sz="0" w:space="0" w:color="auto"/>
                <w:right w:val="none" w:sz="0" w:space="0" w:color="auto"/>
              </w:divBdr>
              <w:divsChild>
                <w:div w:id="1724140774">
                  <w:marLeft w:val="0"/>
                  <w:marRight w:val="0"/>
                  <w:marTop w:val="0"/>
                  <w:marBottom w:val="0"/>
                  <w:divBdr>
                    <w:top w:val="none" w:sz="0" w:space="0" w:color="auto"/>
                    <w:left w:val="none" w:sz="0" w:space="0" w:color="auto"/>
                    <w:bottom w:val="none" w:sz="0" w:space="0" w:color="auto"/>
                    <w:right w:val="none" w:sz="0" w:space="0" w:color="auto"/>
                  </w:divBdr>
                </w:div>
                <w:div w:id="1791512524">
                  <w:marLeft w:val="0"/>
                  <w:marRight w:val="0"/>
                  <w:marTop w:val="120"/>
                  <w:marBottom w:val="0"/>
                  <w:divBdr>
                    <w:top w:val="none" w:sz="0" w:space="0" w:color="auto"/>
                    <w:left w:val="none" w:sz="0" w:space="0" w:color="auto"/>
                    <w:bottom w:val="none" w:sz="0" w:space="0" w:color="auto"/>
                    <w:right w:val="none" w:sz="0" w:space="0" w:color="auto"/>
                  </w:divBdr>
                </w:div>
              </w:divsChild>
            </w:div>
            <w:div w:id="1039009575">
              <w:marLeft w:val="0"/>
              <w:marRight w:val="0"/>
              <w:marTop w:val="0"/>
              <w:marBottom w:val="0"/>
              <w:divBdr>
                <w:top w:val="none" w:sz="0" w:space="0" w:color="auto"/>
                <w:left w:val="none" w:sz="0" w:space="0" w:color="auto"/>
                <w:bottom w:val="none" w:sz="0" w:space="0" w:color="auto"/>
                <w:right w:val="none" w:sz="0" w:space="0" w:color="auto"/>
              </w:divBdr>
              <w:divsChild>
                <w:div w:id="173499664">
                  <w:marLeft w:val="0"/>
                  <w:marRight w:val="0"/>
                  <w:marTop w:val="120"/>
                  <w:marBottom w:val="0"/>
                  <w:divBdr>
                    <w:top w:val="none" w:sz="0" w:space="0" w:color="auto"/>
                    <w:left w:val="none" w:sz="0" w:space="0" w:color="auto"/>
                    <w:bottom w:val="none" w:sz="0" w:space="0" w:color="auto"/>
                    <w:right w:val="none" w:sz="0" w:space="0" w:color="auto"/>
                  </w:divBdr>
                </w:div>
                <w:div w:id="1164012897">
                  <w:marLeft w:val="0"/>
                  <w:marRight w:val="0"/>
                  <w:marTop w:val="0"/>
                  <w:marBottom w:val="0"/>
                  <w:divBdr>
                    <w:top w:val="none" w:sz="0" w:space="0" w:color="auto"/>
                    <w:left w:val="none" w:sz="0" w:space="0" w:color="auto"/>
                    <w:bottom w:val="none" w:sz="0" w:space="0" w:color="auto"/>
                    <w:right w:val="none" w:sz="0" w:space="0" w:color="auto"/>
                  </w:divBdr>
                </w:div>
              </w:divsChild>
            </w:div>
            <w:div w:id="1101608712">
              <w:marLeft w:val="0"/>
              <w:marRight w:val="0"/>
              <w:marTop w:val="0"/>
              <w:marBottom w:val="0"/>
              <w:divBdr>
                <w:top w:val="none" w:sz="0" w:space="0" w:color="auto"/>
                <w:left w:val="none" w:sz="0" w:space="0" w:color="auto"/>
                <w:bottom w:val="none" w:sz="0" w:space="0" w:color="auto"/>
                <w:right w:val="none" w:sz="0" w:space="0" w:color="auto"/>
              </w:divBdr>
              <w:divsChild>
                <w:div w:id="14156186">
                  <w:marLeft w:val="0"/>
                  <w:marRight w:val="0"/>
                  <w:marTop w:val="120"/>
                  <w:marBottom w:val="0"/>
                  <w:divBdr>
                    <w:top w:val="none" w:sz="0" w:space="0" w:color="auto"/>
                    <w:left w:val="none" w:sz="0" w:space="0" w:color="auto"/>
                    <w:bottom w:val="none" w:sz="0" w:space="0" w:color="auto"/>
                    <w:right w:val="none" w:sz="0" w:space="0" w:color="auto"/>
                  </w:divBdr>
                </w:div>
                <w:div w:id="1799226110">
                  <w:marLeft w:val="0"/>
                  <w:marRight w:val="0"/>
                  <w:marTop w:val="0"/>
                  <w:marBottom w:val="0"/>
                  <w:divBdr>
                    <w:top w:val="none" w:sz="0" w:space="0" w:color="auto"/>
                    <w:left w:val="none" w:sz="0" w:space="0" w:color="auto"/>
                    <w:bottom w:val="none" w:sz="0" w:space="0" w:color="auto"/>
                    <w:right w:val="none" w:sz="0" w:space="0" w:color="auto"/>
                  </w:divBdr>
                </w:div>
              </w:divsChild>
            </w:div>
            <w:div w:id="1196625625">
              <w:marLeft w:val="0"/>
              <w:marRight w:val="0"/>
              <w:marTop w:val="0"/>
              <w:marBottom w:val="0"/>
              <w:divBdr>
                <w:top w:val="none" w:sz="0" w:space="0" w:color="auto"/>
                <w:left w:val="none" w:sz="0" w:space="0" w:color="auto"/>
                <w:bottom w:val="none" w:sz="0" w:space="0" w:color="auto"/>
                <w:right w:val="none" w:sz="0" w:space="0" w:color="auto"/>
              </w:divBdr>
              <w:divsChild>
                <w:div w:id="174078535">
                  <w:marLeft w:val="0"/>
                  <w:marRight w:val="0"/>
                  <w:marTop w:val="0"/>
                  <w:marBottom w:val="0"/>
                  <w:divBdr>
                    <w:top w:val="none" w:sz="0" w:space="0" w:color="auto"/>
                    <w:left w:val="none" w:sz="0" w:space="0" w:color="auto"/>
                    <w:bottom w:val="none" w:sz="0" w:space="0" w:color="auto"/>
                    <w:right w:val="none" w:sz="0" w:space="0" w:color="auto"/>
                  </w:divBdr>
                </w:div>
                <w:div w:id="1743717920">
                  <w:marLeft w:val="0"/>
                  <w:marRight w:val="0"/>
                  <w:marTop w:val="120"/>
                  <w:marBottom w:val="0"/>
                  <w:divBdr>
                    <w:top w:val="none" w:sz="0" w:space="0" w:color="auto"/>
                    <w:left w:val="none" w:sz="0" w:space="0" w:color="auto"/>
                    <w:bottom w:val="none" w:sz="0" w:space="0" w:color="auto"/>
                    <w:right w:val="none" w:sz="0" w:space="0" w:color="auto"/>
                  </w:divBdr>
                </w:div>
              </w:divsChild>
            </w:div>
            <w:div w:id="1480540425">
              <w:marLeft w:val="0"/>
              <w:marRight w:val="0"/>
              <w:marTop w:val="0"/>
              <w:marBottom w:val="0"/>
              <w:divBdr>
                <w:top w:val="none" w:sz="0" w:space="0" w:color="auto"/>
                <w:left w:val="none" w:sz="0" w:space="0" w:color="auto"/>
                <w:bottom w:val="none" w:sz="0" w:space="0" w:color="auto"/>
                <w:right w:val="none" w:sz="0" w:space="0" w:color="auto"/>
              </w:divBdr>
              <w:divsChild>
                <w:div w:id="1426073328">
                  <w:marLeft w:val="0"/>
                  <w:marRight w:val="0"/>
                  <w:marTop w:val="120"/>
                  <w:marBottom w:val="0"/>
                  <w:divBdr>
                    <w:top w:val="none" w:sz="0" w:space="0" w:color="auto"/>
                    <w:left w:val="none" w:sz="0" w:space="0" w:color="auto"/>
                    <w:bottom w:val="none" w:sz="0" w:space="0" w:color="auto"/>
                    <w:right w:val="none" w:sz="0" w:space="0" w:color="auto"/>
                  </w:divBdr>
                </w:div>
                <w:div w:id="1798327984">
                  <w:marLeft w:val="0"/>
                  <w:marRight w:val="0"/>
                  <w:marTop w:val="0"/>
                  <w:marBottom w:val="0"/>
                  <w:divBdr>
                    <w:top w:val="none" w:sz="0" w:space="0" w:color="auto"/>
                    <w:left w:val="none" w:sz="0" w:space="0" w:color="auto"/>
                    <w:bottom w:val="none" w:sz="0" w:space="0" w:color="auto"/>
                    <w:right w:val="none" w:sz="0" w:space="0" w:color="auto"/>
                  </w:divBdr>
                </w:div>
              </w:divsChild>
            </w:div>
            <w:div w:id="1612587743">
              <w:marLeft w:val="0"/>
              <w:marRight w:val="0"/>
              <w:marTop w:val="0"/>
              <w:marBottom w:val="0"/>
              <w:divBdr>
                <w:top w:val="none" w:sz="0" w:space="0" w:color="auto"/>
                <w:left w:val="none" w:sz="0" w:space="0" w:color="auto"/>
                <w:bottom w:val="none" w:sz="0" w:space="0" w:color="auto"/>
                <w:right w:val="none" w:sz="0" w:space="0" w:color="auto"/>
              </w:divBdr>
              <w:divsChild>
                <w:div w:id="6031070">
                  <w:marLeft w:val="0"/>
                  <w:marRight w:val="0"/>
                  <w:marTop w:val="120"/>
                  <w:marBottom w:val="0"/>
                  <w:divBdr>
                    <w:top w:val="none" w:sz="0" w:space="0" w:color="auto"/>
                    <w:left w:val="none" w:sz="0" w:space="0" w:color="auto"/>
                    <w:bottom w:val="none" w:sz="0" w:space="0" w:color="auto"/>
                    <w:right w:val="none" w:sz="0" w:space="0" w:color="auto"/>
                  </w:divBdr>
                </w:div>
                <w:div w:id="179660229">
                  <w:marLeft w:val="0"/>
                  <w:marRight w:val="0"/>
                  <w:marTop w:val="0"/>
                  <w:marBottom w:val="0"/>
                  <w:divBdr>
                    <w:top w:val="none" w:sz="0" w:space="0" w:color="auto"/>
                    <w:left w:val="none" w:sz="0" w:space="0" w:color="auto"/>
                    <w:bottom w:val="none" w:sz="0" w:space="0" w:color="auto"/>
                    <w:right w:val="none" w:sz="0" w:space="0" w:color="auto"/>
                  </w:divBdr>
                </w:div>
              </w:divsChild>
            </w:div>
            <w:div w:id="1770924034">
              <w:marLeft w:val="0"/>
              <w:marRight w:val="0"/>
              <w:marTop w:val="0"/>
              <w:marBottom w:val="0"/>
              <w:divBdr>
                <w:top w:val="none" w:sz="0" w:space="0" w:color="auto"/>
                <w:left w:val="none" w:sz="0" w:space="0" w:color="auto"/>
                <w:bottom w:val="none" w:sz="0" w:space="0" w:color="auto"/>
                <w:right w:val="none" w:sz="0" w:space="0" w:color="auto"/>
              </w:divBdr>
              <w:divsChild>
                <w:div w:id="1076131427">
                  <w:marLeft w:val="0"/>
                  <w:marRight w:val="0"/>
                  <w:marTop w:val="0"/>
                  <w:marBottom w:val="0"/>
                  <w:divBdr>
                    <w:top w:val="none" w:sz="0" w:space="0" w:color="auto"/>
                    <w:left w:val="none" w:sz="0" w:space="0" w:color="auto"/>
                    <w:bottom w:val="none" w:sz="0" w:space="0" w:color="auto"/>
                    <w:right w:val="none" w:sz="0" w:space="0" w:color="auto"/>
                  </w:divBdr>
                </w:div>
                <w:div w:id="1377856147">
                  <w:marLeft w:val="0"/>
                  <w:marRight w:val="0"/>
                  <w:marTop w:val="120"/>
                  <w:marBottom w:val="0"/>
                  <w:divBdr>
                    <w:top w:val="none" w:sz="0" w:space="0" w:color="auto"/>
                    <w:left w:val="none" w:sz="0" w:space="0" w:color="auto"/>
                    <w:bottom w:val="none" w:sz="0" w:space="0" w:color="auto"/>
                    <w:right w:val="none" w:sz="0" w:space="0" w:color="auto"/>
                  </w:divBdr>
                </w:div>
              </w:divsChild>
            </w:div>
            <w:div w:id="1889413173">
              <w:marLeft w:val="0"/>
              <w:marRight w:val="0"/>
              <w:marTop w:val="0"/>
              <w:marBottom w:val="0"/>
              <w:divBdr>
                <w:top w:val="none" w:sz="0" w:space="0" w:color="auto"/>
                <w:left w:val="none" w:sz="0" w:space="0" w:color="auto"/>
                <w:bottom w:val="none" w:sz="0" w:space="0" w:color="auto"/>
                <w:right w:val="none" w:sz="0" w:space="0" w:color="auto"/>
              </w:divBdr>
              <w:divsChild>
                <w:div w:id="353532586">
                  <w:marLeft w:val="0"/>
                  <w:marRight w:val="0"/>
                  <w:marTop w:val="0"/>
                  <w:marBottom w:val="0"/>
                  <w:divBdr>
                    <w:top w:val="none" w:sz="0" w:space="0" w:color="auto"/>
                    <w:left w:val="none" w:sz="0" w:space="0" w:color="auto"/>
                    <w:bottom w:val="none" w:sz="0" w:space="0" w:color="auto"/>
                    <w:right w:val="none" w:sz="0" w:space="0" w:color="auto"/>
                  </w:divBdr>
                </w:div>
                <w:div w:id="646669129">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 w:id="1183009004">
      <w:bodyDiv w:val="1"/>
      <w:marLeft w:val="0"/>
      <w:marRight w:val="0"/>
      <w:marTop w:val="0"/>
      <w:marBottom w:val="0"/>
      <w:divBdr>
        <w:top w:val="none" w:sz="0" w:space="0" w:color="auto"/>
        <w:left w:val="none" w:sz="0" w:space="0" w:color="auto"/>
        <w:bottom w:val="none" w:sz="0" w:space="0" w:color="auto"/>
        <w:right w:val="none" w:sz="0" w:space="0" w:color="auto"/>
      </w:divBdr>
      <w:divsChild>
        <w:div w:id="16738907">
          <w:marLeft w:val="0"/>
          <w:marRight w:val="0"/>
          <w:marTop w:val="0"/>
          <w:marBottom w:val="0"/>
          <w:divBdr>
            <w:top w:val="none" w:sz="0" w:space="0" w:color="auto"/>
            <w:left w:val="none" w:sz="0" w:space="0" w:color="auto"/>
            <w:bottom w:val="none" w:sz="0" w:space="0" w:color="auto"/>
            <w:right w:val="none" w:sz="0" w:space="0" w:color="auto"/>
          </w:divBdr>
        </w:div>
      </w:divsChild>
    </w:div>
    <w:div w:id="1308433726">
      <w:bodyDiv w:val="1"/>
      <w:marLeft w:val="0"/>
      <w:marRight w:val="0"/>
      <w:marTop w:val="0"/>
      <w:marBottom w:val="0"/>
      <w:divBdr>
        <w:top w:val="none" w:sz="0" w:space="0" w:color="auto"/>
        <w:left w:val="none" w:sz="0" w:space="0" w:color="auto"/>
        <w:bottom w:val="none" w:sz="0" w:space="0" w:color="auto"/>
        <w:right w:val="none" w:sz="0" w:space="0" w:color="auto"/>
      </w:divBdr>
      <w:divsChild>
        <w:div w:id="1179153317">
          <w:marLeft w:val="0"/>
          <w:marRight w:val="0"/>
          <w:marTop w:val="0"/>
          <w:marBottom w:val="0"/>
          <w:divBdr>
            <w:top w:val="none" w:sz="0" w:space="0" w:color="auto"/>
            <w:left w:val="none" w:sz="0" w:space="0" w:color="auto"/>
            <w:bottom w:val="none" w:sz="0" w:space="0" w:color="auto"/>
            <w:right w:val="none" w:sz="0" w:space="0" w:color="auto"/>
          </w:divBdr>
          <w:divsChild>
            <w:div w:id="319509355">
              <w:marLeft w:val="0"/>
              <w:marRight w:val="0"/>
              <w:marTop w:val="0"/>
              <w:marBottom w:val="0"/>
              <w:divBdr>
                <w:top w:val="none" w:sz="0" w:space="0" w:color="auto"/>
                <w:left w:val="none" w:sz="0" w:space="0" w:color="auto"/>
                <w:bottom w:val="none" w:sz="0" w:space="0" w:color="auto"/>
                <w:right w:val="none" w:sz="0" w:space="0" w:color="auto"/>
              </w:divBdr>
            </w:div>
            <w:div w:id="842427347">
              <w:marLeft w:val="0"/>
              <w:marRight w:val="0"/>
              <w:marTop w:val="120"/>
              <w:marBottom w:val="0"/>
              <w:divBdr>
                <w:top w:val="none" w:sz="0" w:space="0" w:color="auto"/>
                <w:left w:val="none" w:sz="0" w:space="0" w:color="auto"/>
                <w:bottom w:val="none" w:sz="0" w:space="0" w:color="auto"/>
                <w:right w:val="none" w:sz="0" w:space="0" w:color="auto"/>
              </w:divBdr>
            </w:div>
          </w:divsChild>
        </w:div>
        <w:div w:id="2070881558">
          <w:marLeft w:val="0"/>
          <w:marRight w:val="0"/>
          <w:marTop w:val="0"/>
          <w:marBottom w:val="0"/>
          <w:divBdr>
            <w:top w:val="none" w:sz="0" w:space="0" w:color="auto"/>
            <w:left w:val="none" w:sz="0" w:space="0" w:color="auto"/>
            <w:bottom w:val="none" w:sz="0" w:space="0" w:color="auto"/>
            <w:right w:val="none" w:sz="0" w:space="0" w:color="auto"/>
          </w:divBdr>
          <w:divsChild>
            <w:div w:id="476648359">
              <w:marLeft w:val="0"/>
              <w:marRight w:val="0"/>
              <w:marTop w:val="120"/>
              <w:marBottom w:val="0"/>
              <w:divBdr>
                <w:top w:val="none" w:sz="0" w:space="0" w:color="auto"/>
                <w:left w:val="none" w:sz="0" w:space="0" w:color="auto"/>
                <w:bottom w:val="none" w:sz="0" w:space="0" w:color="auto"/>
                <w:right w:val="none" w:sz="0" w:space="0" w:color="auto"/>
              </w:divBdr>
            </w:div>
            <w:div w:id="185391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6438849">
      <w:bodyDiv w:val="1"/>
      <w:marLeft w:val="0"/>
      <w:marRight w:val="0"/>
      <w:marTop w:val="0"/>
      <w:marBottom w:val="0"/>
      <w:divBdr>
        <w:top w:val="none" w:sz="0" w:space="0" w:color="auto"/>
        <w:left w:val="none" w:sz="0" w:space="0" w:color="auto"/>
        <w:bottom w:val="none" w:sz="0" w:space="0" w:color="auto"/>
        <w:right w:val="none" w:sz="0" w:space="0" w:color="auto"/>
      </w:divBdr>
    </w:div>
    <w:div w:id="1561555016">
      <w:bodyDiv w:val="1"/>
      <w:marLeft w:val="0"/>
      <w:marRight w:val="0"/>
      <w:marTop w:val="0"/>
      <w:marBottom w:val="0"/>
      <w:divBdr>
        <w:top w:val="none" w:sz="0" w:space="0" w:color="auto"/>
        <w:left w:val="none" w:sz="0" w:space="0" w:color="auto"/>
        <w:bottom w:val="none" w:sz="0" w:space="0" w:color="auto"/>
        <w:right w:val="none" w:sz="0" w:space="0" w:color="auto"/>
      </w:divBdr>
      <w:divsChild>
        <w:div w:id="2025129560">
          <w:marLeft w:val="0"/>
          <w:marRight w:val="0"/>
          <w:marTop w:val="0"/>
          <w:marBottom w:val="0"/>
          <w:divBdr>
            <w:top w:val="none" w:sz="0" w:space="0" w:color="auto"/>
            <w:left w:val="none" w:sz="0" w:space="0" w:color="auto"/>
            <w:bottom w:val="none" w:sz="0" w:space="0" w:color="auto"/>
            <w:right w:val="none" w:sz="0" w:space="0" w:color="auto"/>
          </w:divBdr>
        </w:div>
      </w:divsChild>
    </w:div>
    <w:div w:id="1570573051">
      <w:bodyDiv w:val="1"/>
      <w:marLeft w:val="0"/>
      <w:marRight w:val="0"/>
      <w:marTop w:val="0"/>
      <w:marBottom w:val="0"/>
      <w:divBdr>
        <w:top w:val="none" w:sz="0" w:space="0" w:color="auto"/>
        <w:left w:val="none" w:sz="0" w:space="0" w:color="auto"/>
        <w:bottom w:val="none" w:sz="0" w:space="0" w:color="auto"/>
        <w:right w:val="none" w:sz="0" w:space="0" w:color="auto"/>
      </w:divBdr>
      <w:divsChild>
        <w:div w:id="70087821">
          <w:marLeft w:val="0"/>
          <w:marRight w:val="0"/>
          <w:marTop w:val="0"/>
          <w:marBottom w:val="0"/>
          <w:divBdr>
            <w:top w:val="none" w:sz="0" w:space="0" w:color="auto"/>
            <w:left w:val="none" w:sz="0" w:space="0" w:color="auto"/>
            <w:bottom w:val="none" w:sz="0" w:space="0" w:color="auto"/>
            <w:right w:val="none" w:sz="0" w:space="0" w:color="auto"/>
          </w:divBdr>
        </w:div>
      </w:divsChild>
    </w:div>
    <w:div w:id="1646470610">
      <w:bodyDiv w:val="1"/>
      <w:marLeft w:val="0"/>
      <w:marRight w:val="0"/>
      <w:marTop w:val="0"/>
      <w:marBottom w:val="0"/>
      <w:divBdr>
        <w:top w:val="none" w:sz="0" w:space="0" w:color="auto"/>
        <w:left w:val="none" w:sz="0" w:space="0" w:color="auto"/>
        <w:bottom w:val="none" w:sz="0" w:space="0" w:color="auto"/>
        <w:right w:val="none" w:sz="0" w:space="0" w:color="auto"/>
      </w:divBdr>
      <w:divsChild>
        <w:div w:id="290984720">
          <w:marLeft w:val="0"/>
          <w:marRight w:val="0"/>
          <w:marTop w:val="0"/>
          <w:marBottom w:val="0"/>
          <w:divBdr>
            <w:top w:val="none" w:sz="0" w:space="0" w:color="auto"/>
            <w:left w:val="none" w:sz="0" w:space="0" w:color="auto"/>
            <w:bottom w:val="none" w:sz="0" w:space="0" w:color="auto"/>
            <w:right w:val="none" w:sz="0" w:space="0" w:color="auto"/>
          </w:divBdr>
        </w:div>
      </w:divsChild>
    </w:div>
    <w:div w:id="1797869654">
      <w:bodyDiv w:val="1"/>
      <w:marLeft w:val="0"/>
      <w:marRight w:val="0"/>
      <w:marTop w:val="0"/>
      <w:marBottom w:val="0"/>
      <w:divBdr>
        <w:top w:val="none" w:sz="0" w:space="0" w:color="auto"/>
        <w:left w:val="none" w:sz="0" w:space="0" w:color="auto"/>
        <w:bottom w:val="none" w:sz="0" w:space="0" w:color="auto"/>
        <w:right w:val="none" w:sz="0" w:space="0" w:color="auto"/>
      </w:divBdr>
      <w:divsChild>
        <w:div w:id="569467527">
          <w:marLeft w:val="0"/>
          <w:marRight w:val="0"/>
          <w:marTop w:val="0"/>
          <w:marBottom w:val="0"/>
          <w:divBdr>
            <w:top w:val="none" w:sz="0" w:space="0" w:color="auto"/>
            <w:left w:val="none" w:sz="0" w:space="0" w:color="auto"/>
            <w:bottom w:val="none" w:sz="0" w:space="0" w:color="auto"/>
            <w:right w:val="none" w:sz="0" w:space="0" w:color="auto"/>
          </w:divBdr>
        </w:div>
      </w:divsChild>
    </w:div>
    <w:div w:id="1837529487">
      <w:bodyDiv w:val="1"/>
      <w:marLeft w:val="0"/>
      <w:marRight w:val="0"/>
      <w:marTop w:val="0"/>
      <w:marBottom w:val="0"/>
      <w:divBdr>
        <w:top w:val="none" w:sz="0" w:space="0" w:color="auto"/>
        <w:left w:val="none" w:sz="0" w:space="0" w:color="auto"/>
        <w:bottom w:val="none" w:sz="0" w:space="0" w:color="auto"/>
        <w:right w:val="none" w:sz="0" w:space="0" w:color="auto"/>
      </w:divBdr>
      <w:divsChild>
        <w:div w:id="1181239563">
          <w:marLeft w:val="0"/>
          <w:marRight w:val="0"/>
          <w:marTop w:val="0"/>
          <w:marBottom w:val="0"/>
          <w:divBdr>
            <w:top w:val="none" w:sz="0" w:space="0" w:color="auto"/>
            <w:left w:val="none" w:sz="0" w:space="0" w:color="auto"/>
            <w:bottom w:val="none" w:sz="0" w:space="0" w:color="auto"/>
            <w:right w:val="none" w:sz="0" w:space="0" w:color="auto"/>
          </w:divBdr>
          <w:divsChild>
            <w:div w:id="514997301">
              <w:marLeft w:val="0"/>
              <w:marRight w:val="0"/>
              <w:marTop w:val="0"/>
              <w:marBottom w:val="0"/>
              <w:divBdr>
                <w:top w:val="none" w:sz="0" w:space="0" w:color="auto"/>
                <w:left w:val="none" w:sz="0" w:space="0" w:color="auto"/>
                <w:bottom w:val="none" w:sz="0" w:space="0" w:color="auto"/>
                <w:right w:val="none" w:sz="0" w:space="0" w:color="auto"/>
              </w:divBdr>
            </w:div>
            <w:div w:id="1319723703">
              <w:marLeft w:val="0"/>
              <w:marRight w:val="0"/>
              <w:marTop w:val="120"/>
              <w:marBottom w:val="0"/>
              <w:divBdr>
                <w:top w:val="none" w:sz="0" w:space="0" w:color="auto"/>
                <w:left w:val="none" w:sz="0" w:space="0" w:color="auto"/>
                <w:bottom w:val="none" w:sz="0" w:space="0" w:color="auto"/>
                <w:right w:val="none" w:sz="0" w:space="0" w:color="auto"/>
              </w:divBdr>
            </w:div>
          </w:divsChild>
        </w:div>
        <w:div w:id="1211764850">
          <w:marLeft w:val="0"/>
          <w:marRight w:val="0"/>
          <w:marTop w:val="0"/>
          <w:marBottom w:val="0"/>
          <w:divBdr>
            <w:top w:val="none" w:sz="0" w:space="0" w:color="auto"/>
            <w:left w:val="none" w:sz="0" w:space="0" w:color="auto"/>
            <w:bottom w:val="none" w:sz="0" w:space="0" w:color="auto"/>
            <w:right w:val="none" w:sz="0" w:space="0" w:color="auto"/>
          </w:divBdr>
          <w:divsChild>
            <w:div w:id="798256928">
              <w:marLeft w:val="0"/>
              <w:marRight w:val="0"/>
              <w:marTop w:val="0"/>
              <w:marBottom w:val="0"/>
              <w:divBdr>
                <w:top w:val="none" w:sz="0" w:space="0" w:color="auto"/>
                <w:left w:val="none" w:sz="0" w:space="0" w:color="auto"/>
                <w:bottom w:val="none" w:sz="0" w:space="0" w:color="auto"/>
                <w:right w:val="none" w:sz="0" w:space="0" w:color="auto"/>
              </w:divBdr>
            </w:div>
            <w:div w:id="1480346841">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 w:id="2114200943">
      <w:bodyDiv w:val="1"/>
      <w:marLeft w:val="0"/>
      <w:marRight w:val="0"/>
      <w:marTop w:val="0"/>
      <w:marBottom w:val="0"/>
      <w:divBdr>
        <w:top w:val="none" w:sz="0" w:space="0" w:color="auto"/>
        <w:left w:val="none" w:sz="0" w:space="0" w:color="auto"/>
        <w:bottom w:val="none" w:sz="0" w:space="0" w:color="auto"/>
        <w:right w:val="none" w:sz="0" w:space="0" w:color="auto"/>
      </w:divBdr>
      <w:divsChild>
        <w:div w:id="749280558">
          <w:marLeft w:val="0"/>
          <w:marRight w:val="0"/>
          <w:marTop w:val="0"/>
          <w:marBottom w:val="0"/>
          <w:divBdr>
            <w:top w:val="none" w:sz="0" w:space="0" w:color="auto"/>
            <w:left w:val="none" w:sz="0" w:space="0" w:color="auto"/>
            <w:bottom w:val="none" w:sz="0" w:space="0" w:color="auto"/>
            <w:right w:val="none" w:sz="0" w:space="0" w:color="auto"/>
          </w:divBdr>
        </w:div>
      </w:divsChild>
    </w:div>
    <w:div w:id="2140880613">
      <w:bodyDiv w:val="1"/>
      <w:marLeft w:val="0"/>
      <w:marRight w:val="0"/>
      <w:marTop w:val="0"/>
      <w:marBottom w:val="0"/>
      <w:divBdr>
        <w:top w:val="none" w:sz="0" w:space="0" w:color="auto"/>
        <w:left w:val="none" w:sz="0" w:space="0" w:color="auto"/>
        <w:bottom w:val="none" w:sz="0" w:space="0" w:color="auto"/>
        <w:right w:val="none" w:sz="0" w:space="0" w:color="auto"/>
      </w:divBdr>
      <w:divsChild>
        <w:div w:id="220019830">
          <w:marLeft w:val="0"/>
          <w:marRight w:val="0"/>
          <w:marTop w:val="0"/>
          <w:marBottom w:val="0"/>
          <w:divBdr>
            <w:top w:val="none" w:sz="0" w:space="0" w:color="auto"/>
            <w:left w:val="none" w:sz="0" w:space="0" w:color="auto"/>
            <w:bottom w:val="none" w:sz="0" w:space="0" w:color="auto"/>
            <w:right w:val="none" w:sz="0" w:space="0" w:color="auto"/>
          </w:divBdr>
        </w:div>
        <w:div w:id="258026959">
          <w:marLeft w:val="0"/>
          <w:marRight w:val="0"/>
          <w:marTop w:val="0"/>
          <w:marBottom w:val="0"/>
          <w:divBdr>
            <w:top w:val="none" w:sz="0" w:space="0" w:color="auto"/>
            <w:left w:val="none" w:sz="0" w:space="0" w:color="auto"/>
            <w:bottom w:val="none" w:sz="0" w:space="0" w:color="auto"/>
            <w:right w:val="none" w:sz="0" w:space="0" w:color="auto"/>
          </w:divBdr>
        </w:div>
        <w:div w:id="7805346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Abbr="pr." Title="ATITIKTIES LENTELĖ" DocPartId="2089a10e294249ab8a1361deb2998826" PartId="ee2570407af045b78e22082109916649"/>
</Parts>
</file>

<file path=customXml/itemProps1.xml><?xml version="1.0" encoding="utf-8"?>
<ds:datastoreItem xmlns:ds="http://schemas.openxmlformats.org/officeDocument/2006/customXml" ds:itemID="{515AD4EC-0F5F-40C3-AE30-E30AD207E204}">
  <ds:schemaRefs>
    <ds:schemaRef ds:uri="http://schemas.openxmlformats.org/officeDocument/2006/bibliography"/>
  </ds:schemaRefs>
</ds:datastoreItem>
</file>

<file path=customXml/itemProps2.xml><?xml version="1.0" encoding="utf-8"?>
<ds:datastoreItem xmlns:ds="http://schemas.openxmlformats.org/officeDocument/2006/customXml" ds:itemID="{B57EF5DC-5558-4583-B740-CF231FB4A30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2932</Words>
  <Characters>18772</Characters>
  <Application>Microsoft Office Word</Application>
  <DocSecurity>4</DocSecurity>
  <Lines>335</Lines>
  <Paragraphs>149</Paragraphs>
  <ScaleCrop>false</ScaleCrop>
  <Company>Lietuvos Respublikos energetikos ministerija</Company>
  <LinksUpToDate>false</LinksUpToDate>
  <CharactersWithSpaces>21555</CharactersWithSpaces>
  <SharedDoc>false</SharedDoc>
  <HyperlinkBase/>
  <HLinks>
    <vt:vector size="12" baseType="variant">
      <vt:variant>
        <vt:i4>655478</vt:i4>
      </vt:variant>
      <vt:variant>
        <vt:i4>3</vt:i4>
      </vt:variant>
      <vt:variant>
        <vt:i4>0</vt:i4>
      </vt:variant>
      <vt:variant>
        <vt:i4>5</vt:i4>
      </vt:variant>
      <vt:variant>
        <vt:lpwstr>https://eur-lex.europa.eu/legal-content/LT/TXT/HTML/?uri=OJ:L_202302831</vt:lpwstr>
      </vt:variant>
      <vt:variant>
        <vt:lpwstr/>
      </vt:variant>
      <vt:variant>
        <vt:i4>3604596</vt:i4>
      </vt:variant>
      <vt:variant>
        <vt:i4>0</vt:i4>
      </vt:variant>
      <vt:variant>
        <vt:i4>0</vt:i4>
      </vt:variant>
      <vt:variant>
        <vt:i4>5</vt:i4>
      </vt:variant>
      <vt:variant>
        <vt:lpwstr>https://e-seimas.lrs.lt/portal/legalAct/lt/TAD/TAIS.241010/asr</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2026-07-10T12:13:00Z</dcterms:created>
  <dc:creator>Algirdas Petkevičius</dc:creator>
  <lastModifiedBy>adlibuser</lastModifiedBy>
  <dcterms:modified xsi:type="dcterms:W3CDTF">2026-07-10T12:13:00Z</dcterms:modified>
  <revision>2</revision>
</coreProperties>
</file>