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970989f1b3e4a3699fb9609d1d7b6c9"/>
        <w:lock w:val="sdtLocked"/>
        <w:richText/>
      </w:sdtPr>
      <w:sdtContent>
        <w:p w14:paraId="165EB175" w14:textId="77777777">
          <w:pPr>
            <w:tabs>
              <w:tab w:val="center" w:pos="4153"/>
              <w:tab w:val="right" w:pos="8306"/>
            </w:tabs>
            <w:jc w:val="right"/>
          </w:pPr>
        </w:p>
        <w:p w14:paraId="49CA93EB" w14:textId="77777777">
          <w:pPr>
            <w:tabs>
              <w:tab w:val="center" w:pos="4153"/>
              <w:tab w:val="right" w:pos="8306"/>
            </w:tabs>
            <w:jc w:val="right"/>
          </w:pPr>
        </w:p>
        <w:p w14:paraId="4B7694AB" w14:textId="21D18E1E">
          <w:pPr>
            <w:rPr>
              <w:b/>
              <w:bCs/>
            </w:rPr>
          </w:pPr>
        </w:p>
        <w:p w14:paraId="42A5F668" w14:textId="77777777">
          <w:pPr>
            <w:jc w:val="center"/>
            <w:rPr>
              <w:b/>
              <w:bCs/>
            </w:rPr>
          </w:pPr>
          <w:r>
            <w:rPr>
              <w:b/>
              <w:bCs/>
            </w:rPr>
            <w:t>ŠIAULIŲ MIESTO SAVIVALDYBĖS ADMINISTRACIJOS</w:t>
          </w:r>
        </w:p>
        <w:sdt>
          <w:sdtPr>
            <w:alias w:val="skyrius"/>
            <w:tag w:val="part_c7ee112e7f1044cf95f9d74e3531e2a7"/>
            <w:lock w:val="sdtLocked"/>
            <w:richText/>
          </w:sdtPr>
          <w:sdtContent>
            <w:p w14:paraId="42A5F66A" w14:textId="77777777">
              <w:pPr>
                <w:jc w:val="center"/>
                <w:rPr>
                  <w:b/>
                  <w:bCs/>
                </w:rPr>
              </w:pPr>
              <w:r>
                <w:rPr>
                  <w:b/>
                  <w:bCs/>
                </w:rPr>
                <w:t>STRATEGINIO PLANAVIMO IR FINANSŲ SKYRIUS</w:t>
              </w:r>
            </w:p>
            <w:p w14:paraId="42A5F66B" w14:textId="77777777">
              <w:pPr>
                <w:jc w:val="center"/>
                <w:rPr>
                  <w:b/>
                  <w:bCs/>
                </w:rPr>
              </w:pPr>
            </w:p>
            <w:sdt>
              <w:sdtPr>
                <w:alias w:val="Pavadinimas"/>
                <w:tag w:val="title_c7ee112e7f1044cf95f9d74e3531e2a7"/>
                <w:lock w:val="sdtLocked"/>
                <w:richText/>
              </w:sdtPr>
              <w:sdtContent>
                <w:p w14:paraId="42A5F66C" w14:textId="0D011DE2">
                  <w:pPr>
                    <w:keepNext/>
                    <w:jc w:val="center"/>
                    <w:rPr>
                      <w:b/>
                      <w:bCs/>
                      <w:lang w:eastAsia="x-none"/>
                    </w:rPr>
                  </w:pPr>
                  <w:r>
                    <w:rPr>
                      <w:b/>
                      <w:bCs/>
                      <w:lang w:val="x-none" w:eastAsia="x-none"/>
                    </w:rPr>
                    <w:t>SPRENDIMO „</w:t>
                  </w:r>
                  <w:r>
                    <w:rPr>
                      <w:b/>
                      <w:bCs/>
                      <w:lang w:eastAsia="x-none"/>
                    </w:rPr>
                    <w:t xml:space="preserve">DĖL </w:t>
                  </w:r>
                  <w:r>
                    <w:rPr>
                      <w:b/>
                      <w:bCs/>
                      <w:lang w:val="x-none" w:eastAsia="x-none"/>
                    </w:rPr>
                    <w:t>ŠIAULIŲ MIESTO SAVIVALDYBĖS TARYB</w:t>
                  </w:r>
                  <w:r>
                    <w:rPr>
                      <w:b/>
                      <w:bCs/>
                      <w:lang w:eastAsia="x-none"/>
                    </w:rPr>
                    <w:t xml:space="preserve">OS 2023 M. VASARIO </w:t>
                  </w:r>
                </w:p>
                <w:p w14:paraId="42A5F66D" w14:textId="74F250E5">
                  <w:pPr>
                    <w:keepNext/>
                    <w:jc w:val="center"/>
                    <w:rPr>
                      <w:b/>
                      <w:bCs/>
                      <w:lang w:eastAsia="x-none"/>
                    </w:rPr>
                  </w:pPr>
                  <w:r>
                    <w:rPr>
                      <w:b/>
                      <w:bCs/>
                      <w:lang w:eastAsia="x-none"/>
                    </w:rPr>
                    <w:t>2 D. SPRENDIMO NR. T-2 „DĖL</w:t>
                  </w:r>
                  <w:r>
                    <w:rPr>
                      <w:b/>
                      <w:bCs/>
                      <w:lang w:val="x-none" w:eastAsia="x-none"/>
                    </w:rPr>
                    <w:t xml:space="preserve"> ŠIAULIŲ MIESTO SAVIVALDYBĖS 20</w:t>
                  </w:r>
                  <w:r>
                    <w:rPr>
                      <w:b/>
                      <w:bCs/>
                      <w:lang w:eastAsia="x-none"/>
                    </w:rPr>
                    <w:t>23</w:t>
                  </w:r>
                  <w:r>
                    <w:rPr>
                      <w:b/>
                      <w:bCs/>
                      <w:lang w:val="x-none" w:eastAsia="x-none"/>
                    </w:rPr>
                    <w:t xml:space="preserve"> METŲ BIUDŽETO PATVIRTINIMO</w:t>
                  </w:r>
                  <w:r>
                    <w:rPr>
                      <w:b/>
                      <w:bCs/>
                      <w:lang w:eastAsia="x-none"/>
                    </w:rPr>
                    <w:t>“ PAKEITIMO</w:t>
                  </w:r>
                  <w:r>
                    <w:rPr>
                      <w:b/>
                      <w:bCs/>
                      <w:lang w:val="x-none" w:eastAsia="x-none"/>
                    </w:rPr>
                    <w:t>“ PROJEKTO</w:t>
                  </w:r>
                </w:p>
                <w:p w14:paraId="42A5F66E" w14:textId="77777777">
                  <w:pPr>
                    <w:jc w:val="center"/>
                    <w:rPr>
                      <w:b/>
                      <w:bCs/>
                    </w:rPr>
                  </w:pPr>
                  <w:r>
                    <w:rPr>
                      <w:b/>
                      <w:bCs/>
                    </w:rPr>
                    <w:t>AIŠKINAMASIS RAŠTAS</w:t>
                  </w:r>
                </w:p>
              </w:sdtContent>
            </w:sdt>
            <w:p w14:paraId="42A5F66F" w14:textId="77777777">
              <w:pPr>
                <w:jc w:val="center"/>
                <w:rPr>
                  <w:b/>
                  <w:bCs/>
                </w:rPr>
              </w:pPr>
            </w:p>
            <w:p w14:paraId="40F8CC9F" w14:textId="665A0354">
              <w:pPr>
                <w:jc w:val="center"/>
              </w:pPr>
              <w:r>
                <w:t xml:space="preserve">2023-06-22          </w:t>
              </w:r>
            </w:p>
            <w:p w14:paraId="42A5F671" w14:textId="23CED36B">
              <w:pPr>
                <w:jc w:val="center"/>
                <w:rPr>
                  <w:szCs w:val="24"/>
                </w:rPr>
              </w:pPr>
              <w:r>
                <w:rPr>
                  <w:szCs w:val="24"/>
                </w:rPr>
                <w:t>Šiauliai</w:t>
              </w:r>
            </w:p>
            <w:p w14:paraId="42A5F674" w14:textId="01C25392">
              <w:pPr>
                <w:rPr>
                  <w:szCs w:val="24"/>
                </w:rPr>
              </w:pPr>
            </w:p>
            <w:sdt>
              <w:sdtPr>
                <w:alias w:val="poskyris"/>
                <w:tag w:val="part_41b4c4a4512a4dcc988caf225afc35d9"/>
                <w:lock w:val="sdtLocked"/>
                <w:richText/>
              </w:sdtPr>
              <w:sdtContent>
                <w:p w14:paraId="42A5F675" w14:textId="77777777">
                  <w:pPr>
                    <w:ind w:firstLine="567"/>
                    <w:jc w:val="both"/>
                    <w:rPr>
                      <w:b/>
                      <w:bCs/>
                    </w:rPr>
                  </w:pPr>
                  <w:sdt>
                    <w:sdtPr>
                      <w:alias w:val="Pavadinimas"/>
                      <w:tag w:val="title_41b4c4a4512a4dcc988caf225afc35d9"/>
                      <w:lock w:val="sdtLocked"/>
                      <w:richText/>
                    </w:sdtPr>
                    <w:sdtContent>
                      <w:r>
                        <w:rPr>
                          <w:b/>
                          <w:bCs/>
                        </w:rPr>
                        <w:t>Parengto sprendimo projekto tikslas ir uždaviniai.</w:t>
                      </w:r>
                    </w:sdtContent>
                  </w:sdt>
                </w:p>
                <w:p w14:paraId="1FC229B2" w14:textId="5C001B5E">
                  <w:pPr>
                    <w:ind w:firstLine="567"/>
                    <w:jc w:val="both"/>
                    <w:rPr>
                      <w:szCs w:val="24"/>
                      <w:lang w:eastAsia="lt-LT"/>
                    </w:rPr>
                  </w:pPr>
                  <w:r>
                    <w:rPr>
                      <w:szCs w:val="24"/>
                      <w:lang w:val="x-none"/>
                    </w:rPr>
                    <w:t>Parengtas sprendimo projektas dėl</w:t>
                  </w:r>
                  <w:r>
                    <w:rPr>
                      <w:b/>
                      <w:bCs/>
                      <w:szCs w:val="24"/>
                      <w:lang w:val="x-none"/>
                    </w:rPr>
                    <w:t xml:space="preserve"> </w:t>
                  </w:r>
                  <w:r>
                    <w:rPr>
                      <w:szCs w:val="24"/>
                      <w:lang w:val="x-none"/>
                    </w:rPr>
                    <w:t>Šiaulių miesto savivaldybės 20</w:t>
                  </w:r>
                  <w:r>
                    <w:rPr>
                      <w:szCs w:val="24"/>
                    </w:rPr>
                    <w:t>23</w:t>
                  </w:r>
                  <w:r>
                    <w:rPr>
                      <w:szCs w:val="24"/>
                      <w:lang w:val="x-none"/>
                    </w:rPr>
                    <w:t xml:space="preserve"> metų biudžeto pakeitimo. Lietuvos Respublikos teisėkūros pagrindų įstatymo 14 straipsnio 3 dalis nustato, kad k</w:t>
                  </w:r>
                  <w:r>
                    <w:rPr>
                      <w:szCs w:val="24"/>
                      <w:lang w:val="x-none" w:eastAsia="lt-LT"/>
                    </w:rPr>
                    <w:t xml:space="preserve">ai keičiamame teisės akte keičiama daugiau kaip pusė jo straipsnių ar punktų, visas teisės aktas dėstomas nauja redakcija. </w:t>
                  </w:r>
                </w:p>
              </w:sdtContent>
            </w:sdt>
            <w:sdt>
              <w:sdtPr>
                <w:alias w:val="poskyris"/>
                <w:tag w:val="part_0554629a17554f7a93a340409738978e"/>
                <w:lock w:val="sdtLocked"/>
                <w:richText/>
              </w:sdtPr>
              <w:sdtContent>
                <w:p w14:paraId="42A5F678" w14:textId="77777777">
                  <w:pPr>
                    <w:ind w:firstLine="540"/>
                    <w:jc w:val="both"/>
                    <w:rPr>
                      <w:b/>
                      <w:szCs w:val="24"/>
                      <w:shd w:val="clear" w:color="auto" w:fill="FFFFFF"/>
                    </w:rPr>
                  </w:pPr>
                  <w:sdt>
                    <w:sdtPr>
                      <w:alias w:val="Pavadinimas"/>
                      <w:tag w:val="title_0554629a17554f7a93a340409738978e"/>
                      <w:lock w:val="sdtLocked"/>
                      <w:richText/>
                    </w:sdtPr>
                    <w:sdtContent>
                      <w:r>
                        <w:rPr>
                          <w:b/>
                          <w:szCs w:val="24"/>
                          <w:shd w:val="clear" w:color="auto" w:fill="FFFFFF"/>
                        </w:rPr>
                        <w:t xml:space="preserve">Dabartinis sprendimo projekte aptariamų klausimų reguliavimas. </w:t>
                      </w:r>
                    </w:sdtContent>
                  </w:sdt>
                </w:p>
                <w:p w14:paraId="217578E6" w14:textId="0B0E7A92">
                  <w:pPr>
                    <w:ind w:firstLine="567"/>
                    <w:jc w:val="both"/>
                  </w:pPr>
                  <w:r>
                    <w:t>Sprendimo projekto nauja redakcija parengta vadovaujantis Lietuvos Respublikos Socialinės apsaugos ir darbo ministro 2023 m. gegužės 15 d. įsakymais: Nr. A1-310 „Dėl valstybės vardu pasiskolintų lėšų paskirstymo savivaldybių administracijoms išlaidoms, patirtoms 2023 metų I ketvirtį mokant laidojimo pašalpą pagal Lietuvos Respublikos paramos mirties atveju įstatymą ir teikiant socialinę paramą mokiniams pagal Lietuvos Respublikos socialinės paramos mokiniams įstatymą užsieniečiams, pasitraukusiems iš Ukrainos dėl Rusijos federacijos karinių veiksmų Ukrainoje, padengti“, Nr. A1-311 „D</w:t>
                  </w:r>
                  <w:r>
                    <w:rPr>
                      <w:rFonts w:hint="cs"/>
                    </w:rPr>
                    <w:t>ė</w:t>
                  </w:r>
                  <w:r>
                    <w:t>l valstyb</w:t>
                  </w:r>
                  <w:r>
                    <w:rPr>
                      <w:rFonts w:hint="cs"/>
                    </w:rPr>
                    <w:t>ė</w:t>
                  </w:r>
                  <w:r>
                    <w:t>s vardu pasiskolint</w:t>
                  </w:r>
                  <w:r>
                    <w:rPr>
                      <w:rFonts w:hint="cs"/>
                    </w:rPr>
                    <w:t>ų</w:t>
                  </w:r>
                  <w:r>
                    <w:t xml:space="preserve"> l</w:t>
                  </w:r>
                  <w:r>
                    <w:rPr>
                      <w:rFonts w:hint="cs"/>
                    </w:rPr>
                    <w:t>ėšų</w:t>
                  </w:r>
                  <w:r>
                    <w:t xml:space="preserve"> paskirstymo savivaldybi</w:t>
                  </w:r>
                  <w:r>
                    <w:rPr>
                      <w:rFonts w:hint="cs"/>
                    </w:rPr>
                    <w:t>ų</w:t>
                  </w:r>
                  <w:r>
                    <w:t xml:space="preserve"> administracijoms i</w:t>
                  </w:r>
                  <w:r>
                    <w:rPr>
                      <w:rFonts w:hint="cs"/>
                    </w:rPr>
                    <w:t>š</w:t>
                  </w:r>
                  <w:r>
                    <w:t>laidoms, patirtoms 2023 met</w:t>
                  </w:r>
                  <w:r>
                    <w:rPr>
                      <w:rFonts w:hint="cs"/>
                    </w:rPr>
                    <w:t>ų</w:t>
                  </w:r>
                  <w:r>
                    <w:t xml:space="preserve"> I ketvirt</w:t>
                  </w:r>
                  <w:r>
                    <w:rPr>
                      <w:rFonts w:hint="cs"/>
                    </w:rPr>
                    <w:t>į</w:t>
                  </w:r>
                  <w:r>
                    <w:t xml:space="preserve"> teikiant pinigin</w:t>
                  </w:r>
                  <w:r>
                    <w:rPr>
                      <w:rFonts w:hint="cs"/>
                    </w:rPr>
                    <w:t>ę</w:t>
                  </w:r>
                  <w:r>
                    <w:t xml:space="preserve"> socialin</w:t>
                  </w:r>
                  <w:r>
                    <w:rPr>
                      <w:rFonts w:hint="cs"/>
                    </w:rPr>
                    <w:t>ę</w:t>
                  </w:r>
                  <w:r>
                    <w:t xml:space="preserve"> param</w:t>
                  </w:r>
                  <w:r>
                    <w:rPr>
                      <w:rFonts w:hint="cs"/>
                    </w:rPr>
                    <w:t>ą</w:t>
                  </w:r>
                  <w:r>
                    <w:t>, skiriam</w:t>
                  </w:r>
                  <w:r>
                    <w:rPr>
                      <w:rFonts w:hint="cs"/>
                    </w:rPr>
                    <w:t>ą</w:t>
                  </w:r>
                  <w:r>
                    <w:t xml:space="preserve"> vadovaujantis Lietuvos Respublikos pinigin</w:t>
                  </w:r>
                  <w:r>
                    <w:rPr>
                      <w:rFonts w:hint="cs"/>
                    </w:rPr>
                    <w:t>ė</w:t>
                  </w:r>
                  <w:r>
                    <w:t>s socialin</w:t>
                  </w:r>
                  <w:r>
                    <w:rPr>
                      <w:rFonts w:hint="cs"/>
                    </w:rPr>
                    <w:t>ė</w:t>
                  </w:r>
                  <w:r>
                    <w:t xml:space="preserve">s paramos nepasiturintiems gyventojams </w:t>
                  </w:r>
                  <w:r>
                    <w:rPr>
                      <w:rFonts w:hint="cs"/>
                    </w:rPr>
                    <w:t>į</w:t>
                  </w:r>
                  <w:r>
                    <w:t>statymu, u</w:t>
                  </w:r>
                  <w:r>
                    <w:rPr>
                      <w:rFonts w:hint="cs"/>
                    </w:rPr>
                    <w:t>ž</w:t>
                  </w:r>
                  <w:r>
                    <w:t>sienie</w:t>
                  </w:r>
                  <w:r>
                    <w:rPr>
                      <w:rFonts w:hint="cs"/>
                    </w:rPr>
                    <w:t>č</w:t>
                  </w:r>
                  <w:r>
                    <w:t>iams, pasitraukusiems i</w:t>
                  </w:r>
                  <w:r>
                    <w:rPr>
                      <w:rFonts w:hint="cs"/>
                    </w:rPr>
                    <w:t>š</w:t>
                  </w:r>
                  <w:r>
                    <w:t xml:space="preserve"> Ukrainos d</w:t>
                  </w:r>
                  <w:r>
                    <w:rPr>
                      <w:rFonts w:hint="cs"/>
                    </w:rPr>
                    <w:t>ė</w:t>
                  </w:r>
                  <w:r>
                    <w:t>l Rusijos federacijos karini</w:t>
                  </w:r>
                  <w:r>
                    <w:rPr>
                      <w:rFonts w:hint="cs"/>
                    </w:rPr>
                    <w:t>ų</w:t>
                  </w:r>
                  <w:r>
                    <w:t xml:space="preserve"> veiksm</w:t>
                  </w:r>
                  <w:r>
                    <w:rPr>
                      <w:rFonts w:hint="cs"/>
                    </w:rPr>
                    <w:t>ų</w:t>
                  </w:r>
                  <w:r>
                    <w:t xml:space="preserve"> Ukrainoje, padengti“, Nr. A1-312 „D</w:t>
                  </w:r>
                  <w:r>
                    <w:rPr>
                      <w:rFonts w:hint="cs"/>
                    </w:rPr>
                    <w:t>ė</w:t>
                  </w:r>
                  <w:r>
                    <w:t>l valstyb</w:t>
                  </w:r>
                  <w:r>
                    <w:rPr>
                      <w:rFonts w:hint="cs"/>
                    </w:rPr>
                    <w:t>ė</w:t>
                  </w:r>
                  <w:r>
                    <w:t>s vardu pasiskolint</w:t>
                  </w:r>
                  <w:r>
                    <w:rPr>
                      <w:rFonts w:hint="cs"/>
                    </w:rPr>
                    <w:t>ų</w:t>
                  </w:r>
                  <w:r>
                    <w:t xml:space="preserve"> l</w:t>
                  </w:r>
                  <w:r>
                    <w:rPr>
                      <w:rFonts w:hint="cs"/>
                    </w:rPr>
                    <w:t>ėšų</w:t>
                  </w:r>
                  <w:r>
                    <w:t xml:space="preserve"> paskirstymo savivaldybi</w:t>
                  </w:r>
                  <w:r>
                    <w:rPr>
                      <w:rFonts w:hint="cs"/>
                    </w:rPr>
                    <w:t>ų</w:t>
                  </w:r>
                  <w:r>
                    <w:t xml:space="preserve"> administracijoms i</w:t>
                  </w:r>
                  <w:r>
                    <w:rPr>
                      <w:rFonts w:hint="cs"/>
                    </w:rPr>
                    <w:t>š</w:t>
                  </w:r>
                  <w:r>
                    <w:t>laidoms, patirtoms 2023 met</w:t>
                  </w:r>
                  <w:r>
                    <w:rPr>
                      <w:rFonts w:hint="cs"/>
                    </w:rPr>
                    <w:t>ų</w:t>
                  </w:r>
                  <w:r>
                    <w:t xml:space="preserve"> I ketvirt</w:t>
                  </w:r>
                  <w:r>
                    <w:rPr>
                      <w:rFonts w:hint="cs"/>
                    </w:rPr>
                    <w:t>į</w:t>
                  </w:r>
                  <w:r>
                    <w:t xml:space="preserve"> mokant i</w:t>
                  </w:r>
                  <w:r>
                    <w:rPr>
                      <w:rFonts w:hint="cs"/>
                    </w:rPr>
                    <w:t>š</w:t>
                  </w:r>
                  <w:r>
                    <w:t>mokas vaikams pagal Lietuvos Respublikos i</w:t>
                  </w:r>
                  <w:r>
                    <w:rPr>
                      <w:rFonts w:hint="cs"/>
                    </w:rPr>
                    <w:t>š</w:t>
                  </w:r>
                  <w:r>
                    <w:t>mok</w:t>
                  </w:r>
                  <w:r>
                    <w:rPr>
                      <w:rFonts w:hint="cs"/>
                    </w:rPr>
                    <w:t>ų</w:t>
                  </w:r>
                  <w:r>
                    <w:t xml:space="preserve"> vaikams </w:t>
                  </w:r>
                  <w:r>
                    <w:rPr>
                      <w:rFonts w:hint="cs"/>
                    </w:rPr>
                    <w:t>į</w:t>
                  </w:r>
                  <w:r>
                    <w:t>statym</w:t>
                  </w:r>
                  <w:r>
                    <w:rPr>
                      <w:rFonts w:hint="cs"/>
                    </w:rPr>
                    <w:t>ą</w:t>
                  </w:r>
                  <w:r>
                    <w:t xml:space="preserve"> u</w:t>
                  </w:r>
                  <w:r>
                    <w:rPr>
                      <w:rFonts w:hint="cs"/>
                    </w:rPr>
                    <w:t>ž</w:t>
                  </w:r>
                  <w:r>
                    <w:t>sienie</w:t>
                  </w:r>
                  <w:r>
                    <w:rPr>
                      <w:rFonts w:hint="cs"/>
                    </w:rPr>
                    <w:t>č</w:t>
                  </w:r>
                  <w:r>
                    <w:t>iams, pasitraukusiems i</w:t>
                  </w:r>
                  <w:r>
                    <w:rPr>
                      <w:rFonts w:hint="cs"/>
                    </w:rPr>
                    <w:t>š</w:t>
                  </w:r>
                  <w:r>
                    <w:t xml:space="preserve"> Ukrainos d</w:t>
                  </w:r>
                  <w:r>
                    <w:rPr>
                      <w:rFonts w:hint="cs"/>
                    </w:rPr>
                    <w:t>ė</w:t>
                  </w:r>
                  <w:r>
                    <w:t>l Rusijos federacijos karini</w:t>
                  </w:r>
                  <w:r>
                    <w:rPr>
                      <w:rFonts w:hint="cs"/>
                    </w:rPr>
                    <w:t>ų</w:t>
                  </w:r>
                  <w:r>
                    <w:t xml:space="preserve"> veiksm</w:t>
                  </w:r>
                  <w:r>
                    <w:rPr>
                      <w:rFonts w:hint="cs"/>
                    </w:rPr>
                    <w:t>ų</w:t>
                  </w:r>
                  <w:r>
                    <w:t xml:space="preserve"> Ukrainoje, padengti“ ir 2023 m. gegužės 12 d. įsakymu Nr. A1-306 „Dėl valstybės vardu pasiskolintų lėšų paskirstymo savivaldybių administracijoms 2023 metų      I ketvirtį, siekiant padengti jų išlaidas, patirtas teikiant specialiąsias socialines paslaugas užsieniečiams, pasitraukusiems iš Ukrainos dėl Rusijos Federacijos karinių veiksmų Ukrainoje“, Lietuvos respublikos Švietimo , mokslo ir sporto ministro 2023 m. birželio 13 d. įsakymu Nr. V-818 „Dėl lėšų skyrimo vaikų, atvykusių į Lietuvos Respubliką iš Ukrainos dėl Rusijos Federacijos karinių veiksmų Ukrainoje, ugdymui ir pavėžėjimui į mokyklą ir atgal ir šių lėšų paskirstymo pagal savivaldybes ir valstybines mokyklas patvirtinimo“.</w:t>
                  </w:r>
                </w:p>
                <w:p w14:paraId="42A5F67A" w14:textId="56E425D2">
                  <w:pPr>
                    <w:ind w:firstLine="540"/>
                    <w:jc w:val="both"/>
                  </w:pPr>
                  <w:r>
                    <w:t>Savivaldybės biudžeto asignavimus administruoja ir biudžeto vykdymą organizuoja Šiaulių miesto savivaldybės meras, vadovaudamasis Lietuvos Respublikos vietos savivaldos įstatymu, Šiaulių miesto savivaldybės tarybos 2022 m. birželio 22 d. sprendimu Nr. T-265 „Dėl Šiaulių miesto savivaldybės biudžeto sudarymo, vykdymo ir atskaitomybės tvarkos aprašo patvirtinimo“. Sprendimo projektą dėl Šiaulių miesto savivaldybės 2023 metų biudžeto pakeitimo rengia Strateginio planavimo ir finansų skyrius, atsižvelgiant į asignavimų valdytojų gautus prašymus dėl biudžeto asignavimų pakeitimų bei Strateginio planavimo grupės (toliau – SPG) 2023 m. birželio 7 d., 12 d. ir 19 d. posėdžių nutarimais (SPG posėdžių protokolai VM-6, VM-8, VM-12).</w:t>
                  </w:r>
                </w:p>
              </w:sdtContent>
            </w:sdt>
            <w:sdt>
              <w:sdtPr>
                <w:alias w:val="poskyris"/>
                <w:tag w:val="part_b58c5d84f38441b1afb7a05f6d0ad9f7"/>
                <w:lock w:val="sdtLocked"/>
                <w:richText/>
              </w:sdtPr>
              <w:sdtContent>
                <w:p w14:paraId="42A5F67B" w14:textId="77777777">
                  <w:pPr>
                    <w:ind w:firstLine="540"/>
                    <w:jc w:val="both"/>
                    <w:rPr>
                      <w:b/>
                      <w:szCs w:val="24"/>
                    </w:rPr>
                  </w:pPr>
                  <w:sdt>
                    <w:sdtPr>
                      <w:alias w:val="Pavadinimas"/>
                      <w:tag w:val="title_b58c5d84f38441b1afb7a05f6d0ad9f7"/>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166EDF2F" w14:textId="77777777">
                  <w:pPr>
                    <w:tabs>
                      <w:tab w:val="left" w:pos="1296"/>
                    </w:tabs>
                    <w:ind w:firstLine="567"/>
                    <w:jc w:val="both"/>
                  </w:pPr>
                  <w:r>
                    <w:t xml:space="preserve">Sprendimo projektas išdėstomas nauja redakcija. </w:t>
                  </w:r>
                </w:p>
                <w:sdt>
                  <w:sdtPr>
                    <w:alias w:val="1 p."/>
                    <w:tag w:val="part_5f239ce7e02a485582117863363673f6"/>
                    <w:lock w:val="sdtLocked"/>
                    <w:richText/>
                  </w:sdtPr>
                  <w:sdtContent>
                    <w:p w14:paraId="3FC0EB2C" w14:textId="6FF0D991">
                      <w:pPr>
                        <w:tabs>
                          <w:tab w:val="left" w:pos="1296"/>
                        </w:tabs>
                        <w:ind w:firstLine="567"/>
                        <w:jc w:val="both"/>
                        <w:rPr>
                          <w:b/>
                        </w:rPr>
                      </w:pPr>
                      <w:sdt>
                        <w:sdtPr>
                          <w:alias w:val="Numeris"/>
                          <w:tag w:val="nr_5f239ce7e02a485582117863363673f6"/>
                          <w:lock w:val="sdtLocked"/>
                          <w:richText/>
                        </w:sdtPr>
                        <w:sdtContent>
                          <w:r>
                            <w:rPr>
                              <w:b/>
                            </w:rPr>
                            <w:t>1</w:t>
                          </w:r>
                        </w:sdtContent>
                      </w:sdt>
                      <w:r>
                        <w:rPr>
                          <w:b/>
                        </w:rPr>
                        <w:t>.</w:t>
                        <w:tab/>
                      </w:r>
                      <w:r>
                        <w:rPr>
                          <w:b/>
                          <w:szCs w:val="24"/>
                        </w:rPr>
                        <w:t>Sprendimo projekte pajamos ir asignavimai didinami 3 235,5 tūkst. Eur:</w:t>
                      </w:r>
                    </w:p>
                    <w:sdt>
                      <w:sdtPr>
                        <w:alias w:val="1.1 pp."/>
                        <w:tag w:val="part_7fdc2e92443b472ab791bef4650a56ed"/>
                        <w:lock w:val="sdtLocked"/>
                        <w:richText/>
                      </w:sdtPr>
                      <w:sdtContent>
                        <w:p w14:paraId="2F70B3AA" w14:textId="40CF68B6">
                          <w:pPr>
                            <w:ind w:firstLine="710"/>
                            <w:jc w:val="both"/>
                          </w:pPr>
                          <w:sdt>
                            <w:sdtPr>
                              <w:alias w:val="Numeris"/>
                              <w:tag w:val="nr_7fdc2e92443b472ab791bef4650a56ed"/>
                              <w:lock w:val="sdtLocked"/>
                              <w:richText/>
                            </w:sdtPr>
                            <w:sdtContent>
                              <w:r>
                                <w:rPr>
                                  <w:rFonts w:eastAsia="HG Mincho Light J"/>
                                  <w:color w:val="000000"/>
                                  <w:szCs w:val="24"/>
                                  <w:lang w:eastAsia="lt-LT"/>
                                </w:rPr>
                                <w:t>1.1</w:t>
                              </w:r>
                            </w:sdtContent>
                          </w:sdt>
                          <w:r>
                            <w:rPr>
                              <w:rFonts w:eastAsia="HG Mincho Light J"/>
                              <w:color w:val="000000"/>
                              <w:szCs w:val="24"/>
                              <w:lang w:eastAsia="lt-LT"/>
                            </w:rPr>
                            <w:tab/>
                          </w:r>
                          <w:r>
                            <w:t>191,5 tūkst. Eur didinamos Švietimo prieinamumo ir kokybės užtikrinimo programos (08 programa) valstybės biudžeto lėšos (VB) skirtos vaikų, atvykusių į Lietuvos Respubliką iš Ukrainos dėl Rusijos Federacijos karinių veiksmų Ukrainoje, ugdymui. Paskirstymas tarp asignavimų valdytojų pateiktas 1 lentelėje (Švietimo skyriaus 2023-06-13 raštas Nr. GF-222);</w:t>
                          </w:r>
                        </w:p>
                      </w:sdtContent>
                    </w:sdt>
                    <w:sdt>
                      <w:sdtPr>
                        <w:alias w:val="1.2 pp."/>
                        <w:tag w:val="part_86a1638bc85741278bada02ca0110a0c"/>
                        <w:lock w:val="sdtLocked"/>
                        <w:richText/>
                      </w:sdtPr>
                      <w:sdtContent>
                        <w:p w14:paraId="0119769A" w14:textId="2E7F70C7">
                          <w:pPr>
                            <w:ind w:firstLine="710"/>
                            <w:jc w:val="both"/>
                          </w:pPr>
                          <w:sdt>
                            <w:sdtPr>
                              <w:alias w:val="Numeris"/>
                              <w:tag w:val="nr_86a1638bc85741278bada02ca0110a0c"/>
                              <w:lock w:val="sdtLocked"/>
                              <w:richText/>
                            </w:sdtPr>
                            <w:sdtContent>
                              <w:r>
                                <w:rPr>
                                  <w:rFonts w:eastAsia="HG Mincho Light J"/>
                                  <w:color w:val="000000"/>
                                  <w:szCs w:val="24"/>
                                  <w:lang w:eastAsia="lt-LT"/>
                                </w:rPr>
                                <w:t>1.2</w:t>
                              </w:r>
                            </w:sdtContent>
                          </w:sdt>
                          <w:r>
                            <w:rPr>
                              <w:rFonts w:eastAsia="HG Mincho Light J"/>
                              <w:color w:val="000000"/>
                              <w:szCs w:val="24"/>
                              <w:lang w:eastAsia="lt-LT"/>
                            </w:rPr>
                            <w:tab/>
                          </w:r>
                          <w:r>
                            <w:t>459,3 tūkst. Eur didinamos Socialinės paramos įgyvendinimo programos (10 programa) valstybės biudžeto lėšos (VB), skirtos dėl karinių veiksmų iš Ukrainos pasitraukusiems gyventojams, išmokoms vaikui mokėti, išlaidoms už įsigytus maisto produktus apmokėti bei padengti išlaidas, patirtas teikiant specialiąsias socialines paslaugas užsieniečiams, pasitraukusiems iš Ukrainos. Asignavimų valdytojas – Administracija (Socialinių išmokų ir kompensacijų skyriaus 2023-05-30 raštas Nr. GF-203 ir Socialinių paslaugų skyriaus 2023-05-30 raštas Nr. GF-202);</w:t>
                          </w:r>
                        </w:p>
                      </w:sdtContent>
                    </w:sdt>
                    <w:sdt>
                      <w:sdtPr>
                        <w:alias w:val="1.3 pp."/>
                        <w:tag w:val="part_546aac8744de4eebbeb62f5572956377"/>
                        <w:lock w:val="sdtLocked"/>
                        <w:richText/>
                      </w:sdtPr>
                      <w:sdtContent>
                        <w:p w14:paraId="58345050" w14:textId="2ACD3FC9">
                          <w:pPr>
                            <w:ind w:firstLine="710"/>
                            <w:jc w:val="both"/>
                          </w:pPr>
                          <w:sdt>
                            <w:sdtPr>
                              <w:alias w:val="Numeris"/>
                              <w:tag w:val="nr_546aac8744de4eebbeb62f5572956377"/>
                              <w:lock w:val="sdtLocked"/>
                              <w:richText/>
                            </w:sdtPr>
                            <w:sdtContent>
                              <w:r>
                                <w:rPr>
                                  <w:rFonts w:eastAsia="HG Mincho Light J"/>
                                  <w:color w:val="000000"/>
                                  <w:szCs w:val="24"/>
                                  <w:lang w:eastAsia="lt-LT"/>
                                </w:rPr>
                                <w:t>1.3</w:t>
                              </w:r>
                            </w:sdtContent>
                          </w:sdt>
                          <w:r>
                            <w:rPr>
                              <w:rFonts w:eastAsia="HG Mincho Light J"/>
                              <w:color w:val="000000"/>
                              <w:szCs w:val="24"/>
                              <w:lang w:eastAsia="lt-LT"/>
                            </w:rPr>
                            <w:tab/>
                          </w:r>
                          <w:r>
                            <w:t>2 100,0 tūkst. Eur didinamos Socialinės paramos įgyvendinimo programos (10 programa) valstybės biudžeto lėšos valstybinėms funkcijoms vykdyti (VB (VF)), skirtos socialinės globos teikimui asmenims su sunkia negalia užtikrinimui. Asignavimų valdytojas – Administracija (Socialinių paslaugų skyriaus 2023-06-15 raštas Nr. GF-228);</w:t>
                          </w:r>
                        </w:p>
                      </w:sdtContent>
                    </w:sdt>
                    <w:sdt>
                      <w:sdtPr>
                        <w:alias w:val="1.4 pp."/>
                        <w:tag w:val="part_4e82dee7ab5a46cb91af21003e3444e6"/>
                        <w:lock w:val="sdtLocked"/>
                        <w:richText/>
                      </w:sdtPr>
                      <w:sdtContent>
                        <w:p w14:paraId="43EF2E53" w14:textId="12C9097B">
                          <w:pPr>
                            <w:ind w:firstLine="710"/>
                            <w:jc w:val="both"/>
                          </w:pPr>
                          <w:sdt>
                            <w:sdtPr>
                              <w:alias w:val="Numeris"/>
                              <w:tag w:val="nr_4e82dee7ab5a46cb91af21003e3444e6"/>
                              <w:lock w:val="sdtLocked"/>
                              <w:richText/>
                            </w:sdtPr>
                            <w:sdtContent>
                              <w:r>
                                <w:rPr>
                                  <w:rFonts w:eastAsia="HG Mincho Light J"/>
                                  <w:color w:val="000000"/>
                                  <w:szCs w:val="24"/>
                                  <w:lang w:eastAsia="lt-LT"/>
                                </w:rPr>
                                <w:t>1.4</w:t>
                              </w:r>
                            </w:sdtContent>
                          </w:sdt>
                          <w:r>
                            <w:rPr>
                              <w:rFonts w:eastAsia="HG Mincho Light J"/>
                              <w:color w:val="000000"/>
                              <w:szCs w:val="24"/>
                              <w:lang w:eastAsia="lt-LT"/>
                            </w:rPr>
                            <w:tab/>
                          </w:r>
                          <w:r>
                            <w:t>364,7 tūkst. Eur didinamos Švietimo prieinamumo ir kokybės užtikrinimo programos (08 programa) Europos Sąjungos lėšos (ES) skirtos projekto „Tūkstantmečio mokyklos I“ įgyvendinimui (Projektų valdymo skyriaus 2023-06-19 raštas Nr. G-4681);</w:t>
                          </w:r>
                        </w:p>
                      </w:sdtContent>
                    </w:sdt>
                    <w:sdt>
                      <w:sdtPr>
                        <w:alias w:val="1.5 pp."/>
                        <w:tag w:val="part_165f1ed9c4014573b94d4dcd10299bc9"/>
                        <w:lock w:val="sdtLocked"/>
                        <w:richText/>
                      </w:sdtPr>
                      <w:sdtContent>
                        <w:p w14:paraId="3154282F" w14:textId="1638D065">
                          <w:pPr>
                            <w:ind w:firstLine="710"/>
                            <w:jc w:val="both"/>
                          </w:pPr>
                          <w:sdt>
                            <w:sdtPr>
                              <w:alias w:val="Numeris"/>
                              <w:tag w:val="nr_165f1ed9c4014573b94d4dcd10299bc9"/>
                              <w:lock w:val="sdtLocked"/>
                              <w:richText/>
                            </w:sdtPr>
                            <w:sdtContent>
                              <w:r>
                                <w:rPr>
                                  <w:rFonts w:eastAsia="HG Mincho Light J"/>
                                  <w:color w:val="000000"/>
                                  <w:szCs w:val="24"/>
                                  <w:lang w:eastAsia="lt-LT"/>
                                </w:rPr>
                                <w:t>1.5</w:t>
                              </w:r>
                            </w:sdtContent>
                          </w:sdt>
                          <w:r>
                            <w:rPr>
                              <w:rFonts w:eastAsia="HG Mincho Light J"/>
                              <w:color w:val="000000"/>
                              <w:szCs w:val="24"/>
                              <w:lang w:eastAsia="lt-LT"/>
                            </w:rPr>
                            <w:tab/>
                          </w:r>
                          <w:r>
                            <w:t>120,0 tūkst. Eur didinamos Socialinės paramos įgyvendinimo programos (10 programa) įstaigų pajamų lėšos (PL). Asignavimų valdytojas – Socialinių paslaugų centras (Socialinių paslaugų centro 2023-06-05 raštas Nr. BGF-1162).</w:t>
                          </w:r>
                        </w:p>
                      </w:sdtContent>
                    </w:sdt>
                  </w:sdtContent>
                </w:sdt>
                <w:sdt>
                  <w:sdtPr>
                    <w:alias w:val="2 p."/>
                    <w:tag w:val="part_0ef932166c4c4a2489e63909d7decf4f"/>
                    <w:lock w:val="sdtLocked"/>
                    <w:richText/>
                  </w:sdtPr>
                  <w:sdtContent>
                    <w:p w14:paraId="6CEB9CFD" w14:textId="4D504DD4">
                      <w:pPr>
                        <w:ind w:firstLine="567"/>
                        <w:jc w:val="both"/>
                        <w:rPr>
                          <w:b/>
                          <w:bCs/>
                        </w:rPr>
                      </w:pPr>
                      <w:sdt>
                        <w:sdtPr>
                          <w:alias w:val="Numeris"/>
                          <w:tag w:val="nr_0ef932166c4c4a2489e63909d7decf4f"/>
                          <w:lock w:val="sdtLocked"/>
                          <w:richText/>
                        </w:sdtPr>
                        <w:sdtContent>
                          <w:r>
                            <w:rPr>
                              <w:rFonts w:eastAsia="HG Mincho Light J"/>
                              <w:b/>
                              <w:bCs/>
                              <w:color w:val="000000"/>
                              <w:szCs w:val="24"/>
                              <w:lang w:eastAsia="lt-LT"/>
                            </w:rPr>
                            <w:t>2</w:t>
                          </w:r>
                        </w:sdtContent>
                      </w:sdt>
                      <w:r>
                        <w:rPr>
                          <w:rFonts w:eastAsia="HG Mincho Light J"/>
                          <w:b/>
                          <w:bCs/>
                          <w:color w:val="000000"/>
                          <w:szCs w:val="24"/>
                          <w:lang w:eastAsia="lt-LT"/>
                        </w:rPr>
                        <w:t>.</w:t>
                        <w:tab/>
                      </w:r>
                      <w:r>
                        <w:rPr>
                          <w:b/>
                        </w:rPr>
                        <w:t>645,5 tūkst. Eur perskirstomi patvirtinti asignavimai tarp programų ir asignavimų valdytojų</w:t>
                      </w:r>
                    </w:p>
                    <w:sdt>
                      <w:sdtPr>
                        <w:alias w:val="2.1 pp."/>
                        <w:tag w:val="part_00e6d644fb1c4e898f09f1162389edf0"/>
                        <w:lock w:val="sdtLocked"/>
                        <w:richText/>
                      </w:sdtPr>
                      <w:sdtContent>
                        <w:p w14:paraId="0CFEA4BE" w14:textId="5851A0DC">
                          <w:pPr>
                            <w:ind w:firstLine="710"/>
                            <w:jc w:val="both"/>
                          </w:pPr>
                          <w:sdt>
                            <w:sdtPr>
                              <w:alias w:val="Numeris"/>
                              <w:tag w:val="nr_00e6d644fb1c4e898f09f1162389edf0"/>
                              <w:lock w:val="sdtLocked"/>
                              <w:richText/>
                            </w:sdtPr>
                            <w:sdtContent>
                              <w:r>
                                <w:rPr>
                                  <w:rFonts w:eastAsia="HG Mincho Light J"/>
                                  <w:color w:val="000000"/>
                                  <w:szCs w:val="24"/>
                                  <w:lang w:eastAsia="lt-LT"/>
                                </w:rPr>
                                <w:t>2.1</w:t>
                              </w:r>
                            </w:sdtContent>
                          </w:sdt>
                          <w:r>
                            <w:rPr>
                              <w:rFonts w:eastAsia="HG Mincho Light J"/>
                              <w:color w:val="000000"/>
                              <w:szCs w:val="24"/>
                              <w:lang w:eastAsia="lt-LT"/>
                            </w:rPr>
                            <w:tab/>
                          </w:r>
                          <w:r>
                            <w:t>313,0 tūkst. Eur mažinamos Sporto plėtros programos (07 programa) savivaldybės biudžeto lėšos (SB) skirtos sporto įstaigoms, dėl asignavimų skirtų komunalinių paslaugų įsigijimui planuojamos ekonomijos, taip: 165,0 tūkst. Eur plaukimo centrui „Delfinas“, 92,8 tūkst. Eur Šiaulių teniso akademijai, 4,5 tūkst. Eur Šiaulių regbio ir žolės riedulio akademijai, 29,0 tūkst. Eur Lengvosios atletikos ir sveikatingumo centrui ir 21,7 tūkst. Eur sporto centrui „Dubysa“ (2023 m. birželio 7 d. SPG protokolas Nr. VM-6);</w:t>
                          </w:r>
                        </w:p>
                      </w:sdtContent>
                    </w:sdt>
                    <w:sdt>
                      <w:sdtPr>
                        <w:alias w:val="2.2 pp."/>
                        <w:tag w:val="part_5a104ab5bdef449eafcc4894bae20137"/>
                        <w:lock w:val="sdtLocked"/>
                        <w:richText/>
                      </w:sdtPr>
                      <w:sdtContent>
                        <w:p w14:paraId="6E667A37" w14:textId="71E062E6">
                          <w:pPr>
                            <w:ind w:firstLine="710"/>
                            <w:jc w:val="both"/>
                          </w:pPr>
                          <w:sdt>
                            <w:sdtPr>
                              <w:alias w:val="Numeris"/>
                              <w:tag w:val="nr_5a104ab5bdef449eafcc4894bae20137"/>
                              <w:lock w:val="sdtLocked"/>
                              <w:richText/>
                            </w:sdtPr>
                            <w:sdtContent>
                              <w:r>
                                <w:rPr>
                                  <w:rFonts w:eastAsia="HG Mincho Light J"/>
                                  <w:color w:val="000000"/>
                                  <w:szCs w:val="24"/>
                                  <w:lang w:eastAsia="lt-LT"/>
                                </w:rPr>
                                <w:t>2.2</w:t>
                              </w:r>
                            </w:sdtContent>
                          </w:sdt>
                          <w:r>
                            <w:rPr>
                              <w:rFonts w:eastAsia="HG Mincho Light J"/>
                              <w:color w:val="000000"/>
                              <w:szCs w:val="24"/>
                              <w:lang w:eastAsia="lt-LT"/>
                            </w:rPr>
                            <w:tab/>
                          </w:r>
                          <w:r>
                            <w:t xml:space="preserve">313,0 tūkst. Eur didinamos savivaldybės biudžeto lėšos (SB) programoms ir asignavimų valdytojams taip: 167,4 tūkst. Eur didinamos Miesto urbanistinės plėtros programos (01 programa)  savivaldybės biudžeto lėšos (SB) projektavimo darbams apmokėti. Asignavimų valdytojas – Administracija (Miesto ūkio ir aplinkos skyriaus 2023-05-15 raštas Nr. GS-114), 124,5 tūkst. Eur didinamos Švietimo prieinamumo ir kokybės užtikrinimo programos (08 programa) savivaldybės biudžeto lėšos (SB) švietimo įstaigų stogų atnaujinimui ir remontui bei mokyklų sporto salių skubiam einamajam remontui. Asignavimų valdytojas – Administracija (Švietimo skyriaus 2023-05-18 raštas Nr. GF-192 ir 2023-06-09 raštas Nr. GDA-75), 18,9 tūkst. Eur didinamos Sporto plėtros programos (07 programa) savivaldybės biudžeto lėšos (SB) žemės sklypo, adresu Kviečių g. 7a, sutvarkymui, medžiagoms ir darbui apmokėti. Asignavimų valdytojas – Administracija (Sporto skyriaus 2023-05-12 raštas Nr. G-3518), 2,2 tūkst. Eur didinamos Savivaldybės veiklos programos (11 programa) savivaldybės biudžeto lėšos (SB) rugpjūčio 21-25 d. policijos organizuojamų pratybų dalyvių maitinimui bei jų vežimo paslaugai apmokėti. Asignavimų valdytojas – Administracija (Civilinės saugos ir teisėtvarkos skyriaus 2023-05-31 raštas Nr. GM-48);</w:t>
                          </w:r>
                        </w:p>
                      </w:sdtContent>
                    </w:sdt>
                    <w:sdt>
                      <w:sdtPr>
                        <w:alias w:val="2.3 pp."/>
                        <w:tag w:val="part_587f65bf941f46b8a705fec9174b6788"/>
                        <w:lock w:val="sdtLocked"/>
                        <w:richText/>
                      </w:sdtPr>
                      <w:sdtContent>
                        <w:p w14:paraId="7F83285B" w14:textId="13299C7C">
                          <w:pPr>
                            <w:ind w:firstLine="710"/>
                            <w:jc w:val="both"/>
                          </w:pPr>
                          <w:sdt>
                            <w:sdtPr>
                              <w:alias w:val="Numeris"/>
                              <w:tag w:val="nr_587f65bf941f46b8a705fec9174b6788"/>
                              <w:lock w:val="sdtLocked"/>
                              <w:richText/>
                            </w:sdtPr>
                            <w:sdtContent>
                              <w:r>
                                <w:rPr>
                                  <w:rFonts w:eastAsia="HG Mincho Light J"/>
                                  <w:color w:val="000000"/>
                                  <w:szCs w:val="24"/>
                                  <w:lang w:eastAsia="lt-LT"/>
                                </w:rPr>
                                <w:t>2.3</w:t>
                              </w:r>
                            </w:sdtContent>
                          </w:sdt>
                          <w:r>
                            <w:rPr>
                              <w:rFonts w:eastAsia="HG Mincho Light J"/>
                              <w:color w:val="000000"/>
                              <w:szCs w:val="24"/>
                              <w:lang w:eastAsia="lt-LT"/>
                            </w:rPr>
                            <w:tab/>
                          </w:r>
                          <w:r>
                            <w:t>37,2 tūkst. Eur perskirstomos Švietimo prieinamumo ir kokybės užtikrinimo programos (08 programa) valstybės biudžeto lėšos (VB) tarp asignavimų valdytojų. Perskirstymas pateiktas 2 lentelėje (Švietimo skyriaus 2023-05-29 raštas Nr. GF-201);</w:t>
                          </w:r>
                        </w:p>
                      </w:sdtContent>
                    </w:sdt>
                    <w:sdt>
                      <w:sdtPr>
                        <w:alias w:val="2.4 pp."/>
                        <w:tag w:val="part_ccb11c8983b440bc9cdd756c036e32fa"/>
                        <w:lock w:val="sdtLocked"/>
                        <w:richText/>
                      </w:sdtPr>
                      <w:sdtContent>
                        <w:p w14:paraId="244633FF" w14:textId="696BBA94">
                          <w:pPr>
                            <w:ind w:firstLine="710"/>
                            <w:jc w:val="both"/>
                          </w:pPr>
                          <w:sdt>
                            <w:sdtPr>
                              <w:alias w:val="Numeris"/>
                              <w:tag w:val="nr_ccb11c8983b440bc9cdd756c036e32fa"/>
                              <w:lock w:val="sdtLocked"/>
                              <w:richText/>
                            </w:sdtPr>
                            <w:sdtContent>
                              <w:r>
                                <w:rPr>
                                  <w:rFonts w:eastAsia="HG Mincho Light J"/>
                                  <w:color w:val="000000"/>
                                  <w:szCs w:val="24"/>
                                  <w:lang w:eastAsia="lt-LT"/>
                                </w:rPr>
                                <w:t>2.4</w:t>
                              </w:r>
                            </w:sdtContent>
                          </w:sdt>
                          <w:r>
                            <w:rPr>
                              <w:rFonts w:eastAsia="HG Mincho Light J"/>
                              <w:color w:val="000000"/>
                              <w:szCs w:val="24"/>
                              <w:lang w:eastAsia="lt-LT"/>
                            </w:rPr>
                            <w:tab/>
                          </w:r>
                          <w:r>
                            <w:t>45,2 tūkst. Eur savivaldybės biudžeto lėšų (SB) perskirstomos tarp Švietimo prieinamumo ir kokybės užtikrinimo programos (08 programa) asignavimų valdytojų taip: 45,2 tūkst. Eur mažinamos Administracijos savivaldybės biudžeto lėšos (SB) skirtos mokinių vežimui (18,2 tūkst. Eur ) ir švietimo elektroninės apskaitos ir registracijos sistemų funkcionavimui užtikrinti (27,0 tūkst. Eur) ir skiriama šiems asignavimų valdytojams taip: 12,0 tūkst. Eur Menų mokyklai, Šiaulių atvirojo jaunimo centro fasado dalies paprastojo remonto aprašo parengimui (Švietimo skyriaus 2023-05-15 raštas Nr. GS-113), 6,2 tūkst. Eur Salduvės progimnazijai mokinių vežiojimui į Šiaulių lengvosios atletikos ir sveikatingumo centrą vykdyti fizinio ugdymo pamokas apmokėti (Švietimo skyriaus 2023-05-29 raštas Nr. GS-122), 27,0 tūkst. Eur lopšeliui-darželiui „Auksinis raktelis“ naujos 1-2 metų vaikų grupės įsteigimui (Švietimo skyriaus 2023-06-01 raštas Nr. GM-49);</w:t>
                          </w:r>
                        </w:p>
                      </w:sdtContent>
                    </w:sdt>
                    <w:sdt>
                      <w:sdtPr>
                        <w:alias w:val="2.5 pp."/>
                        <w:tag w:val="part_687107db765f4b6dbe05d091f669446c"/>
                        <w:lock w:val="sdtLocked"/>
                        <w:richText/>
                      </w:sdtPr>
                      <w:sdtContent>
                        <w:p w14:paraId="1F54F1AA" w14:textId="06249872">
                          <w:pPr>
                            <w:ind w:firstLine="710"/>
                            <w:jc w:val="both"/>
                          </w:pPr>
                          <w:sdt>
                            <w:sdtPr>
                              <w:alias w:val="Numeris"/>
                              <w:tag w:val="nr_687107db765f4b6dbe05d091f669446c"/>
                              <w:lock w:val="sdtLocked"/>
                              <w:richText/>
                            </w:sdtPr>
                            <w:sdtContent>
                              <w:r>
                                <w:rPr>
                                  <w:rFonts w:eastAsia="HG Mincho Light J"/>
                                  <w:color w:val="000000"/>
                                  <w:szCs w:val="24"/>
                                  <w:lang w:eastAsia="lt-LT"/>
                                </w:rPr>
                                <w:t>2.5</w:t>
                              </w:r>
                            </w:sdtContent>
                          </w:sdt>
                          <w:r>
                            <w:rPr>
                              <w:rFonts w:eastAsia="HG Mincho Light J"/>
                              <w:color w:val="000000"/>
                              <w:szCs w:val="24"/>
                              <w:lang w:eastAsia="lt-LT"/>
                            </w:rPr>
                            <w:tab/>
                          </w:r>
                          <w:r>
                            <w:t xml:space="preserve">244,1 tūkst. Eur mažinamos Švietimo prieinamumo ir kokybės užtikrinimo programos (08 programa) savivaldybės biudžeto praėjusių metų likučių lėšos SB(LIK) dėl sumažėjusio savivaldybės biudžeto lėšų poreikio pasikeitus projekto „Atsinaujinančių energijos išteklių panaudojimas Šiaulių miesto švietimo įstaigose (saulės elektrinių įrengimas)“ išlaidų kompensavimo būdui apmokant APVA pareiškėjams teikiamus mokėjimo prašymus (Asignavimų valdytojas – Administracija) ir ta pačia suma didinamos Aplinkos apsaugos programos (03) savivaldybės biudžeto praėjusių metų likučių lėšos SB(LIK) „Komunalinių atliekų rūšiuojamojo surinkimo infrastruktūros plėtra Šiaulių regione“ projekto veiklų įgyvendinimui (Asignavimų valdytojas – Administracija) (Projektų valdymo skyriaus 2023-06-19 raštas Nr. GM-53); </w:t>
                          </w:r>
                        </w:p>
                      </w:sdtContent>
                    </w:sdt>
                    <w:sdt>
                      <w:sdtPr>
                        <w:alias w:val="2.6 pp."/>
                        <w:tag w:val="part_1f7ccb7f09be446da0d178fa1c17c2f5"/>
                        <w:lock w:val="sdtLocked"/>
                        <w:richText/>
                      </w:sdtPr>
                      <w:sdtContent>
                        <w:p w14:paraId="2514002C" w14:textId="4B20B0FD">
                          <w:pPr>
                            <w:ind w:firstLine="710"/>
                            <w:jc w:val="both"/>
                          </w:pPr>
                          <w:sdt>
                            <w:sdtPr>
                              <w:alias w:val="Numeris"/>
                              <w:tag w:val="nr_1f7ccb7f09be446da0d178fa1c17c2f5"/>
                              <w:lock w:val="sdtLocked"/>
                              <w:richText/>
                            </w:sdtPr>
                            <w:sdtContent>
                              <w:r>
                                <w:rPr>
                                  <w:rFonts w:eastAsia="HG Mincho Light J"/>
                                  <w:color w:val="000000"/>
                                  <w:szCs w:val="24"/>
                                  <w:lang w:eastAsia="lt-LT"/>
                                </w:rPr>
                                <w:t>2.6</w:t>
                              </w:r>
                            </w:sdtContent>
                          </w:sdt>
                          <w:r>
                            <w:rPr>
                              <w:rFonts w:eastAsia="HG Mincho Light J"/>
                              <w:color w:val="000000"/>
                              <w:szCs w:val="24"/>
                              <w:lang w:eastAsia="lt-LT"/>
                            </w:rPr>
                            <w:tab/>
                          </w:r>
                          <w:r>
                            <w:t xml:space="preserve">6,0 tūkst. Eur mažinamos Miesto urbanistinės plėtros programos (01) savivaldybės biudžeto lėšos (SB) (Asignavimų valdytojas – Administracija) ir ta pačia suma didinamos Turto valdymo ir privatizavimo programos (06) savivaldybės biudžeto lėšos (SB) (Asignavimų valdytojas – Administracija) (Statybos ir renovacijos skyriaus 2023-06-14 raštas Nr. GDA-77). </w:t>
                          </w:r>
                        </w:p>
                      </w:sdtContent>
                    </w:sdt>
                  </w:sdtContent>
                </w:sdt>
                <w:sdt>
                  <w:sdtPr>
                    <w:alias w:val="3 p."/>
                    <w:tag w:val="part_660aa3158c2640d29fcf667f9303af70"/>
                    <w:lock w:val="sdtLocked"/>
                    <w:richText/>
                  </w:sdtPr>
                  <w:sdtContent>
                    <w:p w14:paraId="7D37231D" w14:textId="419F13C1">
                      <w:pPr>
                        <w:ind w:firstLine="567"/>
                        <w:jc w:val="both"/>
                      </w:pPr>
                      <w:sdt>
                        <w:sdtPr>
                          <w:alias w:val="Numeris"/>
                          <w:tag w:val="nr_660aa3158c2640d29fcf667f9303af70"/>
                          <w:lock w:val="sdtLocked"/>
                          <w:richText/>
                        </w:sdtPr>
                        <w:sdtContent>
                          <w:r>
                            <w:rPr>
                              <w:rFonts w:eastAsia="HG Mincho Light J"/>
                              <w:color w:val="000000"/>
                              <w:szCs w:val="24"/>
                              <w:lang w:eastAsia="lt-LT"/>
                            </w:rPr>
                            <w:t>3</w:t>
                          </w:r>
                        </w:sdtContent>
                      </w:sdt>
                      <w:r>
                        <w:rPr>
                          <w:rFonts w:eastAsia="HG Mincho Light J"/>
                          <w:color w:val="000000"/>
                          <w:szCs w:val="24"/>
                          <w:lang w:eastAsia="lt-LT"/>
                        </w:rPr>
                        <w:t>.</w:t>
                        <w:tab/>
                      </w:r>
                      <w:r>
                        <w:rPr>
                          <w:b/>
                        </w:rPr>
                        <w:t>Tikslinamos lėšos pagal ekonominę klasifikaciją pagal asignavimų valdytojų prašymus.</w:t>
                      </w:r>
                      <w:r>
                        <w:t xml:space="preserve"> </w:t>
                      </w:r>
                    </w:p>
                    <w:p w14:paraId="2E8A5C62" w14:textId="509CEAD0">
                      <w:pPr>
                        <w:widowControl w:val="0"/>
                        <w:tabs>
                          <w:tab w:val="left" w:pos="567"/>
                        </w:tabs>
                        <w:suppressAutoHyphens/>
                        <w:ind w:firstLine="567"/>
                        <w:jc w:val="both"/>
                        <w:rPr>
                          <w:rFonts w:eastAsia="HG Mincho Light J"/>
                          <w:color w:val="000000"/>
                          <w:szCs w:val="24"/>
                          <w:lang w:eastAsia="lt-LT"/>
                        </w:rPr>
                      </w:pPr>
                      <w:r>
                        <w:rPr>
                          <w:rFonts w:eastAsia="HG Mincho Light J"/>
                          <w:b/>
                          <w:color w:val="000000"/>
                          <w:szCs w:val="24"/>
                          <w:shd w:val="clear" w:color="auto" w:fill="FFFFFF"/>
                          <w:lang w:eastAsia="lt-LT"/>
                        </w:rPr>
                        <w:t xml:space="preserve">Priėmus sprendimą, galimos pasekmės. </w:t>
                      </w:r>
                      <w:r>
                        <w:rPr>
                          <w:rFonts w:eastAsia="HG Mincho Light J"/>
                          <w:color w:val="000000"/>
                          <w:szCs w:val="24"/>
                          <w:lang w:eastAsia="lt-LT"/>
                        </w:rPr>
                        <w:t xml:space="preserve">Teigiamos – paskirstomi asignavimai programoms, numatytoms Šiaulių miesto savivaldybės 2023–2025 metų strateginiame veiklos plane, Neigiamos – nenumatoma. </w:t>
                      </w:r>
                    </w:p>
                    <w:p w14:paraId="0D06E197" w14:textId="78E2EDF1">
                      <w:pPr>
                        <w:tabs>
                          <w:tab w:val="left" w:pos="567"/>
                        </w:tabs>
                        <w:ind w:firstLine="567"/>
                        <w:jc w:val="both"/>
                      </w:pPr>
                      <w:r>
                        <w:rPr>
                          <w:b/>
                        </w:rPr>
                        <w:t>Sprendimui įgyvendinti reikalingos lėšos.</w:t>
                      </w:r>
                      <w:r>
                        <w:t xml:space="preserve"> Papildomų lėšų poreikis nereikalingas. </w:t>
                      </w:r>
                    </w:p>
                    <w:p w14:paraId="5C0903FE" w14:textId="76AF9F46">
                      <w:pPr>
                        <w:tabs>
                          <w:tab w:val="left" w:pos="567"/>
                        </w:tabs>
                        <w:ind w:firstLine="567"/>
                        <w:jc w:val="both"/>
                      </w:pPr>
                      <w:r>
                        <w:rPr>
                          <w:b/>
                          <w:shd w:val="clear" w:color="auto" w:fill="FFFFFF"/>
                        </w:rPr>
                        <w:t>Priėmus sprendimą, keičiami ar pripažįstami negaliojančiais teisės aktai</w:t>
                      </w:r>
                      <w:r>
                        <w:rPr>
                          <w:b/>
                        </w:rPr>
                        <w:t xml:space="preserve">. </w:t>
                      </w:r>
                      <w:r>
                        <w:t>Nėra.</w:t>
                      </w:r>
                    </w:p>
                    <w:p w14:paraId="60EB1292" w14:textId="0C8B724D">
                      <w:pPr>
                        <w:widowControl w:val="0"/>
                        <w:tabs>
                          <w:tab w:val="left" w:pos="567"/>
                        </w:tabs>
                        <w:suppressAutoHyphens/>
                        <w:ind w:left="-142" w:firstLine="709"/>
                        <w:jc w:val="both"/>
                        <w:rPr>
                          <w:rFonts w:eastAsia="HG Mincho Light J"/>
                          <w:color w:val="000000"/>
                          <w:szCs w:val="24"/>
                          <w:lang w:eastAsia="ar-SA"/>
                        </w:rPr>
                      </w:pPr>
                      <w:r>
                        <w:rPr>
                          <w:rFonts w:eastAsia="HG Mincho Light J"/>
                          <w:b/>
                          <w:bCs/>
                          <w:color w:val="000000"/>
                          <w:szCs w:val="24"/>
                          <w:lang w:eastAsia="lt-LT"/>
                        </w:rPr>
                        <w:t>Sprendimui įgyvendinti reikalingi priimti papildomi teisės aktai:</w:t>
                      </w:r>
                      <w:r>
                        <w:rPr>
                          <w:rFonts w:eastAsia="HG Mincho Light J"/>
                          <w:color w:val="000000"/>
                          <w:szCs w:val="24"/>
                          <w:lang w:eastAsia="lt-LT"/>
                        </w:rPr>
                        <w:t xml:space="preserve"> Savivaldybės mero potvarkiu patvirtintas savivaldybės biudžeto pajamų ir programų finansavimo planas bei Savivaldybės administracijos direktoriaus patvirtintas programų vykdytojų veiklos planas. </w:t>
                      </w:r>
                    </w:p>
                    <w:p w14:paraId="72C1BCFC" w14:textId="68F7F7E6">
                      <w:pPr>
                        <w:widowControl w:val="0"/>
                        <w:tabs>
                          <w:tab w:val="left" w:pos="1296"/>
                        </w:tabs>
                        <w:suppressAutoHyphens/>
                        <w:ind w:left="927" w:hanging="360"/>
                        <w:jc w:val="both"/>
                        <w:rPr>
                          <w:rFonts w:eastAsia="HG Mincho Light J"/>
                          <w:color w:val="000000"/>
                          <w:szCs w:val="24"/>
                          <w:shd w:val="clear" w:color="auto" w:fill="FFFFFF"/>
                          <w:lang w:eastAsia="lt-LT"/>
                        </w:rPr>
                      </w:pPr>
                      <w:r>
                        <w:rPr>
                          <w:rFonts w:eastAsia="HG Mincho Light J"/>
                          <w:b/>
                          <w:color w:val="000000"/>
                          <w:szCs w:val="24"/>
                          <w:shd w:val="clear" w:color="auto" w:fill="FFFFFF"/>
                          <w:lang w:eastAsia="lt-LT"/>
                        </w:rPr>
                        <w:t xml:space="preserve">Sprendimo projekto antikorupcinis vertinimas. </w:t>
                      </w:r>
                      <w:r>
                        <w:rPr>
                          <w:rFonts w:eastAsia="Calibri"/>
                          <w:color w:val="000000"/>
                          <w:szCs w:val="24"/>
                          <w:lang w:eastAsia="lt-LT"/>
                        </w:rPr>
                        <w:t>Vertinimas neatliekamas.</w:t>
                      </w:r>
                    </w:p>
                    <w:p w14:paraId="42A5F6B3" w14:textId="00FF1659">
                      <w:pPr>
                        <w:tabs>
                          <w:tab w:val="left" w:pos="1296"/>
                        </w:tabs>
                        <w:ind w:firstLine="540"/>
                        <w:jc w:val="both"/>
                      </w:pPr>
                      <w:r>
                        <w:rPr>
                          <w:b/>
                          <w:szCs w:val="24"/>
                          <w:shd w:val="clear" w:color="auto" w:fill="FFFFFF"/>
                        </w:rPr>
                        <w:t>Sprendimo projektą parengė</w:t>
                      </w:r>
                      <w:r>
                        <w:rPr>
                          <w:szCs w:val="24"/>
                          <w:shd w:val="clear" w:color="auto" w:fill="FFFFFF"/>
                        </w:rPr>
                        <w:t xml:space="preserve"> </w:t>
                      </w:r>
                      <w:r>
                        <w:rPr>
                          <w:szCs w:val="24"/>
                          <w:lang w:eastAsia="ar-SA"/>
                        </w:rPr>
                        <w:t>Strateginio planavimo ir finansų skyrius.</w:t>
                      </w:r>
                      <w:r>
                        <w:rPr>
                          <w:szCs w:val="24"/>
                          <w:shd w:val="clear" w:color="auto" w:fill="FFFFFF"/>
                        </w:rPr>
                        <w:t xml:space="preserve"> Tiesioginis rengėjas - </w:t>
                      </w:r>
                      <w:r>
                        <w:rPr>
                          <w:lang w:eastAsia="ar-SA"/>
                        </w:rPr>
                        <w:t xml:space="preserve">patarėja Irena Paliulytė, tel. 59 62 71, vyr. specialistė Janina Rusteikienė, tel. 59 62 93, </w:t>
                      </w:r>
                      <w:r>
                        <w:t>vyr. specialistė Dovilė Jozonienė, tel. 59 62 73, vyr. specialistė Asta Ibėnienė, tel. 59 62 75.</w:t>
                      </w:r>
                    </w:p>
                    <w:p w14:paraId="42A5F6B4" w14:textId="77777777">
                      <w:pPr>
                        <w:tabs>
                          <w:tab w:val="left" w:pos="855"/>
                        </w:tabs>
                        <w:ind w:firstLine="567"/>
                        <w:jc w:val="both"/>
                        <w:rPr>
                          <w:rFonts w:eastAsia="Calibri"/>
                          <w:szCs w:val="24"/>
                        </w:rPr>
                      </w:pPr>
                      <w:r>
                        <w:rPr>
                          <w:b/>
                          <w:szCs w:val="24"/>
                          <w:shd w:val="clear" w:color="auto" w:fill="FFFFFF"/>
                        </w:rPr>
                        <w:t>N</w:t>
                      </w:r>
                      <w:r>
                        <w:rPr>
                          <w:rFonts w:eastAsia="Calibri"/>
                          <w:b/>
                          <w:szCs w:val="24"/>
                        </w:rPr>
                        <w:t xml:space="preserve">umatomo teisinio reguliavimo poveikio vertinimo rezultatai. </w:t>
                      </w:r>
                      <w:r>
                        <w:rPr>
                          <w:rFonts w:eastAsia="Calibri"/>
                          <w:szCs w:val="24"/>
                        </w:rPr>
                        <w:t>Vertinimas neatliekamas.</w:t>
                      </w:r>
                    </w:p>
                    <w:p w14:paraId="6FB4A9DD" w14:textId="6DC73D97">
                      <w:pPr>
                        <w:tabs>
                          <w:tab w:val="left" w:pos="855"/>
                        </w:tabs>
                        <w:ind w:firstLine="567"/>
                        <w:jc w:val="both"/>
                        <w:rPr>
                          <w:rFonts w:eastAsia="Calibri"/>
                          <w:szCs w:val="24"/>
                        </w:rPr>
                      </w:pPr>
                    </w:p>
                    <w:p w14:paraId="0F92AE6A" w14:textId="2596120F">
                      <w:pPr>
                        <w:tabs>
                          <w:tab w:val="left" w:pos="855"/>
                        </w:tabs>
                        <w:ind w:firstLine="567"/>
                        <w:jc w:val="both"/>
                        <w:rPr>
                          <w:rFonts w:eastAsia="Calibri"/>
                          <w:szCs w:val="24"/>
                        </w:rPr>
                      </w:pPr>
                    </w:p>
                    <w:p w14:paraId="093F974E" w14:textId="679C343F">
                      <w:pPr>
                        <w:tabs>
                          <w:tab w:val="left" w:pos="855"/>
                        </w:tabs>
                        <w:ind w:firstLine="567"/>
                        <w:jc w:val="both"/>
                        <w:rPr>
                          <w:rFonts w:eastAsia="Calibri"/>
                          <w:szCs w:val="24"/>
                        </w:rPr>
                      </w:pPr>
                    </w:p>
                    <w:p w14:paraId="6E8D3577" w14:textId="3A491B9A">
                      <w:pPr>
                        <w:tabs>
                          <w:tab w:val="left" w:pos="855"/>
                        </w:tabs>
                        <w:ind w:firstLine="567"/>
                        <w:jc w:val="both"/>
                        <w:rPr>
                          <w:rFonts w:eastAsia="Calibri"/>
                          <w:szCs w:val="24"/>
                        </w:rPr>
                      </w:pPr>
                    </w:p>
                    <w:p w14:paraId="21B4C913" w14:textId="77777777">
                      <w:pPr>
                        <w:tabs>
                          <w:tab w:val="left" w:pos="855"/>
                        </w:tabs>
                        <w:ind w:firstLine="567"/>
                        <w:jc w:val="both"/>
                        <w:rPr>
                          <w:rFonts w:eastAsia="Calibri"/>
                          <w:szCs w:val="24"/>
                        </w:rPr>
                      </w:pPr>
                    </w:p>
                    <w:p w14:paraId="5244D1FA" w14:textId="35384F91">
                      <w:pPr>
                        <w:tabs>
                          <w:tab w:val="left" w:pos="855"/>
                        </w:tabs>
                        <w:ind w:firstLine="567"/>
                        <w:jc w:val="both"/>
                        <w:rPr>
                          <w:rFonts w:eastAsia="Calibri"/>
                          <w:szCs w:val="24"/>
                        </w:rPr>
                      </w:pPr>
                    </w:p>
                  </w:sdtContent>
                </w:sdt>
              </w:sdtContent>
            </w:sdt>
          </w:sdtContent>
        </w:sdt>
        <w:sdt>
          <w:sdtPr>
            <w:alias w:val="signatura"/>
            <w:tag w:val="part_867391929f4c4b2aaff7a90a68705d17"/>
            <w:lock w:val="sdtLocked"/>
            <w:richText/>
          </w:sdtPr>
          <w:sdtContent>
            <w:p w14:paraId="42A5F6BE" w14:textId="019124BD">
              <w:pPr>
                <w:tabs>
                  <w:tab w:val="left" w:pos="855"/>
                </w:tabs>
                <w:jc w:val="both"/>
                <w:rPr>
                  <w:szCs w:val="24"/>
                  <w:lang w:eastAsia="ar-SA"/>
                </w:rPr>
              </w:pPr>
              <w:r>
                <w:rPr>
                  <w:szCs w:val="24"/>
                  <w:lang w:eastAsia="ar-SA"/>
                </w:rPr>
                <w:t xml:space="preserve">Strateginio planavimo ir finansų skyriaus vedėja                                             Vaida Kalasevičienė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595522" w14:textId="77777777">
      <w:r>
        <w:separator/>
      </w:r>
    </w:p>
  </w:endnote>
  <w:endnote w:type="continuationSeparator" w:id="0">
    <w:p w14:paraId="6C51CC8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62261"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08DA7"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CE3020"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B3F3D6" w14:textId="77777777">
      <w:r>
        <w:separator/>
      </w:r>
    </w:p>
  </w:footnote>
  <w:footnote w:type="continuationSeparator" w:id="0">
    <w:p w14:paraId="65834142"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3"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42A5F6C4"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5"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14:paraId="42A5F6C6"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8" w14:textId="77777777">
    <w:pPr>
      <w:tabs>
        <w:tab w:val="center" w:pos="4153"/>
        <w:tab w:val="right" w:pos="8306"/>
      </w:tabs>
      <w:rPr>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5F667"/>
  <w15:docId w15:val="{020C457A-56BC-4543-AE23-0B58F8FFE5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169270">
      <w:bodyDiv w:val="1"/>
      <w:marLeft w:val="0"/>
      <w:marRight w:val="0"/>
      <w:marTop w:val="0"/>
      <w:marBottom w:val="0"/>
      <w:divBdr>
        <w:top w:val="none" w:sz="0" w:space="0" w:color="auto"/>
        <w:left w:val="none" w:sz="0" w:space="0" w:color="auto"/>
        <w:bottom w:val="none" w:sz="0" w:space="0" w:color="auto"/>
        <w:right w:val="none" w:sz="0" w:space="0" w:color="auto"/>
      </w:divBdr>
    </w:div>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44648425">
      <w:bodyDiv w:val="1"/>
      <w:marLeft w:val="0"/>
      <w:marRight w:val="0"/>
      <w:marTop w:val="0"/>
      <w:marBottom w:val="0"/>
      <w:divBdr>
        <w:top w:val="none" w:sz="0" w:space="0" w:color="auto"/>
        <w:left w:val="none" w:sz="0" w:space="0" w:color="auto"/>
        <w:bottom w:val="none" w:sz="0" w:space="0" w:color="auto"/>
        <w:right w:val="none" w:sz="0" w:space="0" w:color="auto"/>
      </w:divBdr>
    </w:div>
    <w:div w:id="160048115">
      <w:bodyDiv w:val="1"/>
      <w:marLeft w:val="0"/>
      <w:marRight w:val="0"/>
      <w:marTop w:val="0"/>
      <w:marBottom w:val="0"/>
      <w:divBdr>
        <w:top w:val="none" w:sz="0" w:space="0" w:color="auto"/>
        <w:left w:val="none" w:sz="0" w:space="0" w:color="auto"/>
        <w:bottom w:val="none" w:sz="0" w:space="0" w:color="auto"/>
        <w:right w:val="none" w:sz="0" w:space="0" w:color="auto"/>
      </w:divBdr>
    </w:div>
    <w:div w:id="264076947">
      <w:bodyDiv w:val="1"/>
      <w:marLeft w:val="0"/>
      <w:marRight w:val="0"/>
      <w:marTop w:val="0"/>
      <w:marBottom w:val="0"/>
      <w:divBdr>
        <w:top w:val="none" w:sz="0" w:space="0" w:color="auto"/>
        <w:left w:val="none" w:sz="0" w:space="0" w:color="auto"/>
        <w:bottom w:val="none" w:sz="0" w:space="0" w:color="auto"/>
        <w:right w:val="none" w:sz="0" w:space="0" w:color="auto"/>
      </w:divBdr>
    </w:div>
    <w:div w:id="265818972">
      <w:bodyDiv w:val="1"/>
      <w:marLeft w:val="0"/>
      <w:marRight w:val="0"/>
      <w:marTop w:val="0"/>
      <w:marBottom w:val="0"/>
      <w:divBdr>
        <w:top w:val="none" w:sz="0" w:space="0" w:color="auto"/>
        <w:left w:val="none" w:sz="0" w:space="0" w:color="auto"/>
        <w:bottom w:val="none" w:sz="0" w:space="0" w:color="auto"/>
        <w:right w:val="none" w:sz="0" w:space="0" w:color="auto"/>
      </w:divBdr>
    </w:div>
    <w:div w:id="318314344">
      <w:bodyDiv w:val="1"/>
      <w:marLeft w:val="0"/>
      <w:marRight w:val="0"/>
      <w:marTop w:val="0"/>
      <w:marBottom w:val="0"/>
      <w:divBdr>
        <w:top w:val="none" w:sz="0" w:space="0" w:color="auto"/>
        <w:left w:val="none" w:sz="0" w:space="0" w:color="auto"/>
        <w:bottom w:val="none" w:sz="0" w:space="0" w:color="auto"/>
        <w:right w:val="none" w:sz="0" w:space="0" w:color="auto"/>
      </w:divBdr>
    </w:div>
    <w:div w:id="366874206">
      <w:bodyDiv w:val="1"/>
      <w:marLeft w:val="0"/>
      <w:marRight w:val="0"/>
      <w:marTop w:val="0"/>
      <w:marBottom w:val="0"/>
      <w:divBdr>
        <w:top w:val="none" w:sz="0" w:space="0" w:color="auto"/>
        <w:left w:val="none" w:sz="0" w:space="0" w:color="auto"/>
        <w:bottom w:val="none" w:sz="0" w:space="0" w:color="auto"/>
        <w:right w:val="none" w:sz="0" w:space="0" w:color="auto"/>
      </w:divBdr>
    </w:div>
    <w:div w:id="395251326">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538903886">
      <w:bodyDiv w:val="1"/>
      <w:marLeft w:val="0"/>
      <w:marRight w:val="0"/>
      <w:marTop w:val="0"/>
      <w:marBottom w:val="0"/>
      <w:divBdr>
        <w:top w:val="none" w:sz="0" w:space="0" w:color="auto"/>
        <w:left w:val="none" w:sz="0" w:space="0" w:color="auto"/>
        <w:bottom w:val="none" w:sz="0" w:space="0" w:color="auto"/>
        <w:right w:val="none" w:sz="0" w:space="0" w:color="auto"/>
      </w:divBdr>
    </w:div>
    <w:div w:id="544215147">
      <w:bodyDiv w:val="1"/>
      <w:marLeft w:val="0"/>
      <w:marRight w:val="0"/>
      <w:marTop w:val="0"/>
      <w:marBottom w:val="0"/>
      <w:divBdr>
        <w:top w:val="none" w:sz="0" w:space="0" w:color="auto"/>
        <w:left w:val="none" w:sz="0" w:space="0" w:color="auto"/>
        <w:bottom w:val="none" w:sz="0" w:space="0" w:color="auto"/>
        <w:right w:val="none" w:sz="0" w:space="0" w:color="auto"/>
      </w:divBdr>
    </w:div>
    <w:div w:id="556667571">
      <w:bodyDiv w:val="1"/>
      <w:marLeft w:val="0"/>
      <w:marRight w:val="0"/>
      <w:marTop w:val="0"/>
      <w:marBottom w:val="0"/>
      <w:divBdr>
        <w:top w:val="none" w:sz="0" w:space="0" w:color="auto"/>
        <w:left w:val="none" w:sz="0" w:space="0" w:color="auto"/>
        <w:bottom w:val="none" w:sz="0" w:space="0" w:color="auto"/>
        <w:right w:val="none" w:sz="0" w:space="0" w:color="auto"/>
      </w:divBdr>
    </w:div>
    <w:div w:id="566262992">
      <w:bodyDiv w:val="1"/>
      <w:marLeft w:val="0"/>
      <w:marRight w:val="0"/>
      <w:marTop w:val="0"/>
      <w:marBottom w:val="0"/>
      <w:divBdr>
        <w:top w:val="none" w:sz="0" w:space="0" w:color="auto"/>
        <w:left w:val="none" w:sz="0" w:space="0" w:color="auto"/>
        <w:bottom w:val="none" w:sz="0" w:space="0" w:color="auto"/>
        <w:right w:val="none" w:sz="0" w:space="0" w:color="auto"/>
      </w:divBdr>
    </w:div>
    <w:div w:id="585000816">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616912833">
      <w:bodyDiv w:val="1"/>
      <w:marLeft w:val="0"/>
      <w:marRight w:val="0"/>
      <w:marTop w:val="0"/>
      <w:marBottom w:val="0"/>
      <w:divBdr>
        <w:top w:val="none" w:sz="0" w:space="0" w:color="auto"/>
        <w:left w:val="none" w:sz="0" w:space="0" w:color="auto"/>
        <w:bottom w:val="none" w:sz="0" w:space="0" w:color="auto"/>
        <w:right w:val="none" w:sz="0" w:space="0" w:color="auto"/>
      </w:divBdr>
    </w:div>
    <w:div w:id="618950285">
      <w:bodyDiv w:val="1"/>
      <w:marLeft w:val="0"/>
      <w:marRight w:val="0"/>
      <w:marTop w:val="0"/>
      <w:marBottom w:val="0"/>
      <w:divBdr>
        <w:top w:val="none" w:sz="0" w:space="0" w:color="auto"/>
        <w:left w:val="none" w:sz="0" w:space="0" w:color="auto"/>
        <w:bottom w:val="none" w:sz="0" w:space="0" w:color="auto"/>
        <w:right w:val="none" w:sz="0" w:space="0" w:color="auto"/>
      </w:divBdr>
    </w:div>
    <w:div w:id="679892268">
      <w:bodyDiv w:val="1"/>
      <w:marLeft w:val="0"/>
      <w:marRight w:val="0"/>
      <w:marTop w:val="0"/>
      <w:marBottom w:val="0"/>
      <w:divBdr>
        <w:top w:val="none" w:sz="0" w:space="0" w:color="auto"/>
        <w:left w:val="none" w:sz="0" w:space="0" w:color="auto"/>
        <w:bottom w:val="none" w:sz="0" w:space="0" w:color="auto"/>
        <w:right w:val="none" w:sz="0" w:space="0" w:color="auto"/>
      </w:divBdr>
    </w:div>
    <w:div w:id="698555029">
      <w:bodyDiv w:val="1"/>
      <w:marLeft w:val="0"/>
      <w:marRight w:val="0"/>
      <w:marTop w:val="0"/>
      <w:marBottom w:val="0"/>
      <w:divBdr>
        <w:top w:val="none" w:sz="0" w:space="0" w:color="auto"/>
        <w:left w:val="none" w:sz="0" w:space="0" w:color="auto"/>
        <w:bottom w:val="none" w:sz="0" w:space="0" w:color="auto"/>
        <w:right w:val="none" w:sz="0" w:space="0" w:color="auto"/>
      </w:divBdr>
    </w:div>
    <w:div w:id="823593878">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848717876">
      <w:bodyDiv w:val="1"/>
      <w:marLeft w:val="0"/>
      <w:marRight w:val="0"/>
      <w:marTop w:val="0"/>
      <w:marBottom w:val="0"/>
      <w:divBdr>
        <w:top w:val="none" w:sz="0" w:space="0" w:color="auto"/>
        <w:left w:val="none" w:sz="0" w:space="0" w:color="auto"/>
        <w:bottom w:val="none" w:sz="0" w:space="0" w:color="auto"/>
        <w:right w:val="none" w:sz="0" w:space="0" w:color="auto"/>
      </w:divBdr>
    </w:div>
    <w:div w:id="861406647">
      <w:bodyDiv w:val="1"/>
      <w:marLeft w:val="0"/>
      <w:marRight w:val="0"/>
      <w:marTop w:val="0"/>
      <w:marBottom w:val="0"/>
      <w:divBdr>
        <w:top w:val="none" w:sz="0" w:space="0" w:color="auto"/>
        <w:left w:val="none" w:sz="0" w:space="0" w:color="auto"/>
        <w:bottom w:val="none" w:sz="0" w:space="0" w:color="auto"/>
        <w:right w:val="none" w:sz="0" w:space="0" w:color="auto"/>
      </w:divBdr>
    </w:div>
    <w:div w:id="867067888">
      <w:bodyDiv w:val="1"/>
      <w:marLeft w:val="0"/>
      <w:marRight w:val="0"/>
      <w:marTop w:val="0"/>
      <w:marBottom w:val="0"/>
      <w:divBdr>
        <w:top w:val="none" w:sz="0" w:space="0" w:color="auto"/>
        <w:left w:val="none" w:sz="0" w:space="0" w:color="auto"/>
        <w:bottom w:val="none" w:sz="0" w:space="0" w:color="auto"/>
        <w:right w:val="none" w:sz="0" w:space="0" w:color="auto"/>
      </w:divBdr>
    </w:div>
    <w:div w:id="956565867">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101872831">
      <w:bodyDiv w:val="1"/>
      <w:marLeft w:val="0"/>
      <w:marRight w:val="0"/>
      <w:marTop w:val="0"/>
      <w:marBottom w:val="0"/>
      <w:divBdr>
        <w:top w:val="none" w:sz="0" w:space="0" w:color="auto"/>
        <w:left w:val="none" w:sz="0" w:space="0" w:color="auto"/>
        <w:bottom w:val="none" w:sz="0" w:space="0" w:color="auto"/>
        <w:right w:val="none" w:sz="0" w:space="0" w:color="auto"/>
      </w:divBdr>
    </w:div>
    <w:div w:id="1143039185">
      <w:bodyDiv w:val="1"/>
      <w:marLeft w:val="0"/>
      <w:marRight w:val="0"/>
      <w:marTop w:val="0"/>
      <w:marBottom w:val="0"/>
      <w:divBdr>
        <w:top w:val="none" w:sz="0" w:space="0" w:color="auto"/>
        <w:left w:val="none" w:sz="0" w:space="0" w:color="auto"/>
        <w:bottom w:val="none" w:sz="0" w:space="0" w:color="auto"/>
        <w:right w:val="none" w:sz="0" w:space="0" w:color="auto"/>
      </w:divBdr>
    </w:div>
    <w:div w:id="1146161429">
      <w:bodyDiv w:val="1"/>
      <w:marLeft w:val="0"/>
      <w:marRight w:val="0"/>
      <w:marTop w:val="0"/>
      <w:marBottom w:val="0"/>
      <w:divBdr>
        <w:top w:val="none" w:sz="0" w:space="0" w:color="auto"/>
        <w:left w:val="none" w:sz="0" w:space="0" w:color="auto"/>
        <w:bottom w:val="none" w:sz="0" w:space="0" w:color="auto"/>
        <w:right w:val="none" w:sz="0" w:space="0" w:color="auto"/>
      </w:divBdr>
    </w:div>
    <w:div w:id="1148593771">
      <w:bodyDiv w:val="1"/>
      <w:marLeft w:val="0"/>
      <w:marRight w:val="0"/>
      <w:marTop w:val="0"/>
      <w:marBottom w:val="0"/>
      <w:divBdr>
        <w:top w:val="none" w:sz="0" w:space="0" w:color="auto"/>
        <w:left w:val="none" w:sz="0" w:space="0" w:color="auto"/>
        <w:bottom w:val="none" w:sz="0" w:space="0" w:color="auto"/>
        <w:right w:val="none" w:sz="0" w:space="0" w:color="auto"/>
      </w:divBdr>
    </w:div>
    <w:div w:id="1290159707">
      <w:bodyDiv w:val="1"/>
      <w:marLeft w:val="0"/>
      <w:marRight w:val="0"/>
      <w:marTop w:val="0"/>
      <w:marBottom w:val="0"/>
      <w:divBdr>
        <w:top w:val="none" w:sz="0" w:space="0" w:color="auto"/>
        <w:left w:val="none" w:sz="0" w:space="0" w:color="auto"/>
        <w:bottom w:val="none" w:sz="0" w:space="0" w:color="auto"/>
        <w:right w:val="none" w:sz="0" w:space="0" w:color="auto"/>
      </w:divBdr>
    </w:div>
    <w:div w:id="1303584423">
      <w:bodyDiv w:val="1"/>
      <w:marLeft w:val="0"/>
      <w:marRight w:val="0"/>
      <w:marTop w:val="0"/>
      <w:marBottom w:val="0"/>
      <w:divBdr>
        <w:top w:val="none" w:sz="0" w:space="0" w:color="auto"/>
        <w:left w:val="none" w:sz="0" w:space="0" w:color="auto"/>
        <w:bottom w:val="none" w:sz="0" w:space="0" w:color="auto"/>
        <w:right w:val="none" w:sz="0" w:space="0" w:color="auto"/>
      </w:divBdr>
    </w:div>
    <w:div w:id="1430855208">
      <w:bodyDiv w:val="1"/>
      <w:marLeft w:val="0"/>
      <w:marRight w:val="0"/>
      <w:marTop w:val="0"/>
      <w:marBottom w:val="0"/>
      <w:divBdr>
        <w:top w:val="none" w:sz="0" w:space="0" w:color="auto"/>
        <w:left w:val="none" w:sz="0" w:space="0" w:color="auto"/>
        <w:bottom w:val="none" w:sz="0" w:space="0" w:color="auto"/>
        <w:right w:val="none" w:sz="0" w:space="0" w:color="auto"/>
      </w:divBdr>
    </w:div>
    <w:div w:id="1462268598">
      <w:bodyDiv w:val="1"/>
      <w:marLeft w:val="0"/>
      <w:marRight w:val="0"/>
      <w:marTop w:val="0"/>
      <w:marBottom w:val="0"/>
      <w:divBdr>
        <w:top w:val="none" w:sz="0" w:space="0" w:color="auto"/>
        <w:left w:val="none" w:sz="0" w:space="0" w:color="auto"/>
        <w:bottom w:val="none" w:sz="0" w:space="0" w:color="auto"/>
        <w:right w:val="none" w:sz="0" w:space="0" w:color="auto"/>
      </w:divBdr>
    </w:div>
    <w:div w:id="1473712688">
      <w:bodyDiv w:val="1"/>
      <w:marLeft w:val="0"/>
      <w:marRight w:val="0"/>
      <w:marTop w:val="0"/>
      <w:marBottom w:val="0"/>
      <w:divBdr>
        <w:top w:val="none" w:sz="0" w:space="0" w:color="auto"/>
        <w:left w:val="none" w:sz="0" w:space="0" w:color="auto"/>
        <w:bottom w:val="none" w:sz="0" w:space="0" w:color="auto"/>
        <w:right w:val="none" w:sz="0" w:space="0" w:color="auto"/>
      </w:divBdr>
    </w:div>
    <w:div w:id="1521048424">
      <w:bodyDiv w:val="1"/>
      <w:marLeft w:val="0"/>
      <w:marRight w:val="0"/>
      <w:marTop w:val="0"/>
      <w:marBottom w:val="0"/>
      <w:divBdr>
        <w:top w:val="none" w:sz="0" w:space="0" w:color="auto"/>
        <w:left w:val="none" w:sz="0" w:space="0" w:color="auto"/>
        <w:bottom w:val="none" w:sz="0" w:space="0" w:color="auto"/>
        <w:right w:val="none" w:sz="0" w:space="0" w:color="auto"/>
      </w:divBdr>
    </w:div>
    <w:div w:id="1592005920">
      <w:bodyDiv w:val="1"/>
      <w:marLeft w:val="0"/>
      <w:marRight w:val="0"/>
      <w:marTop w:val="0"/>
      <w:marBottom w:val="0"/>
      <w:divBdr>
        <w:top w:val="none" w:sz="0" w:space="0" w:color="auto"/>
        <w:left w:val="none" w:sz="0" w:space="0" w:color="auto"/>
        <w:bottom w:val="none" w:sz="0" w:space="0" w:color="auto"/>
        <w:right w:val="none" w:sz="0" w:space="0" w:color="auto"/>
      </w:divBdr>
    </w:div>
    <w:div w:id="1599100213">
      <w:bodyDiv w:val="1"/>
      <w:marLeft w:val="0"/>
      <w:marRight w:val="0"/>
      <w:marTop w:val="0"/>
      <w:marBottom w:val="0"/>
      <w:divBdr>
        <w:top w:val="none" w:sz="0" w:space="0" w:color="auto"/>
        <w:left w:val="none" w:sz="0" w:space="0" w:color="auto"/>
        <w:bottom w:val="none" w:sz="0" w:space="0" w:color="auto"/>
        <w:right w:val="none" w:sz="0" w:space="0" w:color="auto"/>
      </w:divBdr>
    </w:div>
    <w:div w:id="1620187129">
      <w:bodyDiv w:val="1"/>
      <w:marLeft w:val="0"/>
      <w:marRight w:val="0"/>
      <w:marTop w:val="0"/>
      <w:marBottom w:val="0"/>
      <w:divBdr>
        <w:top w:val="none" w:sz="0" w:space="0" w:color="auto"/>
        <w:left w:val="none" w:sz="0" w:space="0" w:color="auto"/>
        <w:bottom w:val="none" w:sz="0" w:space="0" w:color="auto"/>
        <w:right w:val="none" w:sz="0" w:space="0" w:color="auto"/>
      </w:divBdr>
    </w:div>
    <w:div w:id="1652827485">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693915915">
      <w:bodyDiv w:val="1"/>
      <w:marLeft w:val="0"/>
      <w:marRight w:val="0"/>
      <w:marTop w:val="0"/>
      <w:marBottom w:val="0"/>
      <w:divBdr>
        <w:top w:val="none" w:sz="0" w:space="0" w:color="auto"/>
        <w:left w:val="none" w:sz="0" w:space="0" w:color="auto"/>
        <w:bottom w:val="none" w:sz="0" w:space="0" w:color="auto"/>
        <w:right w:val="none" w:sz="0" w:space="0" w:color="auto"/>
      </w:divBdr>
    </w:div>
    <w:div w:id="1695303190">
      <w:bodyDiv w:val="1"/>
      <w:marLeft w:val="0"/>
      <w:marRight w:val="0"/>
      <w:marTop w:val="0"/>
      <w:marBottom w:val="0"/>
      <w:divBdr>
        <w:top w:val="none" w:sz="0" w:space="0" w:color="auto"/>
        <w:left w:val="none" w:sz="0" w:space="0" w:color="auto"/>
        <w:bottom w:val="none" w:sz="0" w:space="0" w:color="auto"/>
        <w:right w:val="none" w:sz="0" w:space="0" w:color="auto"/>
      </w:divBdr>
    </w:div>
    <w:div w:id="1788620795">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842309953">
      <w:bodyDiv w:val="1"/>
      <w:marLeft w:val="0"/>
      <w:marRight w:val="0"/>
      <w:marTop w:val="0"/>
      <w:marBottom w:val="0"/>
      <w:divBdr>
        <w:top w:val="none" w:sz="0" w:space="0" w:color="auto"/>
        <w:left w:val="none" w:sz="0" w:space="0" w:color="auto"/>
        <w:bottom w:val="none" w:sz="0" w:space="0" w:color="auto"/>
        <w:right w:val="none" w:sz="0" w:space="0" w:color="auto"/>
      </w:divBdr>
    </w:div>
    <w:div w:id="1889603894">
      <w:bodyDiv w:val="1"/>
      <w:marLeft w:val="0"/>
      <w:marRight w:val="0"/>
      <w:marTop w:val="0"/>
      <w:marBottom w:val="0"/>
      <w:divBdr>
        <w:top w:val="none" w:sz="0" w:space="0" w:color="auto"/>
        <w:left w:val="none" w:sz="0" w:space="0" w:color="auto"/>
        <w:bottom w:val="none" w:sz="0" w:space="0" w:color="auto"/>
        <w:right w:val="none" w:sz="0" w:space="0" w:color="auto"/>
      </w:divBdr>
    </w:div>
    <w:div w:id="196851164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2006395243">
      <w:bodyDiv w:val="1"/>
      <w:marLeft w:val="0"/>
      <w:marRight w:val="0"/>
      <w:marTop w:val="0"/>
      <w:marBottom w:val="0"/>
      <w:divBdr>
        <w:top w:val="none" w:sz="0" w:space="0" w:color="auto"/>
        <w:left w:val="none" w:sz="0" w:space="0" w:color="auto"/>
        <w:bottom w:val="none" w:sz="0" w:space="0" w:color="auto"/>
        <w:right w:val="none" w:sz="0" w:space="0" w:color="auto"/>
      </w:divBdr>
    </w:div>
    <w:div w:id="2031829947">
      <w:bodyDiv w:val="1"/>
      <w:marLeft w:val="0"/>
      <w:marRight w:val="0"/>
      <w:marTop w:val="0"/>
      <w:marBottom w:val="0"/>
      <w:divBdr>
        <w:top w:val="none" w:sz="0" w:space="0" w:color="auto"/>
        <w:left w:val="none" w:sz="0" w:space="0" w:color="auto"/>
        <w:bottom w:val="none" w:sz="0" w:space="0" w:color="auto"/>
        <w:right w:val="none" w:sz="0" w:space="0" w:color="auto"/>
      </w:divBdr>
    </w:div>
    <w:div w:id="2044818495">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 w:id="2133093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0ae7a50ed8f44d184c83cce4c8701c8" PartId="b970989f1b3e4a3699fb9609d1d7b6c9">
    <Part Type="skyrius" Nr="999" Title="SPRENDIMO „DĖL ŠIAULIŲ MIESTO SAVIVALDYBĖS TARYBOS 2023 M. VASARIO 2 D. SPRENDIMO NR. T-2 „DĖL ŠIAULIŲ MIESTO SAVIVALDYBĖS 2023 METŲ BIUDŽETO PATVIRTINIMO“ PAKEITIMO“ PROJEKTO AIŠKINAMASIS RAŠTAS" DocPartId="3f393900b3754ac0b1d26957f33867c3" PartId="c7ee112e7f1044cf95f9d74e3531e2a7">
      <Part Type="poskyris" Title="Parengto sprendimo projekto tikslas ir uždaviniai." DocPartId="ea8955bd0f7647f08ad8a40ec2ed111f" PartId="41b4c4a4512a4dcc988caf225afc35d9"/>
      <Part Type="poskyris" Title="Dabartinis sprendimo projekte aptariamų klausimų reguliavimas." DocPartId="3ac81f93b528448da855ed5a810858d7" PartId="0554629a17554f7a93a340409738978e"/>
      <Part Type="poskyris" Title="Sprendimo projekte numatytos naujos teisinio reglamentavimo nuostatos." DocPartId="18a745adacdc42cc8ad8e52b4f50c2d1" PartId="b58c5d84f38441b1afb7a05f6d0ad9f7">
        <Part Type="punktas" Nr="1" Abbr="1 p." DocPartId="efe18c20e75842b9a998c121948ddf1e" PartId="5f239ce7e02a485582117863363673f6">
          <Part Type="papunktis" Nr="1.1" Abbr="1.1 pp." DocPartId="0c7bdb1375df4ac59854e3092357603a" PartId="7fdc2e92443b472ab791bef4650a56ed"/>
          <Part Type="papunktis" Nr="1.2" Abbr="1.2 pp." DocPartId="cfd01812cf2c4f78b271bc9791697513" PartId="86a1638bc85741278bada02ca0110a0c"/>
          <Part Type="papunktis" Nr="1.3" Abbr="1.3 pp." DocPartId="e3d3c02291b446f3b9c3f4253521767b" PartId="546aac8744de4eebbeb62f5572956377"/>
          <Part Type="papunktis" Nr="1.4" Abbr="1.4 pp." DocPartId="c660552bef154f98903141e4018e7143" PartId="4e82dee7ab5a46cb91af21003e3444e6"/>
          <Part Type="papunktis" Nr="1.5" Abbr="1.5 pp." DocPartId="fd7c97a1cae241b1a3d88d5ca635f051" PartId="165f1ed9c4014573b94d4dcd10299bc9"/>
        </Part>
        <Part Type="punktas" Nr="2" Abbr="2 p." DocPartId="bea0bec173be4504a0ea36ef5db53dc5" PartId="0ef932166c4c4a2489e63909d7decf4f">
          <Part Type="papunktis" Nr="2.1" Abbr="2.1 pp." DocPartId="5c649154c4d3485da05a3c7c7b0f5aa3" PartId="00e6d644fb1c4e898f09f1162389edf0"/>
          <Part Type="papunktis" Nr="2.2" Abbr="2.2 pp." DocPartId="48196516cdbb4e04afd29481083003a6" PartId="5a104ab5bdef449eafcc4894bae20137"/>
          <Part Type="papunktis" Nr="2.3" Abbr="2.3 pp." DocPartId="64f0c0077575461598c4c4d99aa2dac2" PartId="587f65bf941f46b8a705fec9174b6788"/>
          <Part Type="papunktis" Nr="2.4" Abbr="2.4 pp." DocPartId="e37f0e7d2ff145b393dceb91c0fa0dee" PartId="ccb11c8983b440bc9cdd756c036e32fa"/>
          <Part Type="papunktis" Nr="2.5" Abbr="2.5 pp." DocPartId="8a195ad6f9934503ad755c9424ae56fc" PartId="687107db765f4b6dbe05d091f669446c"/>
          <Part Type="papunktis" Nr="2.6" Abbr="2.6 pp." DocPartId="d62bff67f570410683a9910a48eb823a" PartId="1f7ccb7f09be446da0d178fa1c17c2f5"/>
        </Part>
        <Part Type="punktas" Nr="3" Abbr="3 p." DocPartId="027669e1a1eb462e9b41e98835ca60be" PartId="660aa3158c2640d29fcf667f9303af70"/>
      </Part>
    </Part>
    <Part Type="signatura" DocPartId="533c1903ba484d2ca0680ce2eb7d7914" PartId="867391929f4c4b2aaff7a90a68705d17"/>
  </Part>
</Parts>
</file>

<file path=customXml/itemProps1.xml><?xml version="1.0" encoding="utf-8"?>
<ds:datastoreItem xmlns:ds="http://schemas.openxmlformats.org/officeDocument/2006/customXml" ds:itemID="{6D1FFE6B-A28B-41C3-BFDF-FCF1C4EBBC30}">
  <ds:schemaRefs>
    <ds:schemaRef ds:uri="http://schemas.openxmlformats.org/officeDocument/2006/bibliography"/>
  </ds:schemaRefs>
</ds:datastoreItem>
</file>

<file path=customXml/itemProps2.xml><?xml version="1.0" encoding="utf-8"?>
<ds:datastoreItem xmlns:ds="http://schemas.openxmlformats.org/officeDocument/2006/customXml" ds:itemID="{7CFF6DB3-0DA2-4F3F-B66D-5FDA8CDBB4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1312</Words>
  <Characters>9529</Characters>
  <Application>Microsoft Office Word</Application>
  <DocSecurity>4</DocSecurity>
  <Lines>142</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10800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2023-06-23T08:34:00Z</dcterms:created>
  <dc:creator>Irmina Volskienė</dc:creator>
  <lastModifiedBy>adlibuser</lastModifiedBy>
  <lastPrinted>2023-05-09T12:47:00Z</lastPrinted>
  <dcterms:modified xsi:type="dcterms:W3CDTF">2023-06-23T08:34:00Z</dcterms:modified>
  <revision>2</revision>
</coreProperties>
</file>