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47a2cfb19204588b5ac66398a14c2f6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</w:pPr>
        </w:p>
        <w:p>
          <w:pPr>
            <w:spacing w:line="276" w:lineRule="auto"/>
            <w:jc w:val="center"/>
            <w:rPr>
              <w:rFonts w:eastAsia="Calibri"/>
              <w:b/>
              <w:color w:val="000000"/>
              <w:szCs w:val="24"/>
            </w:rPr>
          </w:pPr>
          <w:r>
            <w:rPr>
              <w:rFonts w:eastAsia="Calibri"/>
              <w:b/>
              <w:color w:val="000000"/>
              <w:szCs w:val="24"/>
            </w:rPr>
            <w:t>NUMATOMO TEISINIO REGULIAVIMO POVEIKIO VERTINIMO PAŽYMA</w:t>
          </w:r>
        </w:p>
        <w:p>
          <w:pPr>
            <w:spacing w:line="276" w:lineRule="auto"/>
            <w:jc w:val="center"/>
            <w:rPr>
              <w:rFonts w:eastAsia="Calibri"/>
              <w:b/>
              <w:color w:val="000000"/>
              <w:szCs w:val="24"/>
            </w:rPr>
          </w:pPr>
        </w:p>
        <w:tbl>
          <w:tblPr>
            <w:tblW w:w="9639" w:type="dxa"/>
            <w:jc w:val="center"/>
            <w:tblLook w:val="00A0" w:firstRow="1" w:lastRow="0" w:firstColumn="1" w:lastColumn="0" w:noHBand="0" w:noVBand="0"/>
          </w:tblPr>
          <w:tblGrid>
            <w:gridCol w:w="2161"/>
            <w:gridCol w:w="107"/>
            <w:gridCol w:w="7371"/>
          </w:tblGrid>
          <w:tr>
            <w:trPr>
              <w:jc w:val="center"/>
            </w:trPr>
            <w:tc>
              <w:tcPr>
                <w:tcW w:w="2161" w:type="dxa"/>
                <w:shd w:val="clear" w:color="auto" w:fill="auto"/>
                <w:hideMark/>
              </w:tcPr>
              <w:p>
                <w:pPr>
                  <w:spacing w:line="276" w:lineRule="auto"/>
                  <w:rPr>
                    <w:rFonts w:eastAsia="Calibri"/>
                    <w:szCs w:val="24"/>
                    <w:shd w:val="clear" w:color="auto" w:fill="DBE5F1"/>
                  </w:rPr>
                </w:pPr>
                <w:r>
                  <w:rPr>
                    <w:rFonts w:eastAsia="Calibri"/>
                    <w:b/>
                    <w:szCs w:val="24"/>
                  </w:rPr>
                  <w:t>Projekto</w:t>
                </w:r>
                <w:r>
                  <w:rPr>
                    <w:rFonts w:eastAsia="Calibri"/>
                    <w:b/>
                    <w:szCs w:val="24"/>
                    <w:shd w:val="clear" w:color="auto" w:fill="DBE5F1"/>
                  </w:rPr>
                  <w:t xml:space="preserve"> </w:t>
                </w:r>
                <w:r>
                  <w:rPr>
                    <w:rFonts w:eastAsia="Calibri"/>
                    <w:b/>
                    <w:szCs w:val="24"/>
                  </w:rPr>
                  <w:t>pavadinimas</w:t>
                </w:r>
              </w:p>
            </w:tc>
            <w:tc>
              <w:tcPr>
                <w:tcW w:w="7478" w:type="dxa"/>
                <w:gridSpan w:val="2"/>
                <w:shd w:val="clear" w:color="auto" w:fill="auto"/>
              </w:tcPr>
              <w:p>
                <w:pPr>
                  <w:tabs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spacing w:line="276" w:lineRule="auto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</w:rPr>
                  <w:t>Dėl Klimato kaitos programos priemonės „F</w:t>
                </w:r>
                <w:r>
                  <w:rPr>
                    <w:szCs w:val="24"/>
                    <w:lang w:eastAsia="lt-LT"/>
                  </w:rPr>
                  <w:t>inansinės paskatos nevyriausybinių organizacijų veikloms ir (ar) veiksmams, formuojant klimato politiką ir informuojant visuomenę apie klimato kaitą tvarkos aprašo“ patvirtinimo</w:t>
                </w:r>
              </w:p>
            </w:tc>
          </w:tr>
          <w:tr>
            <w:trPr>
              <w:jc w:val="center"/>
            </w:trPr>
            <w:tc>
              <w:tcPr>
                <w:tcW w:w="2268" w:type="dxa"/>
                <w:gridSpan w:val="2"/>
                <w:shd w:val="clear" w:color="auto" w:fill="auto"/>
                <w:hideMark/>
              </w:tcPr>
              <w:p>
                <w:pPr>
                  <w:shd w:val="clear" w:color="auto" w:fill="FFFFFF"/>
                  <w:spacing w:line="276" w:lineRule="auto"/>
                  <w:rPr>
                    <w:rFonts w:eastAsia="Calibri"/>
                    <w:b/>
                    <w:szCs w:val="24"/>
                  </w:rPr>
                </w:pPr>
              </w:p>
              <w:p>
                <w:pPr>
                  <w:shd w:val="clear" w:color="auto" w:fill="FFFFFF"/>
                  <w:spacing w:line="276" w:lineRule="auto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Projekto rengėjas</w:t>
                </w:r>
              </w:p>
            </w:tc>
            <w:tc>
              <w:tcPr>
                <w:tcW w:w="7371" w:type="dxa"/>
                <w:shd w:val="clear" w:color="auto" w:fill="auto"/>
                <w:hideMark/>
              </w:tcPr>
              <w:p>
                <w:pPr>
                  <w:shd w:val="clear" w:color="auto" w:fill="FFFFFF"/>
                  <w:spacing w:line="276" w:lineRule="auto"/>
                  <w:jc w:val="both"/>
                  <w:rPr>
                    <w:rFonts w:eastAsia="Calibri"/>
                    <w:szCs w:val="24"/>
                  </w:rPr>
                </w:pPr>
              </w:p>
              <w:p>
                <w:pPr>
                  <w:shd w:val="clear" w:color="auto" w:fill="FFFFFF"/>
                  <w:spacing w:line="276" w:lineRule="auto"/>
                  <w:ind w:left="-107"/>
                  <w:jc w:val="both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Lietuvos Respublikos aplinkos ministerija</w:t>
                </w:r>
              </w:p>
            </w:tc>
          </w:tr>
        </w:tbl>
        <w:p>
          <w:pPr>
            <w:spacing w:line="276" w:lineRule="auto"/>
            <w:rPr>
              <w:rFonts w:eastAsia="Calibri"/>
              <w:color w:val="FF0000"/>
              <w:szCs w:val="24"/>
            </w:rPr>
          </w:pPr>
        </w:p>
        <w:tbl>
          <w:tblPr>
            <w:tblW w:w="9782" w:type="dxa"/>
            <w:jc w:val="center"/>
            <w:tblLook w:val="00A0" w:firstRow="1" w:lastRow="0" w:firstColumn="1" w:lastColumn="0" w:noHBand="0" w:noVBand="0"/>
          </w:tblPr>
          <w:tblGrid>
            <w:gridCol w:w="72"/>
            <w:gridCol w:w="2163"/>
            <w:gridCol w:w="33"/>
            <w:gridCol w:w="7371"/>
            <w:gridCol w:w="143"/>
          </w:tblGrid>
          <w:tr>
            <w:trPr>
              <w:gridBefore w:val="1"/>
              <w:wBefore w:w="72" w:type="dxa"/>
              <w:jc w:val="center"/>
            </w:trPr>
            <w:tc>
              <w:tcPr>
                <w:tcW w:w="2163" w:type="dxa"/>
                <w:shd w:val="clear" w:color="auto" w:fill="auto"/>
                <w:hideMark/>
              </w:tcPr>
              <w:p>
                <w:pPr>
                  <w:spacing w:line="276" w:lineRule="auto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Projekto tikslas</w:t>
                </w:r>
              </w:p>
            </w:tc>
            <w:tc>
              <w:tcPr>
                <w:tcW w:w="7547" w:type="dxa"/>
                <w:gridSpan w:val="3"/>
                <w:shd w:val="clear" w:color="auto" w:fill="auto"/>
                <w:hideMark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Patvirtinti aplinkos ministro įsakymu paramos iš Klimato kaitos programos nevyriausybinių organizacijų advokacijos gebėjimų stiprinimui tvarką. Projekte numatomos sąlygos pareiškėjams, tinkamoms finansuoti išlaidos ir projektų teikimo bei įgyvendinimo tvarkos.</w:t>
                </w:r>
              </w:p>
            </w:tc>
          </w:tr>
          <w:tr>
            <w:trPr>
              <w:gridAfter w:val="1"/>
              <w:wAfter w:w="143" w:type="dxa"/>
              <w:trHeight w:val="415"/>
              <w:jc w:val="center"/>
            </w:trPr>
            <w:tc>
              <w:tcPr>
                <w:tcW w:w="2268" w:type="dxa"/>
                <w:gridSpan w:val="3"/>
                <w:shd w:val="clear" w:color="auto" w:fill="FFFFFF"/>
              </w:tcPr>
              <w:p>
                <w:pPr>
                  <w:shd w:val="clear" w:color="auto" w:fill="FFFFFF"/>
                  <w:spacing w:line="276" w:lineRule="auto"/>
                  <w:rPr>
                    <w:rFonts w:eastAsia="Calibri"/>
                    <w:szCs w:val="24"/>
                  </w:rPr>
                </w:pPr>
              </w:p>
              <w:p>
                <w:pPr>
                  <w:shd w:val="clear" w:color="auto" w:fill="FFFFFF"/>
                  <w:spacing w:line="276" w:lineRule="auto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7371" w:type="dxa"/>
                <w:shd w:val="clear" w:color="auto" w:fill="FFFFFF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hd w:val="clear" w:color="auto" w:fill="FFFFFF"/>
                  <w:spacing w:line="276" w:lineRule="auto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Siūlomo projekto poveikio įvertinimas </w:t>
                </w:r>
              </w:p>
            </w:tc>
          </w:tr>
          <w:tr>
            <w:trPr>
              <w:gridAfter w:val="1"/>
              <w:wAfter w:w="143" w:type="dxa"/>
              <w:jc w:val="center"/>
            </w:trPr>
            <w:tc>
              <w:tcPr>
                <w:tcW w:w="2268" w:type="dxa"/>
                <w:gridSpan w:val="3"/>
                <w:shd w:val="clear" w:color="auto" w:fill="FFFFFF"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Poveikis klimato kaitai</w:t>
                </w:r>
              </w:p>
            </w:tc>
            <w:tc>
              <w:tcPr>
                <w:tcW w:w="7371" w:type="dxa"/>
                <w:shd w:val="clear" w:color="auto" w:fill="FFFFFF"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Projektas prisidės prie klimato kaitos politikos veiksmingumo, įtraukiant nevyriausybinių organizacijų pajėgumus į teisėkūrą, viešinant klimato kaitos problemų ir sprendimo būdus. Projektų įgyvendinimas galimai prisidės prie ŠESD kiekio mažinimo transporto, žemės ūkio ir pramonės sektoriuose ir Lietuvos ŠESD mažinimo tikslų pasiekimo.</w:t>
                </w:r>
              </w:p>
            </w:tc>
          </w:tr>
        </w:tbl>
        <w:p>
          <w:pPr>
            <w:spacing w:line="276" w:lineRule="auto"/>
            <w:rPr>
              <w:rFonts w:eastAsia="Calibri"/>
              <w:sz w:val="16"/>
              <w:szCs w:val="16"/>
            </w:rPr>
          </w:pPr>
        </w:p>
        <w:tbl>
          <w:tblPr>
            <w:tblW w:w="9639" w:type="dxa"/>
            <w:jc w:val="center"/>
            <w:tblLook w:val="00A0" w:firstRow="1" w:lastRow="0" w:firstColumn="1" w:lastColumn="0" w:noHBand="0" w:noVBand="0"/>
          </w:tblPr>
          <w:tblGrid>
            <w:gridCol w:w="2268"/>
            <w:gridCol w:w="7371"/>
          </w:tblGrid>
          <w:tr>
            <w:trPr>
              <w:trHeight w:val="543"/>
              <w:jc w:val="center"/>
            </w:trPr>
            <w:tc>
              <w:tcPr>
                <w:tcW w:w="2268" w:type="dxa"/>
                <w:shd w:val="clear" w:color="auto" w:fill="FFFFFF"/>
                <w:hideMark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 xml:space="preserve">Poveikis </w:t>
                </w:r>
              </w:p>
              <w:p>
                <w:pPr>
                  <w:spacing w:line="276" w:lineRule="auto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valstybės ekonomikai ir socialinei aplinkai</w:t>
                </w:r>
              </w:p>
            </w:tc>
            <w:tc>
              <w:tcPr>
                <w:tcW w:w="7371" w:type="dxa"/>
                <w:shd w:val="clear" w:color="auto" w:fill="auto"/>
                <w:hideMark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Projektų įgyvendinimas su valstybės parama skatina valstybės ekonomiką – skatina darbo rinką, sukuriamos papildomos darbo vietos. Pagerinama ir socialinė aplinka, skatinamas visuomenės įsitraukimas į politikos formavimą, politikos formuotojų atskaitingumas ir teisėkūros procesų skaidrumas.</w:t>
                </w:r>
              </w:p>
            </w:tc>
          </w:tr>
        </w:tbl>
        <w:p>
          <w:pPr>
            <w:spacing w:line="276" w:lineRule="auto"/>
            <w:rPr>
              <w:rFonts w:eastAsia="Calibri"/>
              <w:szCs w:val="24"/>
            </w:rPr>
          </w:pPr>
        </w:p>
        <w:tbl>
          <w:tblPr>
            <w:tblW w:w="9639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2268"/>
            <w:gridCol w:w="7371"/>
          </w:tblGrid>
          <w:tr>
            <w:trPr>
              <w:jc w:val="center"/>
            </w:trPr>
            <w:tc>
              <w:tcPr>
                <w:tcW w:w="226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Poveikis administracinei naštai</w:t>
                </w:r>
              </w:p>
              <w:p>
                <w:pPr>
                  <w:spacing w:line="276" w:lineRule="auto"/>
                  <w:rPr>
                    <w:rFonts w:eastAsia="Calibri"/>
                    <w:b/>
                    <w:szCs w:val="24"/>
                  </w:rPr>
                </w:pPr>
              </w:p>
            </w:tc>
            <w:tc>
              <w:tcPr>
                <w:tcW w:w="737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FFFFFF"/>
                <w:hideMark/>
              </w:tcPr>
              <w:p>
                <w:pPr>
                  <w:jc w:val="both"/>
                  <w:rPr>
                    <w:rFonts w:eastAsia="Calibri"/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3"/>
                    <w:szCs w:val="23"/>
                    <w:lang w:eastAsia="lt-LT"/>
                  </w:rPr>
                  <w:t>Poveikis administracinei naštai nesikeis, nes parama teikiama tokia tvarka kaip ir kitos Klimato kaitos programos priemonės.</w:t>
                </w:r>
              </w:p>
              <w:p>
                <w:pPr>
                  <w:spacing w:line="276" w:lineRule="auto"/>
                  <w:jc w:val="both"/>
                  <w:rPr>
                    <w:rFonts w:eastAsia="Calibri"/>
                    <w:szCs w:val="24"/>
                  </w:rPr>
                </w:pPr>
              </w:p>
            </w:tc>
          </w:tr>
        </w:tbl>
        <w:sdt>
          <w:sdtPr>
            <w:alias w:val="lentele"/>
            <w:tag w:val="part_6d6510be9d104697a65bde55b6d35ef7"/>
            <w:lock w:val="sdtLocked"/>
            <w:richText/>
          </w:sdtPr>
          <w:sdtContent>
            <w:p>
              <w:pPr>
                <w:spacing w:line="276" w:lineRule="auto"/>
                <w:jc w:val="both"/>
                <w:rPr>
                  <w:b/>
                  <w:szCs w:val="24"/>
                </w:rPr>
              </w:pPr>
              <w:sdt>
                <w:sdtPr>
                  <w:alias w:val="Pavadinimas"/>
                  <w:tag w:val="title_6d6510be9d104697a65bde55b6d35ef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Informacija apie asmenį ir instituciją, atsakingą už poveikio vertinimą</w:t>
                  </w:r>
                </w:sdtContent>
              </w:sdt>
            </w:p>
            <w:p>
              <w:pPr>
                <w:spacing w:line="276" w:lineRule="auto"/>
                <w:jc w:val="both"/>
                <w:rPr>
                  <w:rFonts w:eastAsia="Calibri"/>
                  <w:sz w:val="16"/>
                  <w:szCs w:val="16"/>
                </w:rPr>
              </w:pPr>
            </w:p>
            <w:tbl>
              <w:tblPr>
                <w:tblW w:w="9639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2835"/>
                <w:gridCol w:w="6804"/>
              </w:tblGrid>
              <w:tr>
                <w:trPr>
                  <w:jc w:val="center"/>
                </w:trPr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Vardas ir pavardė</w:t>
                    </w:r>
                  </w:p>
                </w:tc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Lina Čeičytė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Pareigos</w:t>
                    </w:r>
                  </w:p>
                </w:tc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4"/>
                      </w:rPr>
                    </w:pPr>
                    <w:r>
                      <w:t>Klimato politikos grupės patarėja</w:t>
                    </w:r>
                  </w:p>
                </w:tc>
              </w:tr>
              <w:tr>
                <w:trPr>
                  <w:jc w:val="center"/>
                </w:trPr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Institucija (padalinys)</w:t>
                    </w:r>
                  </w:p>
                </w:tc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rPr>
                        <w:szCs w:val="24"/>
                      </w:rPr>
                    </w:pPr>
                    <w:r>
                      <w:t>Aplinkos ministerijos Klimato politikos grupė</w:t>
                    </w:r>
                  </w:p>
                </w:tc>
              </w:tr>
              <w:tr>
                <w:trPr>
                  <w:trHeight w:val="517"/>
                  <w:jc w:val="center"/>
                </w:trPr>
                <w:tc>
                  <w:tcPr>
                    <w:tcW w:w="28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  <w:hideMark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Telefono numeris ir elektroninio pašto adresas</w:t>
                    </w:r>
                  </w:p>
                </w:tc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28" w:type="dxa"/>
                      <w:bottom w:w="28" w:type="dxa"/>
                    </w:tcMar>
                  </w:tcPr>
                  <w:p>
                    <w:pPr>
                      <w:spacing w:line="276" w:lineRule="auto"/>
                      <w:rPr>
                        <w:rFonts w:ascii="Calibri" w:eastAsia="Calibri" w:hAnsi="Calibri"/>
                        <w:sz w:val="22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8 620 53766,  el. p. lina.ceicyte@am.lt</w:t>
                    </w:r>
                  </w:p>
                </w:tc>
              </w:tr>
            </w:tbl>
            <w:p>
              <w:pPr>
                <w:tabs>
                  <w:tab w:val="left" w:pos="6237"/>
                </w:tabs>
                <w:rPr>
                  <w:szCs w:val="24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5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3311C19-1D9E-4923-96B4-39F3313E49D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188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cf09c5-daa1-4028-a0ff-74a0be4ec5cc" xsi:nil="true"/>
    <lcf76f155ced4ddcb4097134ff3c332f xmlns="f5aad5d0-9c26-490e-8743-a6c7ceabd501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6" ma:contentTypeDescription="Create a new document." ma:contentTypeScope="" ma:versionID="82db75ebf7713ae079b4f0176c7f4118">
  <xsd:schema xmlns:xsd="http://www.w3.org/2001/XMLSchema" xmlns:xs="http://www.w3.org/2001/XMLSchema" xmlns:p="http://schemas.microsoft.com/office/2006/metadata/properties" xmlns:ns2="f5aad5d0-9c26-490e-8743-a6c7ceabd501" xmlns:ns3="19cf09c5-daa1-4028-a0ff-74a0be4ec5cc" targetNamespace="http://schemas.microsoft.com/office/2006/metadata/properties" ma:root="true" ma:fieldsID="0b7e072ba977252754ac87885a0716c0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de36950-9db2-4bd5-ad22-c7fd61453dde}" ma:internalName="TaxCatchAll" ma:showField="CatchAllData" ma:web="19cf09c5-daa1-4028-a0ff-74a0be4ec5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arts xmlns="http://lrs.lt/TAIS/DocParts">
  <Part Type="pagrindine" DocPartId="4e8ab5175062485897867cedef525561" PartId="647a2cfb19204588b5ac66398a14c2f6">
    <Part Type="lentele" Title="Informacija apie asmenį ir instituciją, atsakingą už poveikio vertinimą" DocPartId="abb7119c018145eabe34d3dc04fc08ef" PartId="6d6510be9d104697a65bde55b6d35ef7"/>
  </Part>
</Parts>
</file>

<file path=customXml/itemProps1.xml><?xml version="1.0" encoding="utf-8"?>
<ds:datastoreItem xmlns:ds="http://schemas.openxmlformats.org/officeDocument/2006/customXml" ds:itemID="{33A6FC21-592A-4467-96E9-22FD39880AFF}">
  <ds:schemaRefs>
    <ds:schemaRef ds:uri="http://schemas.microsoft.com/office/2006/metadata/properties"/>
    <ds:schemaRef ds:uri="http://schemas.microsoft.com/office/infopath/2007/PartnerControls"/>
    <ds:schemaRef ds:uri="19cf09c5-daa1-4028-a0ff-74a0be4ec5cc"/>
    <ds:schemaRef ds:uri="f5aad5d0-9c26-490e-8743-a6c7ceabd501"/>
  </ds:schemaRefs>
</ds:datastoreItem>
</file>

<file path=customXml/itemProps2.xml><?xml version="1.0" encoding="utf-8"?>
<ds:datastoreItem xmlns:ds="http://schemas.openxmlformats.org/officeDocument/2006/customXml" ds:itemID="{DE9C2453-72B9-4D40-A41C-8B5FA57B36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FDFD28D-BFD9-4960-8596-B6EF8458D35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6E97D0-EAFB-4195-B8F4-BBCCF6ACA96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6AF9E91-5F69-4E79-9A30-7BBBAA6396A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214</Words>
  <Characters>1650</Characters>
  <Application>Microsoft Office Word</Application>
  <DocSecurity>4</DocSecurity>
  <Lines>58</Lines>
  <Paragraphs>27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1837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2022-12-13T09:17:00Z</dcterms:created>
  <dc:creator>g-dubickaite</dc:creator>
  <lastModifiedBy>adlibuser</lastModifiedBy>
  <lastPrinted>2018-07-04T14:02:00Z</lastPrinted>
  <dcterms:modified xsi:type="dcterms:W3CDTF">2022-12-13T09:17:00Z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