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9d3320dcb944d8ebaf1c2bbbb74c221"/>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suppressLineNumber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2E53E3DA" wp14:editId="6358E208">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 xml:space="preserve">tel. </w:t>
                </w:r>
                <w:r>
                  <w:rPr>
                    <w:rFonts w:ascii="Arial" w:eastAsia="Andale Sans UI" w:hAnsi="Arial" w:cs="Tahoma"/>
                    <w:b/>
                    <w:bCs/>
                    <w:spacing w:val="12"/>
                    <w:sz w:val="14"/>
                    <w:szCs w:val="14"/>
                    <w:lang w:val="en-GB" w:bidi="en-US"/>
                  </w:rPr>
                  <w:t>8 </w:t>
                </w:r>
                <w:r>
                  <w:rPr>
                    <w:rFonts w:ascii="Arial" w:eastAsia="Andale Sans UI" w:hAnsi="Arial" w:cs="Tahoma"/>
                    <w:b/>
                    <w:bCs/>
                    <w:spacing w:val="12"/>
                    <w:sz w:val="14"/>
                    <w:szCs w:val="14"/>
                    <w:lang w:bidi="en-US"/>
                  </w:rPr>
                  <w:t>626</w:t>
                </w:r>
                <w:r>
                  <w:rPr>
                    <w:rFonts w:ascii="Arial" w:eastAsia="Andale Sans UI" w:hAnsi="Arial" w:cs="Tahoma"/>
                    <w:b/>
                    <w:bCs/>
                    <w:spacing w:val="12"/>
                    <w:sz w:val="14"/>
                    <w:szCs w:val="14"/>
                    <w:lang w:val="en-GB" w:bidi="en-US"/>
                  </w:rPr>
                  <w:t xml:space="preserve"> </w:t>
                </w:r>
                <w:r>
                  <w:rPr>
                    <w:rFonts w:ascii="Arial" w:eastAsia="Andale Sans UI" w:hAnsi="Arial" w:cs="Tahoma"/>
                    <w:b/>
                    <w:bCs/>
                    <w:spacing w:val="12"/>
                    <w:sz w:val="14"/>
                    <w:szCs w:val="14"/>
                    <w:lang w:bidi="en-US"/>
                  </w:rPr>
                  <w:t>22252, el. p. info@am.lt, https://am.lrv.lt.</w:t>
                </w:r>
              </w:p>
              <w:p>
                <w:pPr>
                  <w:suppressLineNumber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cs="Tahoma"/>
                    <w:szCs w:val="24"/>
                    <w:lang w:bidi="en-US"/>
                  </w:rPr>
                </w:pPr>
                <w:r>
                  <w:rPr>
                    <w:rFonts w:eastAsia="Andale Sans UI" w:cs="Tahoma"/>
                    <w:szCs w:val="24"/>
                    <w:lang w:bidi="en-US"/>
                  </w:rPr>
                  <w:t>Pagal adresatų sąrašą</w:t>
                </w:r>
              </w:p>
              <w:p>
                <w:pPr>
                  <w:suppressLineNumbers/>
                  <w:jc w:val="both"/>
                  <w:rPr>
                    <w:rFonts w:eastAsia="Andale Sans UI" w:cs="Tahoma"/>
                    <w:szCs w:val="24"/>
                    <w:lang w:bidi="en-US"/>
                  </w:rPr>
                </w:pPr>
              </w:p>
              <w:p>
                <w:pPr>
                  <w:suppressLineNumbers/>
                  <w:jc w:val="both"/>
                  <w:rPr>
                    <w:rFonts w:eastAsia="Andale Sans UI" w:cs="Tahoma"/>
                    <w:spacing w:val="10"/>
                    <w:szCs w:val="24"/>
                    <w:lang w:bidi="en-US"/>
                  </w:rPr>
                </w:pPr>
              </w:p>
              <w:p>
                <w:pPr>
                  <w:suppressLineNumbers/>
                  <w:jc w:val="both"/>
                  <w:rPr>
                    <w:rFonts w:eastAsia="Andale Sans UI" w:cs="Tahoma"/>
                    <w:spacing w:val="10"/>
                    <w:szCs w:val="24"/>
                    <w:lang w:bidi="en-US"/>
                  </w:rPr>
                </w:pPr>
              </w:p>
            </w:tc>
            <w:tc>
              <w:tcPr>
                <w:tcW w:w="282" w:type="dxa"/>
                <w:tcMar>
                  <w:top w:w="0" w:type="dxa"/>
                  <w:left w:w="0" w:type="dxa"/>
                  <w:bottom w:w="0" w:type="dxa"/>
                  <w:right w:w="0" w:type="dxa"/>
                </w:tcMar>
              </w:tcPr>
              <w:p>
                <w:pPr>
                  <w:ind w:right="67"/>
                  <w:jc w:val="right"/>
                  <w:rPr>
                    <w:rFonts w:eastAsia="Andale Sans UI" w:cs="Tahoma"/>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r>
                  <w:rPr>
                    <w:rFonts w:eastAsia="Andale Sans UI" w:cs="Tahoma"/>
                    <w:szCs w:val="24"/>
                    <w:lang w:bidi="en-US"/>
                  </w:rPr>
                  <w:t>(52)-D8(E)-</w:t>
                </w: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cs="Tahoma"/>
                    <w:szCs w:val="24"/>
                    <w:lang w:bidi="en-US"/>
                  </w:rPr>
                </w:pPr>
              </w:p>
            </w:tc>
            <w:tc>
              <w:tcPr>
                <w:tcW w:w="565" w:type="dxa"/>
              </w:tcPr>
              <w:p>
                <w:pPr>
                  <w:tabs>
                    <w:tab w:val="left" w:pos="2869"/>
                  </w:tab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suppressLineNumbers/>
                  <w:ind w:right="67"/>
                  <w:jc w:val="both"/>
                  <w:rPr>
                    <w:rFonts w:eastAsia="Andale Sans UI" w:cs="Tahoma"/>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tabs>
                    <w:tab w:val="left" w:pos="2869"/>
                  </w:tabs>
                  <w:ind w:right="67"/>
                  <w:jc w:val="both"/>
                  <w:rPr>
                    <w:rFonts w:eastAsia="Andale Sans UI" w:cs="Tahoma"/>
                    <w:spacing w:val="10"/>
                    <w:szCs w:val="24"/>
                    <w:lang w:bidi="en-US"/>
                  </w:rPr>
                </w:pPr>
              </w:p>
            </w:tc>
          </w:tr>
          <w:tr>
            <w:trPr>
              <w:trHeight w:val="340"/>
            </w:trPr>
            <w:tc>
              <w:tcPr>
                <w:tcW w:w="9638" w:type="dxa"/>
                <w:gridSpan w:val="5"/>
                <w:tcMar>
                  <w:top w:w="0" w:type="dxa"/>
                  <w:left w:w="0" w:type="dxa"/>
                  <w:bottom w:w="0" w:type="dxa"/>
                  <w:right w:w="0" w:type="dxa"/>
                </w:tcMar>
              </w:tcPr>
              <w:p>
                <w:pPr>
                  <w:suppressLineNumbers/>
                  <w:spacing w:line="276" w:lineRule="auto"/>
                  <w:jc w:val="both"/>
                  <w:rPr>
                    <w:rFonts w:eastAsia="Andale Sans UI" w:cs="Tahoma"/>
                    <w:b/>
                    <w:bCs/>
                    <w:szCs w:val="24"/>
                    <w:lang w:bidi="en-US"/>
                  </w:rPr>
                </w:pPr>
                <w:r>
                  <w:rPr>
                    <w:rFonts w:eastAsia="Andale Sans UI" w:cs="Tahoma"/>
                    <w:b/>
                    <w:bCs/>
                    <w:caps/>
                    <w:szCs w:val="24"/>
                    <w:lang w:bidi="en-US"/>
                  </w:rPr>
                  <w:t xml:space="preserve">Dėl APLINKOS MINISTRO ĮSAKYMO PROJEKTo </w:t>
                </w:r>
              </w:p>
            </w:tc>
          </w:tr>
        </w:tbl>
        <w:p>
          <w:pPr>
            <w:spacing w:line="276" w:lineRule="auto"/>
            <w:jc w:val="both"/>
            <w:rPr>
              <w:rFonts w:eastAsia="Andale Sans UI" w:cs="Tahoma"/>
              <w:szCs w:val="24"/>
              <w:lang w:bidi="en-US"/>
            </w:rPr>
          </w:pPr>
        </w:p>
      </w:sdtContent>
    </w:sdt>
    <w:sdt>
      <w:sdtPr>
        <w:alias w:val="pastraipa"/>
        <w:tag w:val="part_cc2c55bcd5464f7b832b77bb5d3c3a15"/>
        <w:lock w:val="sdtLocked"/>
        <w:richText/>
      </w:sdtPr>
      <w:sdtContent>
        <w:p>
          <w:pPr>
            <w:ind w:firstLine="567"/>
            <w:jc w:val="both"/>
            <w:rPr>
              <w:rFonts w:eastAsia="Andale Sans UI" w:cs="Tahoma"/>
              <w:color w:val="000000"/>
              <w:szCs w:val="24"/>
              <w:lang w:bidi="en-US"/>
            </w:rPr>
          </w:pPr>
          <w:r>
            <w:rPr>
              <w:rFonts w:eastAsia="Andale Sans UI" w:cs="Tahoma"/>
              <w:color w:val="000000"/>
              <w:szCs w:val="24"/>
              <w:lang w:eastAsia="lt-LT" w:bidi="en-US"/>
            </w:rPr>
            <w:t xml:space="preserve">Vadovaudamasi Lietuvos Respublikos klimato kaitos valdymo finansinių instrumentų įstatymo 10 straipsniu, įgyvendindama Lietuvos Respublikos Vyriausybės 2009 m. lapkričio 4 d. nutarimo Nr. 1443 „Dėl Lietuvos Respublikos Vyriausybės 2009 m. lapkričio 4 d. nutarimo Nr. 1443 „Dėl įgaliojimų suteikimo įgyvendinant Lietuvos Respublikos klimato kaitos valdymo finansinių instrumentų įstatymą“ 1.2 papunktį ir vykdydama </w:t>
          </w:r>
          <w:r>
            <w:rPr>
              <w:rFonts w:eastAsia="Andale Sans UI" w:cs="Tahoma"/>
              <w:color w:val="242424"/>
              <w:szCs w:val="24"/>
              <w:lang w:val="lt" w:bidi="en-US"/>
            </w:rPr>
            <w:t xml:space="preserve">Lietuvos Respublikos aplinkos ministerijos aplinkos apsaugos ir klimato kaitos valdymo plėtros programos pažangos priemonės Nr. 02-001-06-04-02 „Didinti klimato kaitos politikos veiksmingumą“ apraše, patvirtintame Lietuvos Respublikos aplinkos ministro 2022 m. birželio 1 d. įsakymu Nr. D1-160 „Dėl 2022–2030 metų plėtros programos valdytojos Lietuvos Respublikos aplinkos ministerijos aplinkos apsaugos ir klimato kaitos valdymo plėtros programos pažangos priemonės Nr. 02-001-06-04-02 „Didinti klimato kaitos politikos veiksmingumą” aprašo patvirtinimo“, III skyriaus 7 punkte patvirtintą priemonę, </w:t>
          </w:r>
          <w:r>
            <w:rPr>
              <w:rFonts w:eastAsia="Andale Sans UI" w:cs="Tahoma"/>
              <w:color w:val="242424"/>
              <w:szCs w:val="24"/>
              <w:u w:val="single"/>
              <w:lang w:val="lt" w:bidi="en-US"/>
            </w:rPr>
            <w:t>Aplinkos ministerija teikia pakartotinai derinti</w:t>
          </w:r>
          <w:r>
            <w:rPr>
              <w:rFonts w:eastAsia="Andale Sans UI" w:cs="Tahoma"/>
              <w:color w:val="242424"/>
              <w:szCs w:val="24"/>
              <w:lang w:val="lt" w:bidi="en-US"/>
            </w:rPr>
            <w:t xml:space="preserve"> </w:t>
          </w:r>
          <w:r>
            <w:rPr>
              <w:rFonts w:eastAsia="Andale Sans UI" w:cs="Tahoma"/>
              <w:szCs w:val="24"/>
              <w:lang w:bidi="en-US"/>
            </w:rPr>
            <w:t xml:space="preserve">Lietuvos Respublikos aplinkos ministro įsakymo </w:t>
          </w:r>
          <w:r>
            <w:rPr>
              <w:rFonts w:eastAsia="Andale Sans UI" w:cs="Tahoma"/>
              <w:color w:val="000000"/>
              <w:szCs w:val="24"/>
              <w:lang w:bidi="en-US"/>
            </w:rPr>
            <w:t xml:space="preserve">dėl Klimato kaitos programos priemonės </w:t>
          </w:r>
          <w:r>
            <w:rPr>
              <w:rFonts w:eastAsia="Andale Sans UI" w:cs="Tahoma"/>
              <w:b/>
              <w:bCs/>
              <w:color w:val="000000"/>
              <w:szCs w:val="24"/>
              <w:lang w:bidi="en-US"/>
            </w:rPr>
            <w:t>„Finansinės paskatos nevyriausybinių organizacijų veikloms ir (ar) veiksmams, formuojant klimato politiką ir informuojant visuomenę apie klimato kaitą tvarkos aprašo“</w:t>
          </w:r>
          <w:r>
            <w:rPr>
              <w:rFonts w:eastAsia="Andale Sans UI" w:cs="Tahoma"/>
              <w:color w:val="000000"/>
              <w:szCs w:val="24"/>
              <w:lang w:bidi="en-US"/>
            </w:rPr>
            <w:t xml:space="preserve"> patvirtinimo projektą.</w:t>
          </w:r>
        </w:p>
      </w:sdtContent>
    </w:sdt>
    <w:sdt>
      <w:sdtPr>
        <w:alias w:val="pastraipa"/>
        <w:tag w:val="part_e1a5d16d6bba41e2b3ac3030c228c1df"/>
        <w:lock w:val="sdtLocked"/>
        <w:richText/>
      </w:sdtPr>
      <w:sdtContent>
        <w:p>
          <w:pPr>
            <w:ind w:firstLine="567"/>
            <w:jc w:val="both"/>
            <w:rPr>
              <w:rFonts w:eastAsia="Andale Sans UI" w:cs="Tahoma"/>
              <w:szCs w:val="24"/>
              <w:lang w:bidi="en-US"/>
            </w:rPr>
          </w:pPr>
          <w:r>
            <w:rPr>
              <w:rFonts w:eastAsia="Andale Sans UI" w:cs="Tahoma"/>
              <w:color w:val="000000"/>
              <w:szCs w:val="24"/>
              <w:lang w:bidi="en-US"/>
            </w:rPr>
            <w:t>Projektu s</w:t>
          </w:r>
          <w:r>
            <w:rPr>
              <w:rFonts w:eastAsia="Andale Sans UI" w:cs="Tahoma"/>
              <w:szCs w:val="24"/>
              <w:lang w:bidi="en-US"/>
            </w:rPr>
            <w:t xml:space="preserve">iekiama didinti klimato kaitos politikos veiksmingumą, aktyvinti aplinkosauginių nevyriausybinių organizacijų interesų atstovavimo ir informavimo pajėgumus. Siekiama įtraukti visuomenę  formuojant politiką, didinti politikos formuotojų ir sprendimų priėmėjų atskaitingumą, teisėkūros procesų skaidrumą. Projektu siekiama patvirtinti finansinės paskatos nevyriausybinių organizacijų advokacijos gebėjimams stiprinti tvarką. Projekte numatomos sąlygos pareiškėjams, tinkamoms finansuoti išlaidos, projektų teikimo ir įgyvendinimo tvarkos.</w:t>
          </w:r>
        </w:p>
      </w:sdtContent>
    </w:sdt>
    <w:sdt>
      <w:sdtPr>
        <w:alias w:val="pastraipa"/>
        <w:tag w:val="part_4ff196176bed4fb1bf1d15c3162b40ad"/>
        <w:lock w:val="sdtLocked"/>
        <w:richText/>
      </w:sdtPr>
      <w:sdtContent>
        <w:p>
          <w:pPr>
            <w:ind w:firstLine="567"/>
            <w:jc w:val="both"/>
            <w:rPr>
              <w:rFonts w:eastAsia="Andale Sans UI" w:cs="Tahoma"/>
              <w:color w:val="000000"/>
              <w:szCs w:val="24"/>
              <w:lang w:bidi="en-US"/>
            </w:rPr>
          </w:pPr>
          <w:r>
            <w:rPr>
              <w:rFonts w:eastAsia="Andale Sans UI" w:cs="Tahoma"/>
              <w:color w:val="000000"/>
              <w:szCs w:val="24"/>
              <w:lang w:bidi="en-US"/>
            </w:rPr>
            <w:t>Po pirmojo derinimo pakeista Tvarkos aprašo struktūra atsižvelgiant į kitų Klimato kaitos programos priemonių aprašus. Nuspręsta visus reikalavimus ekspertams, kurie sudarys ekspertų vertinimo tarybą, perkelti į atskirą ministro įsakymą. Atsižvelgta į daugelį institucijų pateiktų pastabų. Pastabos, į kurias neatsižvelgta, ir argumentai pateikti derinimo lentelėje.</w:t>
          </w:r>
        </w:p>
      </w:sdtContent>
    </w:sdt>
    <w:sdt>
      <w:sdtPr>
        <w:alias w:val="pastraipa"/>
        <w:tag w:val="part_46bf4d88dc2643eabb5eb235c1c5fcdf"/>
        <w:lock w:val="sdtLocked"/>
        <w:richText/>
      </w:sdtPr>
      <w:sdtContent>
        <w:p>
          <w:pPr>
            <w:suppressLineNumbers/>
            <w:tabs>
              <w:tab w:val="left" w:pos="709"/>
            </w:tabs>
            <w:spacing w:line="276" w:lineRule="auto"/>
            <w:ind w:firstLine="709"/>
            <w:jc w:val="both"/>
            <w:rPr>
              <w:rFonts w:eastAsia="Andale Sans UI" w:cs="Tahoma"/>
              <w:szCs w:val="24"/>
              <w:lang w:bidi="en-US"/>
            </w:rPr>
          </w:pPr>
          <w:r>
            <w:rPr>
              <w:rFonts w:eastAsia="Andale Sans UI" w:cs="Tahoma"/>
              <w:szCs w:val="24"/>
              <w:lang w:bidi="en-US"/>
            </w:rPr>
            <w:t>Priėmus projektą, neigiamų pasekmių nenumatoma.</w:t>
          </w:r>
        </w:p>
      </w:sdtContent>
    </w:sdt>
    <w:sdt>
      <w:sdtPr>
        <w:alias w:val="pastraipa"/>
        <w:tag w:val="part_b0d5984208324b9986b35e61cab1e306"/>
        <w:lock w:val="sdtLocked"/>
        <w:richText/>
      </w:sdtPr>
      <w:sdtContent>
        <w:p>
          <w:pPr>
            <w:suppressLineNumbers/>
            <w:tabs>
              <w:tab w:val="left" w:pos="709"/>
            </w:tabs>
            <w:spacing w:line="276" w:lineRule="auto"/>
            <w:ind w:firstLine="709"/>
            <w:jc w:val="both"/>
            <w:rPr>
              <w:rFonts w:eastAsia="Andale Sans UI" w:cs="Tahoma"/>
              <w:szCs w:val="24"/>
              <w:lang w:bidi="en-US"/>
            </w:rPr>
          </w:pPr>
          <w:r>
            <w:rPr>
              <w:rFonts w:eastAsia="Andale Sans UI" w:cs="Tahoma"/>
              <w:szCs w:val="24"/>
              <w:lang w:bidi="en-US"/>
            </w:rPr>
            <w:t>Priimtas projektas neturės įtakos kriminogeninei situacijai ir korupcijai.</w:t>
          </w:r>
        </w:p>
      </w:sdtContent>
    </w:sdt>
    <w:sdt>
      <w:sdtPr>
        <w:alias w:val="pastraipa"/>
        <w:tag w:val="part_9f07f73874164b4693b8e1812490ef4d"/>
        <w:lock w:val="sdtLocked"/>
        <w:richText/>
      </w:sdtPr>
      <w:sdtContent>
        <w:p>
          <w:pPr>
            <w:suppressLineNumbers/>
            <w:tabs>
              <w:tab w:val="left" w:pos="709"/>
            </w:tabs>
            <w:spacing w:line="276" w:lineRule="auto"/>
            <w:ind w:firstLine="709"/>
            <w:jc w:val="both"/>
            <w:rPr>
              <w:rFonts w:eastAsia="Andale Sans UI" w:cs="Tahoma"/>
              <w:szCs w:val="24"/>
              <w:lang w:bidi="en-US"/>
            </w:rPr>
          </w:pPr>
          <w:r>
            <w:rPr>
              <w:rFonts w:eastAsia="Andale Sans UI" w:cs="Tahoma"/>
              <w:szCs w:val="24"/>
              <w:lang w:bidi="en-US"/>
            </w:rPr>
            <w:t>Projektas prisidės prie klimato kaitos politikos veiksmingumo įtraukiant nevyriausybinių organizacijų pajėgumus į teisėkūrą, viešinant klimato kaitos problemas ir sprendimo būdus. Projektų įgyvendinimas padės pasiekti ŠESD kiekio mažinimo transporto, žemės ūkio ir pramonės sektoriuose ir Lietuvos ŠESD mažinimo tikslus.</w:t>
          </w:r>
        </w:p>
      </w:sdtContent>
    </w:sdt>
    <w:sdt>
      <w:sdtPr>
        <w:alias w:val="pastraipa"/>
        <w:tag w:val="part_fe4aa9060a644d42a1d54b0bc8ee66a7"/>
        <w:lock w:val="sdtLocked"/>
        <w:richText/>
      </w:sdtPr>
      <w:sdtContent>
        <w:p>
          <w:pPr>
            <w:suppressLineNumbers/>
            <w:tabs>
              <w:tab w:val="left" w:pos="709"/>
            </w:tabs>
            <w:spacing w:line="276" w:lineRule="auto"/>
            <w:ind w:firstLine="709"/>
            <w:jc w:val="both"/>
            <w:rPr>
              <w:rFonts w:eastAsia="Andale Sans UI" w:cs="Tahoma"/>
              <w:szCs w:val="24"/>
              <w:lang w:bidi="en-US"/>
            </w:rPr>
          </w:pPr>
          <w:r>
            <w:rPr>
              <w:rFonts w:eastAsia="Andale Sans UI" w:cs="Tahoma"/>
              <w:szCs w:val="24"/>
              <w:lang w:bidi="en-US"/>
            </w:rPr>
            <w:t>Projektų įgyvendinimas su valstybės parama skatina valstybės ekonomiką – skatina darbo rinką, sukuriamos papildomos darbo vietos. Pagerinama socialinė aplinka, skatinamas visuomenės įsitraukimas formuojant politiką, politikos formuotojų atskaitingumas ir teisėkūros procesų skaidrumas.</w:t>
          </w:r>
        </w:p>
      </w:sdtContent>
    </w:sdt>
    <w:sdt>
      <w:sdtPr>
        <w:alias w:val="pastraipa"/>
        <w:tag w:val="part_374177a215c94310b444458dcda46a46"/>
        <w:lock w:val="sdtLocked"/>
        <w:richText/>
      </w:sdtPr>
      <w:sdtContent>
        <w:p>
          <w:pPr>
            <w:ind w:firstLine="567"/>
            <w:jc w:val="both"/>
            <w:rPr>
              <w:rFonts w:eastAsia="Calibri"/>
              <w:color w:val="000000"/>
              <w:sz w:val="23"/>
              <w:szCs w:val="23"/>
              <w:lang w:eastAsia="lt-LT"/>
            </w:rPr>
          </w:pPr>
          <w:r>
            <w:rPr>
              <w:rFonts w:eastAsia="Calibri"/>
              <w:color w:val="000000"/>
              <w:sz w:val="23"/>
              <w:szCs w:val="23"/>
              <w:lang w:eastAsia="lt-LT"/>
            </w:rPr>
            <w:t>Poveikis administracinei naštai nesikeis, nes parama teikiama kaip ir kitos Klimato kaitos programos priemonės.</w:t>
          </w:r>
        </w:p>
      </w:sdtContent>
    </w:sdt>
    <w:sdt>
      <w:sdtPr>
        <w:alias w:val="pastraipa"/>
        <w:tag w:val="part_623da558d58d4600bda8e7cfa5731321"/>
        <w:lock w:val="sdtLocked"/>
        <w:richText/>
      </w:sdtPr>
      <w:sdtContent>
        <w:p>
          <w:pPr>
            <w:suppressLineNumbers/>
            <w:tabs>
              <w:tab w:val="left" w:pos="709"/>
            </w:tabs>
            <w:spacing w:line="276" w:lineRule="auto"/>
            <w:ind w:firstLine="709"/>
            <w:jc w:val="both"/>
            <w:rPr>
              <w:rFonts w:eastAsia="Andale Sans UI"/>
              <w:szCs w:val="24"/>
              <w:lang w:bidi="en-US"/>
            </w:rPr>
          </w:pPr>
          <w:r>
            <w:rPr>
              <w:rFonts w:eastAsia="Andale Sans UI"/>
              <w:szCs w:val="24"/>
              <w:lang w:bidi="en-US"/>
            </w:rPr>
            <w:t xml:space="preserve">Projektas paskelbtas </w:t>
          </w:r>
          <w:r>
            <w:rPr>
              <w:rFonts w:eastAsia="Andale Sans UI"/>
              <w:iCs/>
              <w:color w:val="000000"/>
              <w:szCs w:val="24"/>
              <w:lang w:bidi="en-US"/>
            </w:rPr>
            <w:t>Lietuvos Respublikos Seimo kanceliarijos teisės aktų informacinėje sistemoje</w:t>
          </w:r>
          <w:r>
            <w:rPr>
              <w:rFonts w:eastAsia="Andale Sans UI"/>
              <w:szCs w:val="24"/>
              <w:lang w:bidi="en-US"/>
            </w:rPr>
            <w:t xml:space="preserve"> (priminio projekto registracijos Nr. </w:t>
          </w:r>
          <w:r>
            <w:rPr>
              <w:rFonts w:eastAsia="Andale Sans UI"/>
              <w:color w:val="000000"/>
              <w:szCs w:val="24"/>
              <w:shd w:val="clear" w:color="auto" w:fill="FFFFFF"/>
              <w:lang w:bidi="en-US"/>
            </w:rPr>
            <w:t>22-10863</w:t>
          </w:r>
          <w:r>
            <w:rPr>
              <w:rFonts w:eastAsia="Andale Sans UI"/>
              <w:szCs w:val="24"/>
              <w:lang w:bidi="en-US"/>
            </w:rPr>
            <w:t>), kuriose savo pastabas gali pateikti suinteresuotos institucijos ir asmenys. Dėl Projekto su visuomene nesikonsultuota ir konsultuotis neplanuojama.</w:t>
          </w:r>
        </w:p>
      </w:sdtContent>
    </w:sdt>
    <w:sdt>
      <w:sdtPr>
        <w:alias w:val="pastraipa"/>
        <w:tag w:val="part_dd0f670b8393440a8bde6a9ed4077dbb"/>
        <w:lock w:val="sdtLocked"/>
        <w:richText/>
      </w:sdtPr>
      <w:sdtContent>
        <w:p>
          <w:pPr>
            <w:suppressLineNumbers/>
            <w:spacing w:line="276" w:lineRule="auto"/>
            <w:ind w:firstLine="851"/>
            <w:jc w:val="both"/>
            <w:rPr>
              <w:rFonts w:eastAsia="Andale Sans UI"/>
              <w:szCs w:val="24"/>
              <w:lang w:bidi="en-US"/>
            </w:rPr>
          </w:pPr>
          <w:r>
            <w:rPr>
              <w:rFonts w:eastAsia="Andale Sans UI"/>
              <w:szCs w:val="24"/>
              <w:lang w:bidi="en-US"/>
            </w:rPr>
            <w:t>Pastabas ir pasiūlymus prašome pateikti per 10</w:t>
          </w:r>
          <w:r>
            <w:rPr>
              <w:rFonts w:eastAsia="Andale Sans UI"/>
              <w:b/>
              <w:bCs/>
              <w:szCs w:val="24"/>
              <w:lang w:bidi="en-US"/>
            </w:rPr>
            <w:t xml:space="preserve"> darbo dienų</w:t>
          </w:r>
          <w:r>
            <w:rPr>
              <w:rFonts w:eastAsia="Andale Sans UI"/>
              <w:szCs w:val="24"/>
              <w:lang w:bidi="en-US"/>
            </w:rPr>
            <w:t xml:space="preserve"> nuo projekto paskelbimo TAIS.</w:t>
          </w:r>
        </w:p>
      </w:sdtContent>
    </w:sdt>
    <w:sdt>
      <w:sdtPr>
        <w:alias w:val="pastraipa"/>
        <w:tag w:val="part_975d5f9d84274d0293dddaa091e240d6"/>
        <w:lock w:val="sdtLocked"/>
        <w:richText/>
      </w:sdtPr>
      <w:sdtContent>
        <w:p>
          <w:pPr>
            <w:suppressLineNumbers/>
            <w:spacing w:line="276" w:lineRule="auto"/>
            <w:ind w:firstLine="851"/>
            <w:jc w:val="both"/>
            <w:rPr>
              <w:rFonts w:eastAsia="Andale Sans UI"/>
              <w:szCs w:val="24"/>
              <w:lang w:bidi="en-US"/>
            </w:rPr>
          </w:pPr>
          <w:r>
            <w:rPr>
              <w:rFonts w:eastAsia="Andale Sans UI"/>
              <w:szCs w:val="24"/>
              <w:lang w:bidi="en-US"/>
            </w:rPr>
            <w:t>Negavus argumentuotų pastabų ir pasiūlymų per nurodytą terminą, bus laikoma, kad projektui pritarta.</w:t>
          </w:r>
        </w:p>
      </w:sdtContent>
    </w:sdt>
    <w:sdt>
      <w:sdtPr>
        <w:alias w:val="pastraipa"/>
        <w:tag w:val="part_9d74c91cb69b4aacb31fad4a40258367"/>
        <w:lock w:val="sdtLocked"/>
        <w:richText/>
      </w:sdtPr>
      <w:sdtContent>
        <w:p>
          <w:pPr>
            <w:suppressLineNumbers/>
            <w:spacing w:line="276" w:lineRule="auto"/>
            <w:ind w:firstLine="851"/>
            <w:jc w:val="both"/>
            <w:rPr>
              <w:rFonts w:eastAsia="Andale Sans UI"/>
              <w:szCs w:val="24"/>
              <w:lang w:bidi="en-US"/>
            </w:rPr>
          </w:pPr>
          <w:r>
            <w:rPr>
              <w:rFonts w:eastAsia="Andale Sans UI"/>
              <w:szCs w:val="24"/>
              <w:lang w:bidi="en-US"/>
            </w:rPr>
            <w:t>Projektą parengė Aplinkos ministerijos Klimato politikos grupė (</w:t>
          </w:r>
          <w:r>
            <w:rPr>
              <w:rFonts w:eastAsia="Andale Sans UI"/>
              <w:iCs/>
              <w:szCs w:val="24"/>
              <w:lang w:bidi="en-US"/>
            </w:rPr>
            <w:t>grupės vadovė – Vilija Augutavičienė</w:t>
          </w:r>
          <w:r>
            <w:rPr>
              <w:rFonts w:eastAsia="Andale Sans UI"/>
              <w:szCs w:val="24"/>
              <w:lang w:bidi="en-US"/>
            </w:rPr>
            <w:t xml:space="preserve">, </w:t>
          </w:r>
          <w:r>
            <w:rPr>
              <w:rFonts w:eastAsia="Andale Sans UI"/>
              <w:iCs/>
              <w:szCs w:val="24"/>
              <w:lang w:bidi="en-US"/>
            </w:rPr>
            <w:t>tel. 8 686 17 484,</w:t>
          </w:r>
          <w:r>
            <w:rPr>
              <w:rFonts w:eastAsia="Andale Sans UI"/>
              <w:szCs w:val="24"/>
              <w:lang w:bidi="en-US"/>
            </w:rPr>
            <w:t xml:space="preserve"> </w:t>
          </w:r>
          <w:r>
            <w:rPr>
              <w:rFonts w:eastAsia="Andale Sans UI"/>
              <w:color w:val="000080"/>
              <w:szCs w:val="24"/>
              <w:u w:val="single"/>
              <w:lang w:bidi="en-US"/>
            </w:rPr>
            <w:t>vilija.augutaviciene@am.lt</w:t>
          </w:r>
          <w:r>
            <w:rPr>
              <w:rFonts w:eastAsia="Andale Sans UI"/>
              <w:szCs w:val="24"/>
              <w:lang w:bidi="en-US"/>
            </w:rPr>
            <w:t xml:space="preserve">; patarėja – Lina Čeičytė, tel. 8 696 18 175, </w:t>
          </w:r>
          <w:r>
            <w:rPr>
              <w:rFonts w:eastAsia="Andale Sans UI"/>
              <w:color w:val="000080"/>
              <w:szCs w:val="24"/>
              <w:u w:val="single"/>
              <w:lang w:bidi="en-US"/>
            </w:rPr>
            <w:t>lina.ceicyte@am.lt</w:t>
          </w:r>
          <w:r>
            <w:rPr>
              <w:rFonts w:eastAsia="Andale Sans UI"/>
              <w:szCs w:val="24"/>
              <w:lang w:bidi="en-US"/>
            </w:rPr>
            <w:t>).</w:t>
          </w:r>
        </w:p>
      </w:sdtContent>
    </w:sdt>
    <w:sdt>
      <w:sdtPr>
        <w:alias w:val="pastraipa"/>
        <w:tag w:val="part_b5f7f2677be540dbaac48ada32a200e4"/>
        <w:lock w:val="sdtLocked"/>
        <w:richText/>
      </w:sdtPr>
      <w:sdtContent>
        <w:p>
          <w:pPr>
            <w:suppressLineNumbers/>
            <w:tabs>
              <w:tab w:val="left" w:pos="709"/>
            </w:tabs>
            <w:spacing w:line="276" w:lineRule="auto"/>
            <w:ind w:firstLine="709"/>
            <w:jc w:val="both"/>
            <w:rPr>
              <w:rFonts w:eastAsia="Andale Sans UI" w:cs="Tahoma"/>
              <w:szCs w:val="24"/>
              <w:lang w:bidi="en-US"/>
            </w:rPr>
          </w:pPr>
          <w:r>
            <w:rPr>
              <w:rFonts w:eastAsia="Andale Sans UI" w:cs="Tahoma"/>
              <w:szCs w:val="24"/>
              <w:lang w:bidi="en-US"/>
            </w:rPr>
            <w:t>PRIDEDAMA:</w:t>
          </w:r>
        </w:p>
        <w:sdt>
          <w:sdtPr>
            <w:alias w:val="1 p."/>
            <w:tag w:val="part_957160e6cc41495280e02af740b54a72"/>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957160e6cc41495280e02af740b54a72"/>
                  <w:lock w:val="sdtLocked"/>
                  <w:richText/>
                </w:sdtPr>
                <w:sdtContent>
                  <w:r>
                    <w:rPr>
                      <w:rFonts w:eastAsia="Andale Sans UI" w:cs="Tahoma"/>
                      <w:szCs w:val="24"/>
                      <w:lang w:bidi="en-US"/>
                    </w:rPr>
                    <w:t>1</w:t>
                  </w:r>
                </w:sdtContent>
              </w:sdt>
              <w:r>
                <w:rPr>
                  <w:rFonts w:eastAsia="Andale Sans UI" w:cs="Tahoma"/>
                  <w:szCs w:val="24"/>
                  <w:lang w:bidi="en-US"/>
                </w:rPr>
                <w:t>. Projektas, 26 lapai.</w:t>
              </w:r>
            </w:p>
          </w:sdtContent>
        </w:sdt>
        <w:sdt>
          <w:sdtPr>
            <w:alias w:val="2 p."/>
            <w:tag w:val="part_d7de6bb01a4b47f483b95aa44b2b4231"/>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d7de6bb01a4b47f483b95aa44b2b4231"/>
                  <w:lock w:val="sdtLocked"/>
                  <w:richText/>
                </w:sdtPr>
                <w:sdtContent>
                  <w:r>
                    <w:rPr>
                      <w:rFonts w:eastAsia="Andale Sans UI" w:cs="Tahoma"/>
                      <w:szCs w:val="24"/>
                      <w:lang w:bidi="en-US"/>
                    </w:rPr>
                    <w:t>2</w:t>
                  </w:r>
                </w:sdtContent>
              </w:sdt>
              <w:r>
                <w:rPr>
                  <w:rFonts w:eastAsia="Andale Sans UI" w:cs="Tahoma"/>
                  <w:szCs w:val="24"/>
                  <w:lang w:bidi="en-US"/>
                </w:rPr>
                <w:t>. Numatomo teisinio reguliavimo poveikio vertinimo pažyma, 1 lapas.</w:t>
              </w:r>
            </w:p>
          </w:sdtContent>
        </w:sdt>
        <w:sdt>
          <w:sdtPr>
            <w:alias w:val="3 p."/>
            <w:tag w:val="part_bab6c5f1c2944824bbbd243c6ac6e6ff"/>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bab6c5f1c2944824bbbd243c6ac6e6ff"/>
                  <w:lock w:val="sdtLocked"/>
                  <w:richText/>
                </w:sdtPr>
                <w:sdtContent>
                  <w:r>
                    <w:rPr>
                      <w:rFonts w:eastAsia="Andale Sans UI" w:cs="Tahoma"/>
                      <w:szCs w:val="24"/>
                      <w:lang w:bidi="en-US"/>
                    </w:rPr>
                    <w:t>3</w:t>
                  </w:r>
                </w:sdtContent>
              </w:sdt>
              <w:r>
                <w:rPr>
                  <w:rFonts w:eastAsia="Andale Sans UI" w:cs="Tahoma"/>
                  <w:szCs w:val="24"/>
                  <w:lang w:bidi="en-US"/>
                </w:rPr>
                <w:t>. Derinimo lentelė, 7 lapai.</w:t>
              </w:r>
            </w:p>
          </w:sdtContent>
        </w:sdt>
        <w:sdt>
          <w:sdtPr>
            <w:alias w:val="4 p."/>
            <w:tag w:val="part_099271459c364a9fbf83627a6e02b631"/>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099271459c364a9fbf83627a6e02b631"/>
                  <w:lock w:val="sdtLocked"/>
                  <w:richText/>
                </w:sdtPr>
                <w:sdtContent>
                  <w:r>
                    <w:rPr>
                      <w:rFonts w:eastAsia="Andale Sans UI" w:cs="Tahoma"/>
                      <w:szCs w:val="24"/>
                      <w:lang w:bidi="en-US"/>
                    </w:rPr>
                    <w:t>4</w:t>
                  </w:r>
                </w:sdtContent>
              </w:sdt>
              <w:r>
                <w:rPr>
                  <w:rFonts w:eastAsia="Andale Sans UI" w:cs="Tahoma"/>
                  <w:szCs w:val="24"/>
                  <w:lang w:bidi="en-US"/>
                </w:rPr>
                <w:t>. Antikorupcinio vertinimo pažyma, 7 lapai.</w:t>
              </w:r>
            </w:p>
            <w:p>
              <w:pPr>
                <w:suppressLineNumbers/>
                <w:spacing w:line="276" w:lineRule="auto"/>
                <w:ind w:firstLine="113"/>
                <w:jc w:val="both"/>
                <w:rPr>
                  <w:rFonts w:eastAsia="Andale Sans UI" w:cs="Tahoma"/>
                  <w:bCs/>
                  <w:szCs w:val="24"/>
                  <w:lang w:bidi="en-US"/>
                </w:rPr>
              </w:pPr>
            </w:p>
            <w:p>
              <w:pPr>
                <w:suppressLineNumbers/>
                <w:spacing w:line="276" w:lineRule="auto"/>
                <w:ind w:firstLine="113"/>
                <w:jc w:val="both"/>
                <w:rPr>
                  <w:rFonts w:eastAsia="Andale Sans UI" w:cs="Tahoma"/>
                  <w:bCs/>
                  <w:szCs w:val="24"/>
                  <w:lang w:bidi="en-US"/>
                </w:rPr>
              </w:pPr>
            </w:p>
            <w:p>
              <w:pPr>
                <w:suppressLineNumbers/>
                <w:spacing w:line="276" w:lineRule="auto"/>
                <w:ind w:firstLine="113"/>
                <w:jc w:val="both"/>
                <w:rPr>
                  <w:rFonts w:eastAsia="Andale Sans UI" w:cs="Tahoma"/>
                  <w:bCs/>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spacing w:line="276" w:lineRule="auto"/>
                      <w:jc w:val="both"/>
                      <w:rPr>
                        <w:rFonts w:eastAsia="Andale Sans UI" w:cs="Tahoma"/>
                        <w:szCs w:val="24"/>
                        <w:lang w:bidi="en-US"/>
                      </w:rPr>
                    </w:pPr>
                    <w:r>
                      <w:rPr>
                        <w:rFonts w:eastAsia="Andale Sans UI" w:cs="Tahoma"/>
                        <w:szCs w:val="24"/>
                        <w:lang w:bidi="en-US"/>
                      </w:rPr>
                      <w:t>Aplinkos viceministras</w:t>
                    </w:r>
                  </w:p>
                </w:tc>
                <w:tc>
                  <w:tcPr>
                    <w:tcW w:w="4826" w:type="dxa"/>
                    <w:vAlign w:val="bottom"/>
                  </w:tcPr>
                  <w:p>
                    <w:pPr>
                      <w:spacing w:line="276" w:lineRule="auto"/>
                      <w:ind w:right="34"/>
                      <w:jc w:val="right"/>
                      <w:rPr>
                        <w:rFonts w:eastAsia="Andale Sans UI" w:cs="Tahoma"/>
                        <w:szCs w:val="24"/>
                        <w:lang w:bidi="en-US"/>
                      </w:rPr>
                    </w:pPr>
                    <w:r>
                      <w:rPr>
                        <w:rFonts w:eastAsia="Andale Sans UI" w:cs="Tahoma"/>
                        <w:szCs w:val="24"/>
                        <w:lang w:bidi="en-US"/>
                      </w:rPr>
                      <w:t>Danas Augutis</w:t>
                    </w:r>
                  </w:p>
                </w:tc>
              </w:tr>
            </w:tbl>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ind w:firstLine="567"/>
                <w:jc w:val="both"/>
                <w:rPr>
                  <w:rFonts w:eastAsia="Andale Sans UI" w:cs="Tahoma"/>
                  <w:szCs w:val="24"/>
                  <w:lang w:bidi="en-US"/>
                </w:rPr>
              </w:pPr>
            </w:p>
            <w:p>
              <w:pPr>
                <w:jc w:val="both"/>
                <w:rPr>
                  <w:rFonts w:eastAsia="Andale Sans UI" w:cs="Tahoma"/>
                  <w:szCs w:val="24"/>
                  <w:lang w:bidi="en-US"/>
                </w:rPr>
              </w:pPr>
            </w:p>
            <w:tbl>
              <w:tblPr>
                <w:tblW w:w="0" w:type="auto"/>
                <w:tblInd w:w="8" w:type="dxa"/>
                <w:tblLayout w:type="fixed"/>
                <w:tblCellMar>
                  <w:left w:w="0" w:type="dxa"/>
                  <w:right w:w="0" w:type="dxa"/>
                </w:tblCellMar>
                <w:tblLook w:val="0000" w:firstRow="0" w:lastRow="0" w:firstColumn="0" w:lastColumn="0" w:noHBand="0" w:noVBand="0"/>
              </w:tblPr>
              <w:tblGrid>
                <w:gridCol w:w="9643"/>
              </w:tblGrid>
              <w:tr>
                <w:trPr>
                  <w:cantSplit/>
                  <w:trHeight w:val="340"/>
                </w:trPr>
                <w:tc>
                  <w:tcPr>
                    <w:tcW w:w="9643" w:type="dxa"/>
                  </w:tcPr>
                  <w:p>
                    <w:pPr>
                      <w:suppressLineNumbers/>
                      <w:jc w:val="both"/>
                      <w:rPr>
                        <w:rFonts w:eastAsia="Andale Sans UI" w:cs="Tahoma"/>
                        <w:szCs w:val="24"/>
                        <w:lang w:bidi="en-US"/>
                      </w:rPr>
                    </w:pPr>
                    <w:r>
                      <w:rPr>
                        <w:rFonts w:eastAsia="Andale Sans UI" w:cs="Tahoma"/>
                        <w:szCs w:val="24"/>
                        <w:lang w:bidi="en-US"/>
                      </w:rPr>
                      <w:t>L. Čeičytė, 8-682 23663, el. p. lina.ceicyte@am.lt</w:t>
                    </w:r>
                  </w:p>
                </w:tc>
              </w:tr>
            </w:tbl>
            <w:p>
              <w:pPr>
                <w:ind w:firstLine="567"/>
                <w:jc w:val="both"/>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sdtContent>
        </w:sdt>
        <w:sdt>
          <w:sdtPr>
            <w:alias w:val="signatura"/>
            <w:tag w:val="part_c79659a8908f4c2ba3e59b1cf9862b2d"/>
            <w:lock w:val="sdtLocked"/>
            <w:richText/>
          </w:sdtPr>
          <w:sdtContent>
            <w:p>
              <w:pPr>
                <w:textAlignment w:val="baseline"/>
                <w:rPr>
                  <w:rFonts w:eastAsia="StarSymbol"/>
                  <w:szCs w:val="24"/>
                  <w:lang w:eastAsia="lt-LT"/>
                </w:rPr>
              </w:pPr>
              <w:r>
                <w:rPr>
                  <w:rFonts w:eastAsia="StarSymbol"/>
                  <w:szCs w:val="24"/>
                  <w:lang w:eastAsia="lt-LT"/>
                </w:rPr>
                <w:t>Lietuvos Respublikos teisingumo ministerijai</w:t>
              </w:r>
            </w:p>
            <w:p>
              <w:pPr>
                <w:textAlignment w:val="baseline"/>
                <w:rPr>
                  <w:rFonts w:eastAsia="StarSymbol"/>
                  <w:szCs w:val="24"/>
                  <w:lang w:eastAsia="lt-LT"/>
                </w:rPr>
              </w:pPr>
            </w:p>
            <w:p>
              <w:pPr>
                <w:textAlignment w:val="baseline"/>
                <w:rPr>
                  <w:rFonts w:eastAsia="StarSymbol"/>
                  <w:szCs w:val="24"/>
                  <w:lang w:eastAsia="lt-LT"/>
                </w:rPr>
              </w:pPr>
              <w:r>
                <w:rPr>
                  <w:rFonts w:eastAsia="StarSymbol"/>
                  <w:szCs w:val="24"/>
                  <w:lang w:eastAsia="lt-LT"/>
                </w:rPr>
                <w:t>Lietuvos Respublikos socialinės apsaugos ir darbo ministerijai</w:t>
              </w:r>
            </w:p>
            <w:p>
              <w:pPr>
                <w:textAlignment w:val="baseline"/>
                <w:rPr>
                  <w:rFonts w:eastAsia="StarSymbol"/>
                  <w:szCs w:val="24"/>
                  <w:lang w:eastAsia="lt-LT"/>
                </w:rPr>
              </w:pPr>
            </w:p>
            <w:p>
              <w:pPr>
                <w:textAlignment w:val="baseline"/>
                <w:rPr>
                  <w:rFonts w:eastAsia="StarSymbol"/>
                  <w:szCs w:val="24"/>
                  <w:lang w:eastAsia="lt-LT"/>
                </w:rPr>
              </w:pPr>
              <w:r>
                <w:rPr>
                  <w:rFonts w:eastAsia="StarSymbol"/>
                  <w:szCs w:val="24"/>
                  <w:lang w:eastAsia="lt-LT"/>
                </w:rPr>
                <w:t>Lietuvos Respublikos ekonomikos ir inovacijų ministerijai</w:t>
              </w:r>
            </w:p>
            <w:p>
              <w:pPr>
                <w:textAlignment w:val="baseline"/>
                <w:rPr>
                  <w:rFonts w:eastAsia="StarSymbol"/>
                  <w:szCs w:val="24"/>
                  <w:lang w:eastAsia="lt-LT"/>
                </w:rPr>
              </w:pPr>
            </w:p>
            <w:p>
              <w:pPr>
                <w:textAlignment w:val="baseline"/>
                <w:rPr>
                  <w:rFonts w:eastAsia="StarSymbol"/>
                  <w:szCs w:val="24"/>
                  <w:lang w:eastAsia="lt-LT"/>
                </w:rPr>
              </w:pPr>
              <w:r>
                <w:rPr>
                  <w:rFonts w:eastAsia="StarSymbol"/>
                  <w:szCs w:val="24"/>
                  <w:lang w:eastAsia="lt-LT"/>
                </w:rPr>
                <w:t>Lietuvos Respublikos susisiekimo ministerijai</w:t>
              </w:r>
            </w:p>
            <w:p>
              <w:pPr>
                <w:textAlignment w:val="baseline"/>
                <w:rPr>
                  <w:rFonts w:eastAsia="StarSymbol"/>
                  <w:szCs w:val="24"/>
                  <w:lang w:eastAsia="lt-LT"/>
                </w:rPr>
              </w:pPr>
              <w:r>
                <w:rPr>
                  <w:rFonts w:eastAsia="StarSymbol"/>
                  <w:szCs w:val="24"/>
                  <w:lang w:eastAsia="lt-LT"/>
                </w:rPr>
                <w:br/>
                <w:t>Lietuvos Respublikos žemės ūkio ministerijai</w:t>
              </w:r>
            </w:p>
            <w:p>
              <w:pPr>
                <w:textAlignment w:val="baseline"/>
                <w:rPr>
                  <w:rFonts w:eastAsia="StarSymbol"/>
                  <w:szCs w:val="24"/>
                  <w:lang w:eastAsia="lt-LT"/>
                </w:rPr>
              </w:pPr>
            </w:p>
            <w:p>
              <w:pPr>
                <w:textAlignment w:val="baseline"/>
                <w:rPr>
                  <w:rFonts w:eastAsia="StarSymbol"/>
                  <w:szCs w:val="24"/>
                  <w:lang w:eastAsia="lt-LT"/>
                </w:rPr>
              </w:pPr>
              <w:r>
                <w:rPr>
                  <w:rFonts w:eastAsia="StarSymbol"/>
                  <w:szCs w:val="24"/>
                  <w:lang w:eastAsia="lt-LT"/>
                </w:rPr>
                <w:t>Lietuvos Respublikos energetikos ministerijai</w:t>
              </w:r>
            </w:p>
            <w:p>
              <w:pPr>
                <w:rPr>
                  <w:rFonts w:eastAsia="StarSymbol"/>
                  <w:szCs w:val="24"/>
                  <w:lang w:eastAsia="lt-LT"/>
                </w:rPr>
              </w:pPr>
            </w:p>
            <w:p>
              <w:pPr>
                <w:rPr>
                  <w:rFonts w:eastAsia="StarSymbol"/>
                  <w:szCs w:val="24"/>
                  <w:lang w:eastAsia="lt-LT"/>
                </w:rPr>
              </w:pPr>
              <w:r>
                <w:rPr>
                  <w:rFonts w:eastAsia="StarSymbol"/>
                  <w:szCs w:val="24"/>
                  <w:lang w:eastAsia="lt-LT"/>
                </w:rPr>
                <w:t>Lietuvos Respublikos finansų ministerijai</w:t>
              </w:r>
            </w:p>
          </w:sdtContent>
        </w:sdt>
      </w:sdtContent>
    </w:sdt>
    <w:sectPr>
      <w:headerReference w:type="even" r:id="rId12"/>
      <w:headerReference w:type="default" r:id="rId13"/>
      <w:footerReference w:type="even" r:id="rId14"/>
      <w:footerReference w:type="default" r:id="rId15"/>
      <w:headerReference w:type="first" r:id="rId16"/>
      <w:footerReference w:type="first" r:id="rId17"/>
      <w:footnotePr>
        <w:pos w:val="beneathText"/>
        <w:numRestart w:val="eachPage"/>
      </w:footnotePr>
      <w:endnotePr>
        <w:numFmt w:val="decimal"/>
      </w:endnotePr>
      <w:pgSz w:w="11905" w:h="16837"/>
      <w:pgMar w:top="1134" w:right="567" w:bottom="1134"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Arial Unicode MS"/>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tarSymbol">
    <w:altName w:val="Microsoft YaHei"/>
    <w:charset w:val="00"/>
    <w:family w:val="auto"/>
    <w:pitch w:val="variable"/>
    <w:sig w:usb0="00000003" w:usb1="10008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1E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1093864504">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822156668">
          <w:marLeft w:val="0"/>
          <w:marRight w:val="0"/>
          <w:marTop w:val="0"/>
          <w:marBottom w:val="0"/>
          <w:divBdr>
            <w:top w:val="none" w:sz="0" w:space="0" w:color="auto"/>
            <w:left w:val="none" w:sz="0" w:space="0" w:color="auto"/>
            <w:bottom w:val="none" w:sz="0" w:space="0" w:color="auto"/>
            <w:right w:val="none" w:sz="0" w:space="0" w:color="auto"/>
          </w:divBdr>
        </w:div>
      </w:divsChild>
    </w:div>
    <w:div w:id="1162963929">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336346376">
          <w:marLeft w:val="0"/>
          <w:marRight w:val="0"/>
          <w:marTop w:val="0"/>
          <w:marBottom w:val="0"/>
          <w:divBdr>
            <w:top w:val="none" w:sz="0" w:space="0" w:color="auto"/>
            <w:left w:val="none" w:sz="0" w:space="0" w:color="auto"/>
            <w:bottom w:val="none" w:sz="0" w:space="0" w:color="auto"/>
            <w:right w:val="none" w:sz="0" w:space="0" w:color="auto"/>
          </w:divBdr>
        </w:div>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lentele" DocPartId="e356e0499d7c4100a47d42c680530dcc" PartId="19d3320dcb944d8ebaf1c2bbbb74c221"/>
  <Part Type="pastraipa" DocPartId="b076109ee46843bfb9899df4fc343bba" PartId="cc2c55bcd5464f7b832b77bb5d3c3a15"/>
  <Part Type="pastraipa" DocPartId="feae83b834bc47a9a1b222cd6e04aaaa" PartId="e1a5d16d6bba41e2b3ac3030c228c1df"/>
  <Part Type="pastraipa" DocPartId="b80480352c3242a9bb9eb23f449cec67" PartId="4ff196176bed4fb1bf1d15c3162b40ad"/>
  <Part Type="pastraipa" DocPartId="49328055e7e64272b167ece09641b6d6" PartId="46bf4d88dc2643eabb5eb235c1c5fcdf"/>
  <Part Type="pastraipa" DocPartId="7c3caab696554d76a3dd55bb15d8c461" PartId="b0d5984208324b9986b35e61cab1e306"/>
  <Part Type="pastraipa" DocPartId="99b503dc24fe4e2f822044889431a454" PartId="9f07f73874164b4693b8e1812490ef4d"/>
  <Part Type="pastraipa" DocPartId="5d7815b955a943e0b173fd38f39ab582" PartId="fe4aa9060a644d42a1d54b0bc8ee66a7"/>
  <Part Type="pastraipa" DocPartId="341d5b39b3fd4814aec34b23266bf87f" PartId="374177a215c94310b444458dcda46a46"/>
  <Part Type="pastraipa" DocPartId="68974c0fad3b4c1abaff0fa2376657c6" PartId="623da558d58d4600bda8e7cfa5731321"/>
  <Part Type="pastraipa" DocPartId="54973e3878a149eb9afab9e9d58ad08f" PartId="dd0f670b8393440a8bde6a9ed4077dbb"/>
  <Part Type="pastraipa" DocPartId="e681ed95e3ca4305a48b58bb5a8b7c93" PartId="975d5f9d84274d0293dddaa091e240d6"/>
  <Part Type="pastraipa" DocPartId="3c34518c5d144d94a1540066fc1462b5" PartId="9d74c91cb69b4aacb31fad4a40258367"/>
  <Part Type="pastraipa" DocPartId="9967d23e1c2f412ca42f7618b763b514" PartId="b5f7f2677be540dbaac48ada32a200e4">
    <Part Type="punktas" Nr="1" Abbr="1 p." DocPartId="3bf91171721d4202ae758b865e2fa703" PartId="957160e6cc41495280e02af740b54a72"/>
    <Part Type="punktas" Nr="2" Abbr="2 p." DocPartId="d8c6cb11dd034b5ea37f102289ea4109" PartId="d7de6bb01a4b47f483b95aa44b2b4231"/>
    <Part Type="punktas" Nr="3" Abbr="3 p." DocPartId="2caaf8721d45421cb0186c36f674a6c6" PartId="bab6c5f1c2944824bbbd243c6ac6e6ff"/>
    <Part Type="punktas" Nr="4" Abbr="4 p." DocPartId="3844058669f042dab81be5ea01e7959d" PartId="099271459c364a9fbf83627a6e02b631"/>
    <Part Type="signatura" DocPartId="1b51fa494bda42e484a64184b2352834" PartId="c79659a8908f4c2ba3e59b1cf9862b2d"/>
  </Part>
</Parts>
</file>

<file path=customXml/itemProps1.xml><?xml version="1.0" encoding="utf-8"?>
<ds:datastoreItem xmlns:ds="http://schemas.openxmlformats.org/officeDocument/2006/customXml" ds:itemID="{CD888265-0BD3-4B50-B239-7F1252F759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ECC1323-9F72-4681-9895-5BB6B34E3FBB}">
  <ds:schemaRefs>
    <ds:schemaRef ds:uri="http://schemas.microsoft.com/office/2006/metadata/properties"/>
    <ds:schemaRef ds:uri="19cf09c5-daa1-4028-a0ff-74a0be4ec5cc"/>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f5aad5d0-9c26-490e-8743-a6c7ceabd501"/>
    <ds:schemaRef ds:uri="http://schemas.microsoft.com/sharepoint/v3"/>
    <ds:schemaRef ds:uri="http://purl.org/dc/elements/1.1/"/>
    <ds:schemaRef ds:uri="http://www.w3.org/XML/1998/namespace"/>
    <ds:schemaRef ds:uri="http://purl.org/dc/terms/"/>
  </ds:schemaRefs>
</ds:datastoreItem>
</file>

<file path=customXml/itemProps3.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4.xml><?xml version="1.0" encoding="utf-8"?>
<ds:datastoreItem xmlns:ds="http://schemas.openxmlformats.org/officeDocument/2006/customXml" ds:itemID="{C319A98A-3868-4F6C-ACFD-18DCA6D6DBA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566</Words>
  <Characters>4320</Characters>
  <Application>Microsoft Office Word</Application>
  <DocSecurity>4</DocSecurity>
  <Lines>130</Lines>
  <Paragraphs>44</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4842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2022-12-13T09:17:00Z</dcterms:created>
  <dcterms:modified xsi:type="dcterms:W3CDTF">2022-12-13T09:17:00Z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