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44E3B1A"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ŠIAULIŲ MIESTO SAVIVALDYBĖS ADMINISTRACIJA</w:t>
      </w:r>
    </w:p>
    <w:p w14:paraId="0EDC993F" w14:textId="44702FED">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 xml:space="preserve">TURTO VALDYMO SKYRIUS </w:t>
      </w:r>
    </w:p>
    <w:p w14:paraId="69550B1F" w14:textId="77777777">
      <w:pPr>
        <w:widowControl w:val="0"/>
        <w:suppressAutoHyphens/>
        <w:rPr>
          <w:rFonts w:eastAsia="Lucida Sans Unicode" w:cs="Tahoma"/>
          <w:b/>
          <w:bCs/>
          <w:kern w:val="1"/>
          <w:szCs w:val="24"/>
          <w:lang w:eastAsia="lt-LT"/>
        </w:rPr>
      </w:pPr>
    </w:p>
    <w:p w14:paraId="3AE28F8B" w14:textId="3D976951">
      <w:pPr>
        <w:widowControl w:val="0"/>
        <w:suppressAutoHyphens/>
        <w:jc w:val="center"/>
        <w:rPr>
          <w:rFonts w:eastAsia="Lucida Sans Unicode"/>
          <w:b/>
          <w:kern w:val="1"/>
          <w:szCs w:val="24"/>
          <w:lang w:eastAsia="lt-LT"/>
        </w:rPr>
      </w:pPr>
      <w:r>
        <w:rPr>
          <w:rFonts w:eastAsia="Lucida Sans Unicode" w:cs="Tahoma"/>
          <w:b/>
          <w:bCs/>
          <w:kern w:val="1"/>
          <w:szCs w:val="24"/>
          <w:lang w:eastAsia="lt-LT"/>
        </w:rPr>
        <w:t>SPRENDIMO „</w:t>
      </w:r>
      <w:r>
        <w:rPr>
          <w:rFonts w:eastAsia="Lucida Sans Unicode"/>
          <w:b/>
          <w:kern w:val="1"/>
          <w:szCs w:val="24"/>
          <w:lang w:eastAsia="lt-LT"/>
        </w:rPr>
        <w:t xml:space="preserve">DĖL TURTO PERDAVIMO PRIEŠGAISRINĖS APSAUGOS IR GELBĖJIMO DEPARTAMENTUI PRIE VIDAUS REIKALŲ MINISTERIJOS“ </w:t>
      </w:r>
    </w:p>
    <w:p w14:paraId="20A98B4F" w14:textId="77777777">
      <w:pPr>
        <w:widowControl w:val="0"/>
        <w:suppressAutoHyphens/>
        <w:jc w:val="center"/>
        <w:rPr>
          <w:rFonts w:eastAsia="Lucida Sans Unicode" w:cs="Tahoma"/>
          <w:b/>
          <w:bCs/>
          <w:kern w:val="1"/>
          <w:szCs w:val="24"/>
          <w:lang w:eastAsia="lt-LT"/>
        </w:rPr>
      </w:pPr>
    </w:p>
    <w:p w14:paraId="235217F0"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AIŠKINAMASIS RAŠTAS</w:t>
      </w:r>
    </w:p>
    <w:p w14:paraId="1F6D1B8B" w14:textId="77777777">
      <w:pPr>
        <w:widowControl w:val="0"/>
        <w:suppressAutoHyphens/>
        <w:jc w:val="center"/>
        <w:rPr>
          <w:rFonts w:eastAsia="Lucida Sans Unicode" w:cs="Tahoma"/>
          <w:kern w:val="1"/>
          <w:szCs w:val="24"/>
          <w:lang w:eastAsia="lt-LT"/>
        </w:rPr>
      </w:pPr>
    </w:p>
    <w:p w14:paraId="37C676AB" w14:textId="66B02F46">
      <w:pPr>
        <w:widowControl w:val="0"/>
        <w:suppressAutoHyphens/>
        <w:jc w:val="center"/>
        <w:rPr>
          <w:rFonts w:eastAsia="Lucida Sans Unicode" w:cs="Tahoma"/>
          <w:kern w:val="1"/>
          <w:szCs w:val="24"/>
          <w:lang w:eastAsia="lt-LT"/>
        </w:rPr>
      </w:pPr>
      <w:r>
        <w:rPr>
          <w:rFonts w:eastAsia="Lucida Sans Unicode" w:cs="Tahoma"/>
          <w:kern w:val="1"/>
          <w:szCs w:val="24"/>
          <w:lang w:eastAsia="lt-LT"/>
        </w:rPr>
        <w:t>2021-11-24</w:t>
      </w:r>
    </w:p>
    <w:p w14:paraId="53C3496C" w14:textId="77777777">
      <w:pPr>
        <w:widowControl w:val="0"/>
        <w:suppressAutoHyphens/>
        <w:jc w:val="center"/>
        <w:rPr>
          <w:rFonts w:eastAsia="Lucida Sans Unicode" w:cs="Tahoma"/>
          <w:kern w:val="1"/>
          <w:szCs w:val="24"/>
          <w:lang w:eastAsia="lt-LT"/>
        </w:rPr>
      </w:pPr>
      <w:r>
        <w:rPr>
          <w:rFonts w:eastAsia="Lucida Sans Unicode" w:cs="Tahoma"/>
          <w:kern w:val="1"/>
          <w:szCs w:val="24"/>
          <w:lang w:eastAsia="lt-LT"/>
        </w:rPr>
        <w:t>Šiauliai</w:t>
      </w:r>
    </w:p>
    <w:p w14:paraId="05E4A322" w14:textId="77777777"/>
    <w:p w14:paraId="2F52FC3C"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Parengto sprendimo projekto tikslai ir uždaviniai:</w:t>
      </w:r>
    </w:p>
    <w:p w14:paraId="1DA35C12" w14:textId="12A20C0E">
      <w:pPr>
        <w:widowControl w:val="0"/>
        <w:tabs>
          <w:tab w:val="left" w:pos="709"/>
        </w:tabs>
        <w:suppressAutoHyphens/>
        <w:ind w:right="-1" w:firstLine="709"/>
        <w:jc w:val="both"/>
        <w:rPr>
          <w:rFonts w:eastAsia="Lucida Sans Unicode"/>
          <w:kern w:val="1"/>
          <w:szCs w:val="24"/>
          <w:shd w:val="clear" w:color="auto" w:fill="FFFFFF"/>
          <w:lang w:eastAsia="lt-LT"/>
        </w:rPr>
      </w:pPr>
      <w:r>
        <w:rPr>
          <w:rFonts w:eastAsia="Lucida Sans Unicode"/>
          <w:kern w:val="1"/>
          <w:szCs w:val="24"/>
          <w:lang w:eastAsia="lt-LT"/>
        </w:rPr>
        <w:t>Sudaryti</w:t>
      </w:r>
      <w:r>
        <w:rPr>
          <w:rFonts w:eastAsia="Lucida Sans Unicode"/>
          <w:kern w:val="1"/>
          <w:szCs w:val="24"/>
          <w:shd w:val="clear" w:color="auto" w:fill="FFFFFF"/>
          <w:lang w:eastAsia="lt-LT"/>
        </w:rPr>
        <w:t xml:space="preserve"> </w:t>
      </w:r>
      <w:r>
        <w:rPr>
          <w:rFonts w:eastAsia="Lucida Sans Unicode"/>
          <w:kern w:val="2"/>
          <w:szCs w:val="24"/>
          <w:shd w:val="clear" w:color="auto" w:fill="FFFFFF"/>
          <w:lang w:eastAsia="ar-SA"/>
        </w:rPr>
        <w:t xml:space="preserve">penkeriems metams naują panaudos sutartį dėl </w:t>
      </w:r>
      <w:r>
        <w:rPr>
          <w:rFonts w:eastAsia="Lucida Sans Unicode"/>
          <w:kern w:val="1"/>
          <w:szCs w:val="24"/>
          <w:shd w:val="clear" w:color="auto" w:fill="FFFFFF"/>
          <w:lang w:eastAsia="lt-LT"/>
        </w:rPr>
        <w:t xml:space="preserve">Šiaulių miesto savivaldybei nuosavybės teise priklausančio ilgalaikio turto su </w:t>
      </w:r>
      <w:r>
        <w:rPr>
          <w:rFonts w:eastAsia="Lucida Sans Unicode"/>
          <w:kern w:val="2"/>
          <w:szCs w:val="24"/>
          <w:shd w:val="clear" w:color="auto" w:fill="FFFFFF"/>
          <w:lang w:eastAsia="ar-SA"/>
        </w:rPr>
        <w:t xml:space="preserve">biudžetine įstaiga </w:t>
      </w:r>
      <w:r>
        <w:rPr>
          <w:rFonts w:eastAsia="Lucida Sans Unicode"/>
          <w:kern w:val="2"/>
          <w:szCs w:val="24"/>
          <w:lang w:eastAsia="ar-SA"/>
        </w:rPr>
        <w:t>Priešgaisrinės apsaugos ir gelbėjimo departamentu prie Vidaus reikalų ministerijos, atstovaujama Priešgaisrinės apsaugos ir gelbėjimo departamento prie Vidaus reikalų ministerijos Šiaulių priešgaisrinės gelbėjimo valdybos.</w:t>
      </w:r>
    </w:p>
    <w:p w14:paraId="1F0FE2F3"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Dabartinis sprendimo projekte aptariamų klausimų reguliavimas:</w:t>
      </w:r>
    </w:p>
    <w:p w14:paraId="7B64E275" w14:textId="7F1C2007">
      <w:pPr>
        <w:widowControl w:val="0"/>
        <w:suppressAutoHyphens/>
        <w:ind w:firstLine="720"/>
        <w:jc w:val="both"/>
        <w:rPr>
          <w:rFonts w:eastAsia="Lucida Sans Unicode"/>
          <w:color w:val="000000"/>
          <w:kern w:val="1"/>
          <w:lang w:eastAsia="lt-LT"/>
        </w:rPr>
      </w:pPr>
      <w:r>
        <w:rPr>
          <w:rFonts w:eastAsia="Lucida Sans Unicode" w:cs="Tahoma"/>
          <w:kern w:val="1"/>
          <w:szCs w:val="24"/>
          <w:lang w:eastAsia="lt-LT"/>
        </w:rPr>
        <w:t xml:space="preserve">Turto perdavimą apsprendžia </w:t>
      </w:r>
      <w:r>
        <w:rPr>
          <w:rFonts w:eastAsia="Lucida Sans Unicode"/>
          <w:kern w:val="1"/>
          <w:szCs w:val="24"/>
          <w:lang w:eastAsia="lt-LT"/>
        </w:rPr>
        <w:t>Lietuvos Respublikos valstybės ir savivaldybių turto valdymo, naudojimo ir disponavimo juo įstatymas ir Šiaulių miesto savivaldybei nuosavybės teise priklausančio ir patikėjimo teise valdomo materialiojo turto perdavimo panaudos pagrindais laikinai neatlygintinai valdyti ir naudotis tvarkos aprašas, patvirtintas Šiaulių miesto savivaldybės tarybos 2021 m. rugsėjo 2 d. sprendimu Nr. T-370 „Dėl Šiaulių miesto savivaldybei nuosavybės teise priklausančio ir patikėjimo teise valdomo turto perdavimo panaudos pagrindais laikinai neatlygintinai valdyti ir naudotis tvarkos aprašo patvirtinimo“.</w:t>
      </w:r>
    </w:p>
    <w:p w14:paraId="0672E14F"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projekte numatytos naujos teisinio reglamentavimo nuostatos:</w:t>
      </w:r>
    </w:p>
    <w:p w14:paraId="563C815B" w14:textId="658D257A">
      <w:pPr>
        <w:widowControl w:val="0"/>
        <w:suppressAutoHyphens/>
        <w:ind w:firstLine="720"/>
        <w:jc w:val="both"/>
        <w:rPr>
          <w:rFonts w:eastAsia="Lucida Sans Unicode"/>
          <w:kern w:val="1"/>
          <w:szCs w:val="24"/>
          <w:shd w:val="clear" w:color="auto" w:fill="FFFFFF"/>
          <w:lang w:eastAsia="lt-LT"/>
        </w:rPr>
      </w:pPr>
      <w:r>
        <w:rPr>
          <w:rFonts w:eastAsia="Lucida Sans Unicode"/>
          <w:kern w:val="1"/>
          <w:szCs w:val="24"/>
          <w:lang w:eastAsia="lt-LT"/>
        </w:rPr>
        <w:t xml:space="preserve">2018 m. gruodžio 6 d. sprendimu Nr. T-415 </w:t>
      </w:r>
      <w:r>
        <w:rPr>
          <w:rFonts w:eastAsia="Lucida Sans Unicode"/>
          <w:kern w:val="1"/>
          <w:szCs w:val="24"/>
          <w:shd w:val="clear" w:color="auto" w:fill="FFFFFF"/>
          <w:lang w:eastAsia="lt-LT"/>
        </w:rPr>
        <w:t xml:space="preserve">biudžetinei įstaigai </w:t>
      </w:r>
      <w:r>
        <w:rPr>
          <w:rFonts w:eastAsia="Lucida Sans Unicode"/>
          <w:kern w:val="1"/>
          <w:szCs w:val="24"/>
          <w:lang w:eastAsia="lt-LT"/>
        </w:rPr>
        <w:t>Priešgaisrinės apsaugos ir gelbėjimo departamentui prie Vidaus reikalų ministerijos,</w:t>
      </w:r>
      <w:r>
        <w:rPr>
          <w:rFonts w:eastAsia="Lucida Sans Unicode"/>
          <w:kern w:val="2"/>
          <w:szCs w:val="24"/>
          <w:lang w:eastAsia="ar-SA"/>
        </w:rPr>
        <w:t xml:space="preserve"> atstovaujamai Priešgaisrinės apsaugos ir gelbėjimo departamento prie Vidaus reikalų ministerijos Šiaulių priešgaisrinės gelbėjimo valdybos</w:t>
      </w:r>
      <w:r>
        <w:rPr>
          <w:rFonts w:eastAsia="Lucida Sans Unicode"/>
          <w:kern w:val="1"/>
          <w:szCs w:val="24"/>
          <w:lang w:eastAsia="lt-LT"/>
        </w:rPr>
        <w:t xml:space="preserve">   ilgalaikio turto panaudos sutartimi buvo perduoti </w:t>
      </w:r>
      <w:r>
        <w:rPr>
          <w:rFonts w:eastAsia="Lucida Sans Unicode"/>
          <w:kern w:val="1"/>
          <w:szCs w:val="24"/>
          <w:shd w:val="clear" w:color="auto" w:fill="FFFFFF"/>
          <w:lang w:eastAsia="lt-LT"/>
        </w:rPr>
        <w:t>šeši elektroniniai dozimetrai „EPD Mk2“ įstaigos</w:t>
      </w:r>
      <w:r>
        <w:rPr>
          <w:rFonts w:eastAsia="Lucida Sans Unicode"/>
          <w:kern w:val="1"/>
          <w:szCs w:val="24"/>
          <w:lang w:eastAsia="lt-LT"/>
        </w:rPr>
        <w:t xml:space="preserve"> nuostatuose numatytai veiklai vykdyti. Vieno elektroninio dozimetro „EPD Mk2“ kaina – 806,53 Eur, likutinė vertė − 0,00 Eur. Šio ilgalaikio turto panaudos sutartis baigiasi 2022 m. sausio 16 d. Priešgaisrinė apsaugos ir gelbėjimo departamento prie Vidaus reikalų ministerijos Š</w:t>
      </w:r>
      <w:r>
        <w:rPr>
          <w:rFonts w:eastAsia="Lucida Sans Unicode"/>
          <w:kern w:val="1"/>
          <w:szCs w:val="24"/>
          <w:lang w:eastAsia="ar-SA"/>
        </w:rPr>
        <w:t>iaulių priešgaisrinė gelbėjimo valdyba prašo sudaryti naują ilgalaikio turto panaudos sutartį.</w:t>
      </w:r>
    </w:p>
    <w:p w14:paraId="2B86D958" w14:textId="1DD44D6D">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Sprendimo projekto 1 punktu siūloma</w:t>
      </w:r>
      <w:r>
        <w:rPr>
          <w:rFonts w:eastAsia="Lucida Sans Unicode"/>
          <w:kern w:val="1"/>
          <w:szCs w:val="24"/>
          <w:shd w:val="clear" w:color="auto" w:fill="FFFFFF"/>
          <w:lang w:eastAsia="lt-LT"/>
        </w:rPr>
        <w:t xml:space="preserve"> sudaryti </w:t>
      </w:r>
      <w:r>
        <w:rPr>
          <w:rFonts w:eastAsia="Lucida Sans Unicode"/>
          <w:kern w:val="2"/>
          <w:szCs w:val="24"/>
          <w:shd w:val="clear" w:color="auto" w:fill="FFFFFF"/>
          <w:lang w:eastAsia="ar-SA"/>
        </w:rPr>
        <w:t>penkeriems metams</w:t>
      </w:r>
      <w:r>
        <w:rPr>
          <w:rFonts w:eastAsia="Lucida Sans Unicode"/>
          <w:kern w:val="1"/>
          <w:szCs w:val="24"/>
          <w:lang w:eastAsia="lt-LT"/>
        </w:rPr>
        <w:t xml:space="preserve"> naują </w:t>
      </w:r>
      <w:r>
        <w:rPr>
          <w:rFonts w:eastAsia="Lucida Sans Unicode"/>
          <w:kern w:val="1"/>
          <w:szCs w:val="24"/>
          <w:shd w:val="clear" w:color="auto" w:fill="FFFFFF"/>
          <w:lang w:eastAsia="lt-LT"/>
        </w:rPr>
        <w:t xml:space="preserve">panaudos sutartį  dėl Šiaulių miesto savivaldybei nuosavybės teise priklausančio ilgalaikio turto – šešių elektroninių dozimetrų „EPD Mk2“ su biudžetine įstaiga </w:t>
      </w:r>
      <w:r>
        <w:rPr>
          <w:rFonts w:eastAsia="Lucida Sans Unicode"/>
          <w:kern w:val="1"/>
          <w:szCs w:val="24"/>
          <w:lang w:eastAsia="lt-LT"/>
        </w:rPr>
        <w:t>Priešgaisrinės apsaugos ir gelbėjimo departamentu prie Vidaus reikalų ministerijos,</w:t>
      </w:r>
      <w:r>
        <w:rPr>
          <w:rFonts w:eastAsia="Lucida Sans Unicode"/>
          <w:kern w:val="2"/>
          <w:szCs w:val="24"/>
          <w:lang w:eastAsia="ar-SA"/>
        </w:rPr>
        <w:t xml:space="preserve"> atstovaujama Priešgaisrinės apsaugos ir gelbėjimo departamento prie Vidaus reikalų ministerijos Šiaulių priešgaisrinės gelbėjimo valdybos,</w:t>
      </w:r>
      <w:r>
        <w:rPr>
          <w:rFonts w:eastAsia="Lucida Sans Unicode"/>
          <w:kern w:val="2"/>
          <w:szCs w:val="24"/>
          <w:shd w:val="clear" w:color="auto" w:fill="FFFFFF"/>
          <w:lang w:eastAsia="ar-SA"/>
        </w:rPr>
        <w:t xml:space="preserve"> įstaigos nuostatuose numatytai veiklai vykdyti</w:t>
      </w:r>
      <w:r>
        <w:rPr>
          <w:rFonts w:eastAsia="Lucida Sans Unicode"/>
          <w:kern w:val="1"/>
          <w:szCs w:val="24"/>
          <w:lang w:eastAsia="lt-LT"/>
        </w:rPr>
        <w:t xml:space="preserve">. Vieno elektroninio dozimetro „EPD Mk2“  kaina – 806,53 Eur, likutinė vertė − 0,00 Eur.</w:t>
      </w:r>
    </w:p>
    <w:p w14:paraId="258218A1" w14:textId="758C8994">
      <w:pPr>
        <w:widowControl w:val="0"/>
        <w:suppressAutoHyphens/>
        <w:ind w:firstLine="720"/>
        <w:jc w:val="both"/>
        <w:rPr>
          <w:kern w:val="2"/>
          <w:szCs w:val="24"/>
          <w:shd w:val="clear" w:color="auto" w:fill="FFFFFF"/>
          <w:lang w:eastAsia="lt-LT"/>
        </w:rPr>
      </w:pPr>
      <w:r>
        <w:rPr>
          <w:rFonts w:eastAsia="Lucida Sans Unicode"/>
          <w:b/>
          <w:kern w:val="1"/>
          <w:szCs w:val="24"/>
          <w:lang w:eastAsia="lt-LT"/>
        </w:rPr>
        <w:t>Priėmus sprendimą, galimos pasekmės (tiek teigiamos, tiek neigiamos).</w:t>
      </w:r>
    </w:p>
    <w:p w14:paraId="0AF799AE" w14:textId="77777777">
      <w:pPr>
        <w:widowControl w:val="0"/>
        <w:tabs>
          <w:tab w:val="left" w:pos="709"/>
          <w:tab w:val="left" w:pos="851"/>
        </w:tabs>
        <w:suppressAutoHyphens/>
        <w:ind w:firstLine="709"/>
        <w:jc w:val="both"/>
        <w:rPr>
          <w:rFonts w:eastAsia="Lucida Sans Unicode"/>
          <w:kern w:val="1"/>
          <w:szCs w:val="24"/>
          <w:lang w:eastAsia="lt-LT"/>
        </w:rPr>
      </w:pPr>
      <w:r>
        <w:rPr>
          <w:rFonts w:eastAsia="Lucida Sans Unicode"/>
          <w:kern w:val="1"/>
          <w:szCs w:val="24"/>
          <w:lang w:eastAsia="lt-LT"/>
        </w:rPr>
        <w:t>Priėmus sprendimą neigiamų pasekmių nenumatoma.</w:t>
      </w:r>
    </w:p>
    <w:p w14:paraId="57CF5CBC"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Priėmus sprendimą, keičiami ar pripažįstami negaliojančiais teisės aktai.</w:t>
      </w:r>
    </w:p>
    <w:p w14:paraId="49257ECC"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Priėmus sprendimą, teisės aktai nekeičiami ir nepripažįstami negaliojančiais.</w:t>
      </w:r>
    </w:p>
    <w:p w14:paraId="3E7E4488"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reikalingi priimti papildomi teisės aktai.</w:t>
      </w:r>
    </w:p>
    <w:p w14:paraId="0D17E8E1"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priimti papildomų teisės aktų nereikia.</w:t>
      </w:r>
    </w:p>
    <w:p w14:paraId="694DC08D"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reikalingos lėšos.</w:t>
      </w:r>
    </w:p>
    <w:p w14:paraId="66E0BFA1"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lėšos nebus reikalingos.</w:t>
      </w:r>
    </w:p>
    <w:p w14:paraId="57247E98"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projekto antikorupcinis vertinimas.</w:t>
      </w:r>
    </w:p>
    <w:p w14:paraId="2E1977C5"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Sprendimo projekto </w:t>
      </w:r>
      <w:r>
        <w:rPr>
          <w:rFonts w:eastAsia="Lucida Sans Unicode"/>
          <w:bCs/>
          <w:kern w:val="1"/>
          <w:szCs w:val="24"/>
          <w:lang w:eastAsia="lt-LT"/>
        </w:rPr>
        <w:t>antikorupcinis vertinimas</w:t>
      </w:r>
      <w:r>
        <w:rPr>
          <w:rFonts w:eastAsia="Lucida Sans Unicode"/>
          <w:kern w:val="1"/>
          <w:szCs w:val="24"/>
          <w:lang w:eastAsia="lt-LT"/>
        </w:rPr>
        <w:t xml:space="preserve"> nereikalingas, nes šis projektas nėra susijęs nei su viena iš </w:t>
      </w:r>
      <w:r>
        <w:rPr>
          <w:rFonts w:eastAsia="Lucida Sans Unicode"/>
          <w:kern w:val="1"/>
          <w:szCs w:val="24"/>
          <w:lang w:eastAsia="ar-SA"/>
        </w:rPr>
        <w:t>sričių, išvardintų Šiaulių miesto savivaldybės teisės aktų ar jų projektų antikorupcinio vertinimo metodikoje</w:t>
      </w:r>
      <w:r>
        <w:rPr>
          <w:rFonts w:eastAsia="Lucida Sans Unicode"/>
          <w:kern w:val="1"/>
          <w:szCs w:val="24"/>
          <w:lang w:eastAsia="lt-LT"/>
        </w:rPr>
        <w:t>.</w:t>
      </w:r>
    </w:p>
    <w:p w14:paraId="22147F49" w14:textId="1ED5AA08">
      <w:pPr>
        <w:widowControl w:val="0"/>
        <w:suppressAutoHyphens/>
        <w:ind w:firstLine="720"/>
        <w:jc w:val="both"/>
        <w:rPr>
          <w:rFonts w:eastAsia="Lucida Sans Unicode"/>
          <w:kern w:val="1"/>
          <w:szCs w:val="24"/>
          <w:lang w:eastAsia="lt-LT"/>
        </w:rPr>
      </w:pPr>
      <w:r>
        <w:rPr>
          <w:rFonts w:eastAsia="Lucida Sans Unicode"/>
          <w:b/>
          <w:kern w:val="1"/>
          <w:szCs w:val="24"/>
          <w:lang w:eastAsia="lt-LT"/>
        </w:rPr>
        <w:t xml:space="preserve">Sprendimo projektą parengė </w:t>
      </w:r>
      <w:r>
        <w:rPr>
          <w:rFonts w:eastAsia="Lucida Sans Unicode"/>
          <w:kern w:val="1"/>
          <w:szCs w:val="24"/>
          <w:lang w:eastAsia="lt-LT"/>
        </w:rPr>
        <w:t>Šiaulių miesto savivaldybės administracijos Turto valdymo</w:t>
      </w:r>
      <w:r>
        <w:rPr>
          <w:rFonts w:eastAsia="Lucida Sans Unicode"/>
          <w:color w:val="FF0000"/>
          <w:kern w:val="1"/>
          <w:szCs w:val="24"/>
          <w:lang w:eastAsia="lt-LT"/>
        </w:rPr>
        <w:t xml:space="preserve"> </w:t>
      </w:r>
      <w:r>
        <w:rPr>
          <w:rFonts w:eastAsia="Lucida Sans Unicode"/>
          <w:kern w:val="1"/>
          <w:szCs w:val="24"/>
          <w:lang w:eastAsia="lt-LT"/>
        </w:rPr>
        <w:t xml:space="preserve">skyrius. Tiesioginis rengėjas − skyriaus vyr. specialistė Vita Jančenkienė, tel. 8 41 596 255. </w:t>
      </w:r>
    </w:p>
    <w:p w14:paraId="0763C84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Numatomo teisinio reguliavimo poveikio vertinimo rezultatai.</w:t>
      </w:r>
    </w:p>
    <w:p w14:paraId="1A06D41D" w14:textId="77777777">
      <w:pPr>
        <w:widowControl w:val="0"/>
        <w:suppressAutoHyphens/>
        <w:ind w:firstLine="720"/>
        <w:jc w:val="both"/>
        <w:rPr>
          <w:rFonts w:eastAsia="Lucida Sans Unicode"/>
          <w:kern w:val="1"/>
          <w:szCs w:val="24"/>
          <w:lang w:eastAsia="lt-LT"/>
        </w:rPr>
      </w:pPr>
      <w:r>
        <w:rPr>
          <w:rFonts w:eastAsia="Lucida Sans Unicode"/>
          <w:bCs/>
          <w:kern w:val="1"/>
          <w:szCs w:val="24"/>
          <w:lang w:eastAsia="lt-LT"/>
        </w:rPr>
        <w:t>Numatomo teisinio reguliavimo poveikio vertinimas neatliekamas, nes sprendimo projektu nėra numatoma reglamentuoti iki tol nereglamentuotus santykius ar iš esmės keisti teisinį reguliavimą</w:t>
      </w:r>
      <w:r>
        <w:rPr>
          <w:rFonts w:eastAsia="Lucida Sans Unicode"/>
          <w:kern w:val="1"/>
          <w:szCs w:val="24"/>
          <w:lang w:eastAsia="lt-LT"/>
        </w:rPr>
        <w:t xml:space="preserve">. </w:t>
      </w:r>
    </w:p>
    <w:p w14:paraId="090CB5E2" w14:textId="1304163C">
      <w:pPr>
        <w:widowControl w:val="0"/>
        <w:suppressAutoHyphens/>
        <w:jc w:val="both"/>
        <w:rPr>
          <w:rFonts w:eastAsia="Lucida Sans Unicode"/>
          <w:b/>
          <w:kern w:val="2"/>
          <w:szCs w:val="24"/>
          <w:lang w:eastAsia="lt-LT"/>
        </w:rPr>
      </w:pPr>
    </w:p>
    <w:p w14:paraId="57BEA844" w14:textId="77777777">
      <w:pPr>
        <w:widowControl w:val="0"/>
        <w:suppressAutoHyphens/>
        <w:jc w:val="both"/>
        <w:rPr>
          <w:rFonts w:eastAsia="Lucida Sans Unicode"/>
          <w:kern w:val="1"/>
          <w:szCs w:val="24"/>
          <w:lang w:eastAsia="lt-LT"/>
        </w:rPr>
      </w:pPr>
    </w:p>
    <w:p w14:paraId="4B6E110B" w14:textId="77777777">
      <w:pPr>
        <w:widowControl w:val="0"/>
        <w:suppressAutoHyphens/>
        <w:jc w:val="both"/>
        <w:rPr>
          <w:rFonts w:eastAsia="Lucida Sans Unicode"/>
          <w:kern w:val="1"/>
          <w:szCs w:val="24"/>
          <w:lang w:eastAsia="lt-LT"/>
        </w:rPr>
      </w:pPr>
    </w:p>
    <w:p w14:paraId="484A0E59" w14:textId="77777777">
      <w:pPr>
        <w:widowControl w:val="0"/>
        <w:suppressAutoHyphens/>
        <w:jc w:val="both"/>
        <w:rPr>
          <w:rFonts w:eastAsia="Lucida Sans Unicode" w:cs="Tahoma"/>
          <w:kern w:val="1"/>
          <w:szCs w:val="24"/>
          <w:lang w:eastAsia="lt-LT"/>
        </w:rPr>
      </w:pPr>
      <w:r>
        <w:rPr>
          <w:rFonts w:eastAsia="Lucida Sans Unicode" w:cs="Tahoma"/>
          <w:kern w:val="1"/>
          <w:szCs w:val="24"/>
          <w:lang w:eastAsia="lt-LT"/>
        </w:rPr>
        <w:t>Turto valdymo skyriaus vedėja</w:t>
        <w:tab/>
        <w:tab/>
        <w:tab/>
        <w:tab/>
        <w:tab/>
        <w:t xml:space="preserve">                                    Ija Jencienė </w:t>
      </w:r>
    </w:p>
    <w:sectPr>
      <w:pgSz w:w="11906" w:h="16838"/>
      <w:pgMar w:top="964" w:right="567" w:bottom="851" w:left="153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2D0EAF"/>
  <w15:docId w15:val="{FC0A9979-C7B3-48FD-9A0C-58D62178CE3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5074169">
      <w:bodyDiv w:val="1"/>
      <w:marLeft w:val="0"/>
      <w:marRight w:val="0"/>
      <w:marTop w:val="0"/>
      <w:marBottom w:val="0"/>
      <w:divBdr>
        <w:top w:val="none" w:sz="0" w:space="0" w:color="auto"/>
        <w:left w:val="none" w:sz="0" w:space="0" w:color="auto"/>
        <w:bottom w:val="none" w:sz="0" w:space="0" w:color="auto"/>
        <w:right w:val="none" w:sz="0" w:space="0" w:color="auto"/>
      </w:divBdr>
      <w:divsChild>
        <w:div w:id="1665084085">
          <w:marLeft w:val="0"/>
          <w:marRight w:val="0"/>
          <w:marTop w:val="0"/>
          <w:marBottom w:val="0"/>
          <w:divBdr>
            <w:top w:val="none" w:sz="0" w:space="0" w:color="auto"/>
            <w:left w:val="none" w:sz="0" w:space="0" w:color="auto"/>
            <w:bottom w:val="none" w:sz="0" w:space="0" w:color="auto"/>
            <w:right w:val="none" w:sz="0" w:space="0" w:color="auto"/>
          </w:divBdr>
        </w:div>
        <w:div w:id="2066565559">
          <w:marLeft w:val="0"/>
          <w:marRight w:val="0"/>
          <w:marTop w:val="0"/>
          <w:marBottom w:val="0"/>
          <w:divBdr>
            <w:top w:val="none" w:sz="0" w:space="0" w:color="auto"/>
            <w:left w:val="none" w:sz="0" w:space="0" w:color="auto"/>
            <w:bottom w:val="none" w:sz="0" w:space="0" w:color="auto"/>
            <w:right w:val="none" w:sz="0" w:space="0" w:color="auto"/>
          </w:divBdr>
        </w:div>
      </w:divsChild>
    </w:div>
    <w:div w:id="171455515">
      <w:bodyDiv w:val="1"/>
      <w:marLeft w:val="0"/>
      <w:marRight w:val="0"/>
      <w:marTop w:val="0"/>
      <w:marBottom w:val="0"/>
      <w:divBdr>
        <w:top w:val="none" w:sz="0" w:space="0" w:color="auto"/>
        <w:left w:val="none" w:sz="0" w:space="0" w:color="auto"/>
        <w:bottom w:val="none" w:sz="0" w:space="0" w:color="auto"/>
        <w:right w:val="none" w:sz="0" w:space="0" w:color="auto"/>
      </w:divBdr>
      <w:divsChild>
        <w:div w:id="2037583553">
          <w:marLeft w:val="0"/>
          <w:marRight w:val="0"/>
          <w:marTop w:val="0"/>
          <w:marBottom w:val="0"/>
          <w:divBdr>
            <w:top w:val="none" w:sz="0" w:space="0" w:color="auto"/>
            <w:left w:val="none" w:sz="0" w:space="0" w:color="auto"/>
            <w:bottom w:val="none" w:sz="0" w:space="0" w:color="auto"/>
            <w:right w:val="none" w:sz="0" w:space="0" w:color="auto"/>
          </w:divBdr>
          <w:divsChild>
            <w:div w:id="991131002">
              <w:marLeft w:val="0"/>
              <w:marRight w:val="0"/>
              <w:marTop w:val="150"/>
              <w:marBottom w:val="0"/>
              <w:divBdr>
                <w:top w:val="none" w:sz="0" w:space="0" w:color="auto"/>
                <w:left w:val="none" w:sz="0" w:space="0" w:color="auto"/>
                <w:bottom w:val="none" w:sz="0" w:space="0" w:color="auto"/>
                <w:right w:val="none" w:sz="0" w:space="0" w:color="auto"/>
              </w:divBdr>
              <w:divsChild>
                <w:div w:id="86773973">
                  <w:marLeft w:val="0"/>
                  <w:marRight w:val="0"/>
                  <w:marTop w:val="0"/>
                  <w:marBottom w:val="0"/>
                  <w:divBdr>
                    <w:top w:val="none" w:sz="0" w:space="0" w:color="auto"/>
                    <w:left w:val="none" w:sz="0" w:space="0" w:color="auto"/>
                    <w:bottom w:val="none" w:sz="0" w:space="0" w:color="auto"/>
                    <w:right w:val="none" w:sz="0" w:space="0" w:color="auto"/>
                  </w:divBdr>
                  <w:divsChild>
                    <w:div w:id="1454861496">
                      <w:marLeft w:val="0"/>
                      <w:marRight w:val="0"/>
                      <w:marTop w:val="0"/>
                      <w:marBottom w:val="0"/>
                      <w:divBdr>
                        <w:top w:val="none" w:sz="0" w:space="0" w:color="auto"/>
                        <w:left w:val="none" w:sz="0" w:space="0" w:color="auto"/>
                        <w:bottom w:val="none" w:sz="0" w:space="0" w:color="auto"/>
                        <w:right w:val="none" w:sz="0" w:space="0" w:color="auto"/>
                      </w:divBdr>
                      <w:divsChild>
                        <w:div w:id="165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13343">
      <w:bodyDiv w:val="1"/>
      <w:marLeft w:val="0"/>
      <w:marRight w:val="0"/>
      <w:marTop w:val="0"/>
      <w:marBottom w:val="0"/>
      <w:divBdr>
        <w:top w:val="none" w:sz="0" w:space="0" w:color="auto"/>
        <w:left w:val="none" w:sz="0" w:space="0" w:color="auto"/>
        <w:bottom w:val="none" w:sz="0" w:space="0" w:color="auto"/>
        <w:right w:val="none" w:sz="0" w:space="0" w:color="auto"/>
      </w:divBdr>
      <w:divsChild>
        <w:div w:id="1356076260">
          <w:marLeft w:val="0"/>
          <w:marRight w:val="0"/>
          <w:marTop w:val="0"/>
          <w:marBottom w:val="0"/>
          <w:divBdr>
            <w:top w:val="none" w:sz="0" w:space="0" w:color="auto"/>
            <w:left w:val="none" w:sz="0" w:space="0" w:color="auto"/>
            <w:bottom w:val="none" w:sz="0" w:space="0" w:color="auto"/>
            <w:right w:val="none" w:sz="0" w:space="0" w:color="auto"/>
          </w:divBdr>
        </w:div>
      </w:divsChild>
    </w:div>
    <w:div w:id="250092255">
      <w:bodyDiv w:val="1"/>
      <w:marLeft w:val="0"/>
      <w:marRight w:val="0"/>
      <w:marTop w:val="0"/>
      <w:marBottom w:val="0"/>
      <w:divBdr>
        <w:top w:val="none" w:sz="0" w:space="0" w:color="auto"/>
        <w:left w:val="none" w:sz="0" w:space="0" w:color="auto"/>
        <w:bottom w:val="none" w:sz="0" w:space="0" w:color="auto"/>
        <w:right w:val="none" w:sz="0" w:space="0" w:color="auto"/>
      </w:divBdr>
    </w:div>
    <w:div w:id="610892797">
      <w:bodyDiv w:val="1"/>
      <w:marLeft w:val="0"/>
      <w:marRight w:val="0"/>
      <w:marTop w:val="0"/>
      <w:marBottom w:val="0"/>
      <w:divBdr>
        <w:top w:val="none" w:sz="0" w:space="0" w:color="auto"/>
        <w:left w:val="none" w:sz="0" w:space="0" w:color="auto"/>
        <w:bottom w:val="none" w:sz="0" w:space="0" w:color="auto"/>
        <w:right w:val="none" w:sz="0" w:space="0" w:color="auto"/>
      </w:divBdr>
      <w:divsChild>
        <w:div w:id="1875997563">
          <w:marLeft w:val="0"/>
          <w:marRight w:val="0"/>
          <w:marTop w:val="0"/>
          <w:marBottom w:val="0"/>
          <w:divBdr>
            <w:top w:val="none" w:sz="0" w:space="0" w:color="auto"/>
            <w:left w:val="none" w:sz="0" w:space="0" w:color="auto"/>
            <w:bottom w:val="none" w:sz="0" w:space="0" w:color="auto"/>
            <w:right w:val="none" w:sz="0" w:space="0" w:color="auto"/>
          </w:divBdr>
        </w:div>
      </w:divsChild>
    </w:div>
    <w:div w:id="1007754992">
      <w:bodyDiv w:val="1"/>
      <w:marLeft w:val="0"/>
      <w:marRight w:val="0"/>
      <w:marTop w:val="0"/>
      <w:marBottom w:val="0"/>
      <w:divBdr>
        <w:top w:val="none" w:sz="0" w:space="0" w:color="auto"/>
        <w:left w:val="none" w:sz="0" w:space="0" w:color="auto"/>
        <w:bottom w:val="none" w:sz="0" w:space="0" w:color="auto"/>
        <w:right w:val="none" w:sz="0" w:space="0" w:color="auto"/>
      </w:divBdr>
    </w:div>
    <w:div w:id="1220746628">
      <w:bodyDiv w:val="1"/>
      <w:marLeft w:val="0"/>
      <w:marRight w:val="0"/>
      <w:marTop w:val="0"/>
      <w:marBottom w:val="0"/>
      <w:divBdr>
        <w:top w:val="none" w:sz="0" w:space="0" w:color="auto"/>
        <w:left w:val="none" w:sz="0" w:space="0" w:color="auto"/>
        <w:bottom w:val="none" w:sz="0" w:space="0" w:color="auto"/>
        <w:right w:val="none" w:sz="0" w:space="0" w:color="auto"/>
      </w:divBdr>
    </w:div>
    <w:div w:id="1909418147">
      <w:bodyDiv w:val="1"/>
      <w:marLeft w:val="0"/>
      <w:marRight w:val="0"/>
      <w:marTop w:val="0"/>
      <w:marBottom w:val="0"/>
      <w:divBdr>
        <w:top w:val="none" w:sz="0" w:space="0" w:color="auto"/>
        <w:left w:val="none" w:sz="0" w:space="0" w:color="auto"/>
        <w:bottom w:val="none" w:sz="0" w:space="0" w:color="auto"/>
        <w:right w:val="none" w:sz="0" w:space="0" w:color="auto"/>
      </w:divBdr>
      <w:divsChild>
        <w:div w:id="487016089">
          <w:marLeft w:val="0"/>
          <w:marRight w:val="0"/>
          <w:marTop w:val="0"/>
          <w:marBottom w:val="0"/>
          <w:divBdr>
            <w:top w:val="none" w:sz="0" w:space="0" w:color="auto"/>
            <w:left w:val="none" w:sz="0" w:space="0" w:color="auto"/>
            <w:bottom w:val="none" w:sz="0" w:space="0" w:color="auto"/>
            <w:right w:val="none" w:sz="0" w:space="0" w:color="auto"/>
          </w:divBdr>
          <w:divsChild>
            <w:div w:id="689454879">
              <w:marLeft w:val="0"/>
              <w:marRight w:val="0"/>
              <w:marTop w:val="150"/>
              <w:marBottom w:val="0"/>
              <w:divBdr>
                <w:top w:val="none" w:sz="0" w:space="0" w:color="auto"/>
                <w:left w:val="none" w:sz="0" w:space="0" w:color="auto"/>
                <w:bottom w:val="none" w:sz="0" w:space="0" w:color="auto"/>
                <w:right w:val="none" w:sz="0" w:space="0" w:color="auto"/>
              </w:divBdr>
              <w:divsChild>
                <w:div w:id="93483260">
                  <w:marLeft w:val="0"/>
                  <w:marRight w:val="0"/>
                  <w:marTop w:val="0"/>
                  <w:marBottom w:val="0"/>
                  <w:divBdr>
                    <w:top w:val="none" w:sz="0" w:space="0" w:color="auto"/>
                    <w:left w:val="none" w:sz="0" w:space="0" w:color="auto"/>
                    <w:bottom w:val="none" w:sz="0" w:space="0" w:color="auto"/>
                    <w:right w:val="none" w:sz="0" w:space="0" w:color="auto"/>
                  </w:divBdr>
                  <w:divsChild>
                    <w:div w:id="824324350">
                      <w:marLeft w:val="0"/>
                      <w:marRight w:val="0"/>
                      <w:marTop w:val="0"/>
                      <w:marBottom w:val="0"/>
                      <w:divBdr>
                        <w:top w:val="none" w:sz="0" w:space="0" w:color="auto"/>
                        <w:left w:val="none" w:sz="0" w:space="0" w:color="auto"/>
                        <w:bottom w:val="none" w:sz="0" w:space="0" w:color="auto"/>
                        <w:right w:val="none" w:sz="0" w:space="0" w:color="auto"/>
                      </w:divBdr>
                      <w:divsChild>
                        <w:div w:id="1934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3563</Characters>
  <Application>Microsoft Office Word</Application>
  <DocSecurity>4</DocSecurity>
  <Lines>62</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3999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2021-11-30T21:30:00Z</dcterms:created>
  <dc:creator>d.janilioniene</dc:creator>
  <lastModifiedBy>adlibuser</lastModifiedBy>
  <lastPrinted>2021-11-25T12:53:00Z</lastPrinted>
  <dcterms:modified xsi:type="dcterms:W3CDTF">2021-11-30T21:30:00Z</dcterms:modified>
  <revision>2</revision>
</coreProperties>
</file>