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3e883a66a91d4337ac30bf4535fe3b2c"/>
        <w:lock w:val="sdtLocked"/>
        <w:richText/>
      </w:sdtPr>
      <w:sdtContent>
        <w:p w14:paraId="2BD1C83B" w14:textId="77777777">
          <w:pPr>
            <w:widowControl w:val="0"/>
            <w:tabs>
              <w:tab w:val="center" w:pos="4680"/>
              <w:tab w:val="right" w:pos="9360"/>
            </w:tabs>
            <w:suppressAutoHyphens/>
            <w:rPr>
              <w:rFonts w:eastAsia="SimSun" w:cs="Mangal"/>
              <w:kern w:val="1"/>
              <w:szCs w:val="21"/>
              <w:lang w:eastAsia="hi-IN" w:bidi="hi-IN"/>
            </w:rPr>
          </w:pPr>
        </w:p>
        <w:p w14:paraId="061D5501" w14:textId="32E2005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529"/>
            <w:jc w:val="both"/>
            <w:rPr>
              <w:rFonts w:cs="Tahoma"/>
              <w:szCs w:val="24"/>
            </w:rPr>
          </w:pPr>
          <w:r>
            <w:rPr>
              <w:szCs w:val="24"/>
            </w:rPr>
            <w:t xml:space="preserve">Dėl Šiaulių miesto savivaldybės teisės aktų projektų numatomo teisinio reguliavimo </w:t>
          </w:r>
          <w:r>
            <w:rPr>
              <w:rFonts w:cs="Tahoma"/>
              <w:szCs w:val="24"/>
            </w:rPr>
            <w:t>poveikio vertinimo rezultatų pateikimo tvarkos aprašo</w:t>
          </w:r>
        </w:p>
        <w:p w14:paraId="061D5502" w14:textId="03510AF1">
          <w:pPr>
            <w:ind w:left="5529"/>
            <w:rPr>
              <w:szCs w:val="24"/>
            </w:rPr>
          </w:pPr>
          <w:r>
            <w:rPr>
              <w:szCs w:val="24"/>
            </w:rPr>
            <w:t>priedas</w:t>
          </w:r>
        </w:p>
        <w:p w14:paraId="061D5505"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b/>
              <w:szCs w:val="24"/>
              <w:lang w:eastAsia="x-none"/>
            </w:rPr>
          </w:pPr>
        </w:p>
        <w:p w14:paraId="061D5506" w14:textId="6FDF26F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hAnsi="Courier New"/>
              <w:b/>
              <w:szCs w:val="24"/>
              <w:lang w:eastAsia="x-none"/>
            </w:rPr>
          </w:pPr>
          <w:sdt>
            <w:sdtPr>
              <w:alias w:val="Pavadinimas"/>
              <w:tag w:val="title_3e883a66a91d4337ac30bf4535fe3b2c"/>
              <w:lock w:val="sdtLocked"/>
              <w:richText/>
            </w:sdtPr>
            <w:sdtContent>
              <w:r>
                <w:rPr>
                  <w:rFonts w:ascii="Courier New" w:hAnsi="Courier New"/>
                  <w:b/>
                  <w:szCs w:val="24"/>
                  <w:lang w:eastAsia="x-none"/>
                </w:rPr>
                <w:t>numatomo teisinio reguliavimo poveikio vertinimo pažyma</w:t>
              </w:r>
            </w:sdtContent>
          </w:sdt>
        </w:p>
        <w:p w14:paraId="061D550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rFonts w:ascii="Courier New" w:hAnsi="Courier New"/>
              <w:szCs w:val="24"/>
              <w:lang w:eastAsia="x-none"/>
            </w:rPr>
          </w:pPr>
        </w:p>
        <w:sdt>
          <w:sdtPr>
            <w:alias w:val="pr. 1 p."/>
            <w:tag w:val="part_c893e87d4e6b4c9aac45ec47c5ed4d00"/>
            <w:lock w:val="sdtLocked"/>
            <w:richText/>
          </w:sdtPr>
          <w:sdtContent>
            <w:p w14:paraId="061D5508" w14:textId="0A4F539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Courier New" w:hAnsi="Courier New"/>
                  <w:b/>
                  <w:szCs w:val="24"/>
                  <w:lang w:eastAsia="x-none"/>
                </w:rPr>
              </w:pPr>
              <w:sdt>
                <w:sdtPr>
                  <w:alias w:val="Numeris"/>
                  <w:tag w:val="nr_c893e87d4e6b4c9aac45ec47c5ed4d00"/>
                  <w:lock w:val="sdtLocked"/>
                  <w:richText/>
                </w:sdtPr>
                <w:sdtContent>
                  <w:r>
                    <w:rPr>
                      <w:rFonts w:ascii="Courier New" w:hAnsi="Courier New"/>
                      <w:b/>
                      <w:szCs w:val="24"/>
                      <w:lang w:eastAsia="x-none"/>
                    </w:rPr>
                    <w:t>1</w:t>
                  </w:r>
                </w:sdtContent>
              </w:sdt>
              <w:r>
                <w:rPr>
                  <w:rFonts w:ascii="Courier New" w:hAnsi="Courier New"/>
                  <w:b/>
                  <w:szCs w:val="24"/>
                  <w:lang w:eastAsia="x-none"/>
                </w:rPr>
                <w:t>. projekto pavadinimas.</w:t>
              </w:r>
            </w:p>
            <w:p w14:paraId="1842E335" w14:textId="6996E94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Courier New" w:hAnsi="Courier New"/>
                  <w:szCs w:val="24"/>
                  <w:lang w:eastAsia="lt-LT"/>
                </w:rPr>
              </w:pPr>
              <w:r>
                <w:rPr>
                  <w:rFonts w:ascii="Courier New" w:hAnsi="Courier New"/>
                  <w:szCs w:val="24"/>
                  <w:lang w:val="x-none" w:eastAsia="lt-LT"/>
                </w:rPr>
                <w:t>Sprendimas</w:t>
              </w:r>
              <w:r>
                <w:rPr>
                  <w:rFonts w:ascii="Courier New" w:hAnsi="Courier New"/>
                  <w:szCs w:val="24"/>
                  <w:lang w:eastAsia="lt-LT"/>
                </w:rPr>
                <w:t xml:space="preserve"> „Dėl Šiaulių miesto savivaldybės tarybos 2021 m. liepos 1 d. sprendimo Nr. T-309 „Dėl kriterijų, pagal kuriuos nustatoma, kada Šiaulių miesto savivaldybės infrastruktūros plėtros įmoka nemokama arba mokama dalimis, ir Šiaulių miesto savivaldybės infrastruktūros plėtros įmokos mokėjimo ir atleidimo nuo jos mokėjimo tvarkos aprašo patvirtinimo" pakeitimo.</w:t>
              </w:r>
            </w:p>
            <w:p w14:paraId="061D550A"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x-none"/>
                </w:rPr>
              </w:pPr>
            </w:p>
          </w:sdtContent>
        </w:sdt>
        <w:sdt>
          <w:sdtPr>
            <w:alias w:val="pr. 2 p."/>
            <w:tag w:val="part_a6782fb81319476387b9a9952a668db1"/>
            <w:lock w:val="sdtLocked"/>
            <w:richText/>
          </w:sdtPr>
          <w:sdtContent>
            <w:p w14:paraId="061D550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a6782fb81319476387b9a9952a668db1"/>
                  <w:lock w:val="sdtLocked"/>
                  <w:richText/>
                </w:sdtPr>
                <w:sdtContent>
                  <w:r>
                    <w:rPr>
                      <w:b/>
                      <w:szCs w:val="24"/>
                      <w:lang w:eastAsia="x-none"/>
                    </w:rPr>
                    <w:t>2</w:t>
                  </w:r>
                </w:sdtContent>
              </w:sdt>
              <w:r>
                <w:rPr>
                  <w:b/>
                  <w:szCs w:val="24"/>
                  <w:lang w:eastAsia="x-none"/>
                </w:rPr>
                <w:t xml:space="preserve">. Projekto rengėjas (projektą parengusios institucijos pavadinimas). </w:t>
              </w:r>
            </w:p>
            <w:p w14:paraId="061D550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Šiaulių miesto savivaldybės administracija.</w:t>
              </w:r>
            </w:p>
            <w:p w14:paraId="061D550D"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pr. 3 p."/>
            <w:tag w:val="part_49a55d6f93a04b889d92d0cb63f81bcf"/>
            <w:lock w:val="sdtLocked"/>
            <w:richText/>
          </w:sdtPr>
          <w:sdtContent>
            <w:p w14:paraId="061D550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49a55d6f93a04b889d92d0cb63f81bcf"/>
                  <w:lock w:val="sdtLocked"/>
                  <w:richText/>
                </w:sdtPr>
                <w:sdtContent>
                  <w:r>
                    <w:rPr>
                      <w:b/>
                      <w:szCs w:val="24"/>
                      <w:lang w:eastAsia="x-none"/>
                    </w:rPr>
                    <w:t>3</w:t>
                  </w:r>
                </w:sdtContent>
              </w:sdt>
              <w:r>
                <w:rPr>
                  <w:b/>
                  <w:szCs w:val="24"/>
                  <w:lang w:eastAsia="x-none"/>
                </w:rPr>
                <w:t>. Projekto tikslas (nurodoma, kokio tikslo bus siekiama įgyvendinant projektą ir kokia (-ios) problema (-os) bus sprendžiama (-os) siūlomu projektu).</w:t>
              </w:r>
            </w:p>
            <w:p w14:paraId="061D550F" w14:textId="1D62EC3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val="x-none" w:eastAsia="lt-LT"/>
                </w:rPr>
              </w:pPr>
              <w:r>
                <w:rPr>
                  <w:szCs w:val="24"/>
                  <w:lang w:val="x-none" w:eastAsia="lt-LT"/>
                </w:rPr>
                <w:t>Projekto tikslas – aktualizuoti 2021 m. liepos 1 d. Šiaulių miesto tarybos sprendimą Nr. T-309 atsižvelgiant į pasikeitusius LR Savivaldybių infrastruktūros plėtros ir Statybos įstatymus.</w:t>
              </w:r>
            </w:p>
            <w:p w14:paraId="55AA6349"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val="x-none"/>
                </w:rPr>
              </w:pPr>
            </w:p>
          </w:sdtContent>
        </w:sdt>
        <w:sdt>
          <w:sdtPr>
            <w:alias w:val="pr. 4 p."/>
            <w:tag w:val="part_c43dade8d2f743e090f72fd128b2c299"/>
            <w:lock w:val="sdtLocked"/>
            <w:richText/>
          </w:sdtPr>
          <w:sdtContent>
            <w:p w14:paraId="061D551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c43dade8d2f743e090f72fd128b2c299"/>
                  <w:lock w:val="sdtLocked"/>
                  <w:richText/>
                </w:sdtPr>
                <w:sdtContent>
                  <w:r>
                    <w:rPr>
                      <w:b/>
                      <w:szCs w:val="24"/>
                      <w:lang w:eastAsia="x-none"/>
                    </w:rPr>
                    <w:t>4</w:t>
                  </w:r>
                </w:sdtContent>
              </w:sdt>
              <w:r>
                <w:rPr>
                  <w:b/>
                  <w:szCs w:val="24"/>
                  <w:lang w:eastAsia="x-none"/>
                </w:rPr>
                <w:t>. Siūlomo projekto poveikio įvertinimas (teigiamos ir (ar) neigiamos pasekmės):</w:t>
              </w:r>
            </w:p>
            <w:p w14:paraId="4222C4ED" w14:textId="77777777">
              <w:pPr>
                <w:widowControl w:val="0"/>
                <w:tabs>
                  <w:tab w:val="left" w:pos="851"/>
                </w:tabs>
                <w:suppressAutoHyphens/>
                <w:spacing w:line="276" w:lineRule="auto"/>
                <w:ind w:firstLine="567"/>
                <w:jc w:val="both"/>
                <w:rPr>
                  <w:rFonts w:eastAsia="SimSun" w:cs="Tahoma"/>
                  <w:kern w:val="1"/>
                  <w:szCs w:val="24"/>
                  <w:lang w:eastAsia="hi-IN" w:bidi="hi-IN"/>
                </w:rPr>
              </w:pPr>
              <w:r>
                <w:rPr>
                  <w:rFonts w:eastAsia="SimSun" w:cs="Tahoma"/>
                  <w:kern w:val="1"/>
                  <w:szCs w:val="24"/>
                  <w:lang w:eastAsia="hi-IN" w:bidi="hi-IN"/>
                </w:rPr>
                <w:t>Neigiamos pasekmės: neigiamų pasekmių nenumatoma</w:t>
              </w:r>
            </w:p>
            <w:p w14:paraId="4AE99B01" w14:textId="77777777">
              <w:pPr>
                <w:spacing w:line="276" w:lineRule="auto"/>
                <w:ind w:firstLine="567"/>
                <w:jc w:val="both"/>
                <w:rPr>
                  <w:szCs w:val="24"/>
                  <w:lang w:eastAsia="en-GB"/>
                </w:rPr>
              </w:pPr>
              <w:r>
                <w:rPr>
                  <w:szCs w:val="24"/>
                  <w:lang w:eastAsia="en-GB"/>
                </w:rPr>
                <w:t>Teigiamos pasekmės: sumažės administracinė našta verslo subjektams dėl dokumentų tikslinimo.</w:t>
              </w:r>
            </w:p>
            <w:p w14:paraId="2BF070C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p>
            <w:sdt>
              <w:sdtPr>
                <w:alias w:val="pr. 4.1 pp."/>
                <w:tag w:val="part_750fc2fc5df24082a22169b053cedc25"/>
                <w:lock w:val="sdtLocked"/>
                <w:richText/>
              </w:sdtPr>
              <w:sdtContent>
                <w:p w14:paraId="061D551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750fc2fc5df24082a22169b053cedc25"/>
                      <w:lock w:val="sdtLocked"/>
                      <w:richText/>
                    </w:sdtPr>
                    <w:sdtContent>
                      <w:r>
                        <w:rPr>
                          <w:b/>
                          <w:szCs w:val="24"/>
                          <w:lang w:eastAsia="x-none"/>
                        </w:rPr>
                        <w:t>4.1</w:t>
                      </w:r>
                    </w:sdtContent>
                  </w:sdt>
                  <w:r>
                    <w:rPr>
                      <w:b/>
                      <w:szCs w:val="24"/>
                      <w:lang w:eastAsia="x-none"/>
                    </w:rPr>
                    <w:t>. Poveikis atitinkamai sričiai (pateikiamas kokybinis ir, kai įmanoma, kiekybinis siūlomo projekto poveikio atitinkamoje politikos srityje įvertinimas).</w:t>
                  </w:r>
                </w:p>
                <w:p w14:paraId="283679DD" w14:textId="65B396E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Nenumatoma.</w:t>
                  </w:r>
                </w:p>
                <w:p w14:paraId="5C5F11A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szCs w:val="24"/>
                      <w:lang w:eastAsia="x-none"/>
                    </w:rPr>
                  </w:pPr>
                </w:p>
              </w:sdtContent>
            </w:sdt>
            <w:sdt>
              <w:sdtPr>
                <w:alias w:val="pr. 4.2 pp."/>
                <w:tag w:val="part_563745af885e486d9c0edfc1ba550a95"/>
                <w:lock w:val="sdtLocked"/>
                <w:richText/>
              </w:sdtPr>
              <w:sdtContent>
                <w:p w14:paraId="061D5516"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563745af885e486d9c0edfc1ba550a95"/>
                      <w:lock w:val="sdtLocked"/>
                      <w:richText/>
                    </w:sdtPr>
                    <w:sdtContent>
                      <w:r>
                        <w:rPr>
                          <w:b/>
                          <w:szCs w:val="24"/>
                          <w:lang w:eastAsia="x-none"/>
                        </w:rPr>
                        <w:t>4.2</w:t>
                      </w:r>
                    </w:sdtContent>
                  </w:sdt>
                  <w:r>
                    <w:rPr>
                      <w:b/>
                      <w:szCs w:val="24"/>
                      <w:lang w:eastAsia="x-none"/>
                    </w:rPr>
                    <w:t xml:space="preserve">. Poveikis Savivaldybės finansams (pateikiamas siūlomo projekto poveikio Savivaldybės   finansams kiekybinis įvertinimas. Vertinant šį poveikį finansams, turi būti nurodomi patikimi, korektiški, nesudėtingai patikrinami duomenys).</w:t>
                  </w:r>
                </w:p>
                <w:p w14:paraId="061D5517" w14:textId="0B53DAD6">
                  <w:pPr>
                    <w:tabs>
                      <w:tab w:val="left" w:pos="851"/>
                    </w:tabs>
                    <w:spacing w:line="276" w:lineRule="auto"/>
                    <w:ind w:firstLine="567"/>
                    <w:jc w:val="both"/>
                  </w:pPr>
                  <w:r>
                    <w:rPr>
                      <w:rFonts w:eastAsia="SimSun" w:cs="Tahoma"/>
                      <w:kern w:val="1"/>
                      <w:szCs w:val="24"/>
                      <w:lang w:eastAsia="lt-LT" w:bidi="hi-IN"/>
                    </w:rPr>
                    <w:t xml:space="preserve">Poveikis finansams nenumatomas. </w:t>
                  </w:r>
                </w:p>
                <w:p w14:paraId="061D5518"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Content>
        </w:sdt>
        <w:sdt>
          <w:sdtPr>
            <w:alias w:val="pr. 5 p."/>
            <w:tag w:val="part_46cc5cabb87c49ed8561d4709e215c03"/>
            <w:lock w:val="sdtLocked"/>
            <w:richText/>
          </w:sdtPr>
          <w:sdtContent>
            <w:p w14:paraId="061D551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46cc5cabb87c49ed8561d4709e215c03"/>
                  <w:lock w:val="sdtLocked"/>
                  <w:richText/>
                </w:sdtPr>
                <w:sdtContent>
                  <w:r>
                    <w:rPr>
                      <w:b/>
                      <w:szCs w:val="24"/>
                      <w:lang w:eastAsia="x-none"/>
                    </w:rPr>
                    <w:t>5</w:t>
                  </w:r>
                </w:sdtContent>
              </w:sdt>
              <w:r>
                <w:rPr>
                  <w:b/>
                  <w:szCs w:val="24"/>
                  <w:lang w:eastAsia="x-none"/>
                </w:rPr>
                <w:t xml:space="preserve">. Kita svarbi informacija (gali būti nurodomos kitos galimos projekto ir (ar) jo  įgyvendinimo alternatyvos, taip pat jų poveikio įvertinimas; nurodoma, kokios institucijos būtų atsakingos už jo atlikimą, kokie duomenys turėtų būti renkami, siekiant vėliau įvertinti,  ar buvo pasiektas projekto tikslas; nurodoma, ar buvo konsultuotasi su visuomene, apibendrinami konsultavimosi rezultatai (nurodoma, su kokiomis suinteresuotomis grupėmis buvo konsultuotasi, ar atsižvelgta į suinteresuotų grupių pateiktus siūlymus, kiek į juos atsižvelgta) ir kita.).</w:t>
              </w:r>
            </w:p>
            <w:p w14:paraId="78E3AB3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p>
          </w:sdtContent>
        </w:sdt>
        <w:sdt>
          <w:sdtPr>
            <w:alias w:val="pr. 6 p."/>
            <w:tag w:val="part_05047d86d46d404794aa1fae73b56fa0"/>
            <w:lock w:val="sdtLocked"/>
            <w:richText/>
          </w:sdtPr>
          <w:sdtContent>
            <w:p w14:paraId="061D551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x-none"/>
                </w:rPr>
              </w:pPr>
              <w:sdt>
                <w:sdtPr>
                  <w:alias w:val="Numeris"/>
                  <w:tag w:val="nr_05047d86d46d404794aa1fae73b56fa0"/>
                  <w:lock w:val="sdtLocked"/>
                  <w:richText/>
                </w:sdtPr>
                <w:sdtContent>
                  <w:r>
                    <w:rPr>
                      <w:b/>
                      <w:szCs w:val="24"/>
                      <w:lang w:eastAsia="x-none"/>
                    </w:rPr>
                    <w:t>6</w:t>
                  </w:r>
                </w:sdtContent>
              </w:sdt>
              <w:r>
                <w:rPr>
                  <w:b/>
                  <w:szCs w:val="24"/>
                  <w:lang w:eastAsia="x-none"/>
                </w:rPr>
                <w:t xml:space="preserve">. Informacija apie asmenį ir instituciją, atsakingą už poveikio vertinimą (vardas ir pavardė, pareigos, telefono numeris ir elektroninio pašto adresas). </w:t>
              </w:r>
            </w:p>
            <w:p w14:paraId="061D5520" w14:textId="03E03030">
              <w:pPr>
                <w:tabs>
                  <w:tab w:val="left" w:pos="851"/>
                </w:tabs>
                <w:spacing w:line="276" w:lineRule="auto"/>
                <w:ind w:firstLine="851"/>
                <w:jc w:val="both"/>
                <w:rPr>
                  <w:szCs w:val="24"/>
                  <w:lang w:eastAsia="lt-LT"/>
                </w:rPr>
              </w:pPr>
              <w:r>
                <w:rPr>
                  <w:szCs w:val="24"/>
                  <w:lang w:eastAsia="lt-LT"/>
                </w:rPr>
                <w:t xml:space="preserve">Šiaulių miesto savivaldybės administracijos Miesto plėtros ir paveldosaugos skyrius. Tiesioginis rengėjas – vyriausiasis specialistas Juozas Varapnickas, tel. 596 243, el. paštas </w:t>
              </w:r>
              <w:r>
                <w:rPr>
                  <w:color w:val="0563C1"/>
                  <w:szCs w:val="24"/>
                  <w:u w:val="single"/>
                  <w:lang w:eastAsia="lt-LT"/>
                </w:rPr>
                <w:t>juozas.varapnickas@siauliai.lt</w:t>
              </w:r>
              <w:r>
                <w:rPr>
                  <w:szCs w:val="24"/>
                  <w:lang w:eastAsia="lt-LT"/>
                </w:rPr>
                <w:t xml:space="preserve"> </w:t>
              </w:r>
            </w:p>
            <w:p w14:paraId="061D5521" w14:textId="77777777">
              <w:pPr>
                <w:tabs>
                  <w:tab w:val="left" w:pos="0"/>
                </w:tabs>
                <w:jc w:val="both"/>
                <w:rPr>
                  <w:b/>
                  <w:szCs w:val="24"/>
                </w:rPr>
              </w:pPr>
            </w:p>
            <w:p w14:paraId="061D5522" w14:textId="77777777"/>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6" w:bottom="1134" w:left="1418"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8D8CC4" w14:textId="77777777">
      <w:pPr>
        <w:widowControl w:val="0"/>
        <w:suppressAutoHyphens/>
        <w:rPr>
          <w:rFonts w:eastAsia="SimSun" w:cs="Tahoma"/>
          <w:kern w:val="1"/>
          <w:szCs w:val="24"/>
          <w:lang w:eastAsia="hi-IN" w:bidi="hi-IN"/>
        </w:rPr>
      </w:pPr>
      <w:r>
        <w:rPr>
          <w:rFonts w:eastAsia="SimSun" w:cs="Tahoma"/>
          <w:kern w:val="1"/>
          <w:szCs w:val="24"/>
          <w:lang w:eastAsia="hi-IN" w:bidi="hi-IN"/>
        </w:rPr>
        <w:separator/>
      </w:r>
    </w:p>
  </w:endnote>
  <w:endnote w:type="continuationSeparator" w:id="0">
    <w:p w14:paraId="50D8BE7D" w14:textId="77777777">
      <w:pPr>
        <w:widowControl w:val="0"/>
        <w:suppressAutoHyphens/>
        <w:rPr>
          <w:rFonts w:eastAsia="SimSun" w:cs="Tahoma"/>
          <w:kern w:val="1"/>
          <w:szCs w:val="24"/>
          <w:lang w:eastAsia="hi-IN" w:bidi="hi-IN"/>
        </w:rPr>
      </w:pPr>
      <w:r>
        <w:rPr>
          <w:rFonts w:eastAsia="SimSun" w:cs="Tahoma"/>
          <w:kern w:val="1"/>
          <w:szCs w:val="24"/>
          <w:lang w:eastAsia="hi-IN" w:bidi="hi-I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C1B3E" w14:textId="77777777">
    <w:pPr>
      <w:widowControl w:val="0"/>
      <w:tabs>
        <w:tab w:val="center" w:pos="4986"/>
        <w:tab w:val="right" w:pos="9972"/>
      </w:tabs>
      <w:suppressAutoHyphens/>
      <w:rPr>
        <w:rFonts w:eastAsia="SimSun" w:cs="Mangal"/>
        <w:kern w:val="1"/>
        <w:szCs w:val="21"/>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56F00" w14:textId="77777777">
    <w:pPr>
      <w:widowControl w:val="0"/>
      <w:tabs>
        <w:tab w:val="center" w:pos="4986"/>
        <w:tab w:val="right" w:pos="9972"/>
      </w:tabs>
      <w:suppressAutoHyphens/>
      <w:rPr>
        <w:rFonts w:eastAsia="SimSun" w:cs="Mangal"/>
        <w:kern w:val="1"/>
        <w:szCs w:val="21"/>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EDA3B" w14:textId="77777777">
    <w:pPr>
      <w:widowControl w:val="0"/>
      <w:tabs>
        <w:tab w:val="center" w:pos="4986"/>
        <w:tab w:val="right" w:pos="9972"/>
      </w:tabs>
      <w:suppressAutoHyphens/>
      <w:rPr>
        <w:rFonts w:eastAsia="SimSun" w:cs="Mangal"/>
        <w:kern w:val="1"/>
        <w:szCs w:val="21"/>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C9A3D" w14:textId="77777777">
      <w:pPr>
        <w:widowControl w:val="0"/>
        <w:suppressAutoHyphens/>
        <w:rPr>
          <w:rFonts w:eastAsia="SimSun" w:cs="Tahoma"/>
          <w:kern w:val="1"/>
          <w:szCs w:val="24"/>
          <w:lang w:eastAsia="hi-IN" w:bidi="hi-IN"/>
        </w:rPr>
      </w:pPr>
      <w:r>
        <w:rPr>
          <w:rFonts w:eastAsia="SimSun" w:cs="Tahoma"/>
          <w:kern w:val="1"/>
          <w:szCs w:val="24"/>
          <w:lang w:eastAsia="hi-IN" w:bidi="hi-IN"/>
        </w:rPr>
        <w:separator/>
      </w:r>
    </w:p>
  </w:footnote>
  <w:footnote w:type="continuationSeparator" w:id="0">
    <w:p w14:paraId="7E1BFAA2" w14:textId="77777777">
      <w:pPr>
        <w:widowControl w:val="0"/>
        <w:suppressAutoHyphens/>
        <w:rPr>
          <w:rFonts w:eastAsia="SimSun" w:cs="Tahoma"/>
          <w:kern w:val="1"/>
          <w:szCs w:val="24"/>
          <w:lang w:eastAsia="hi-IN" w:bidi="hi-IN"/>
        </w:rPr>
      </w:pPr>
      <w:r>
        <w:rPr>
          <w:rFonts w:eastAsia="SimSun" w:cs="Tahoma"/>
          <w:kern w:val="1"/>
          <w:szCs w:val="24"/>
          <w:lang w:eastAsia="hi-IN" w:bidi="hi-I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0ED63" w14:textId="77777777">
    <w:pPr>
      <w:widowControl w:val="0"/>
      <w:tabs>
        <w:tab w:val="center" w:pos="4680"/>
        <w:tab w:val="right" w:pos="9360"/>
      </w:tabs>
      <w:suppressAutoHyphens/>
      <w:rPr>
        <w:rFonts w:eastAsia="SimSun" w:cs="Mangal"/>
        <w:kern w:val="1"/>
        <w:szCs w:val="21"/>
        <w:lang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D5527" w14:textId="77777777">
    <w:pPr>
      <w:widowControl w:val="0"/>
      <w:tabs>
        <w:tab w:val="center" w:pos="4680"/>
        <w:tab w:val="right" w:pos="9360"/>
      </w:tabs>
      <w:suppressAutoHyphens/>
      <w:jc w:val="center"/>
      <w:rPr>
        <w:rFonts w:eastAsia="SimSun" w:cs="Mangal"/>
        <w:kern w:val="1"/>
        <w:szCs w:val="21"/>
        <w:lang w:eastAsia="hi-IN" w:bidi="hi-IN"/>
      </w:rPr>
    </w:pPr>
    <w:r>
      <w:rPr>
        <w:rFonts w:eastAsia="SimSun" w:cs="Mangal"/>
        <w:kern w:val="1"/>
        <w:szCs w:val="21"/>
        <w:lang w:eastAsia="hi-IN" w:bidi="hi-IN"/>
      </w:rPr>
      <w:fldChar w:fldCharType="begin"/>
    </w:r>
    <w:r>
      <w:rPr>
        <w:rFonts w:eastAsia="SimSun" w:cs="Mangal"/>
        <w:kern w:val="1"/>
        <w:szCs w:val="21"/>
        <w:lang w:eastAsia="hi-IN" w:bidi="hi-IN"/>
      </w:rPr>
      <w:instrText xml:space="preserve"> PAGE   \* MERGEFORMAT </w:instrText>
    </w:r>
    <w:r>
      <w:rPr>
        <w:rFonts w:eastAsia="SimSun" w:cs="Mangal"/>
        <w:kern w:val="1"/>
        <w:szCs w:val="21"/>
        <w:lang w:eastAsia="hi-IN" w:bidi="hi-IN"/>
      </w:rPr>
      <w:fldChar w:fldCharType="separate"/>
    </w:r>
    <w:r>
      <w:rPr>
        <w:rFonts w:eastAsia="SimSun" w:cs="Mangal"/>
        <w:kern w:val="1"/>
        <w:szCs w:val="21"/>
        <w:lang w:eastAsia="hi-IN" w:bidi="hi-IN"/>
      </w:rPr>
      <w:t>2</w:t>
    </w:r>
    <w:r>
      <w:rPr>
        <w:rFonts w:eastAsia="SimSun" w:cs="Mangal"/>
        <w:kern w:val="1"/>
        <w:szCs w:val="21"/>
        <w:lang w:eastAsia="hi-IN" w:bidi="hi-IN"/>
      </w:rPr>
      <w:fldChar w:fldCharType="end"/>
    </w:r>
  </w:p>
  <w:p w14:paraId="061D5528" w14:textId="77777777">
    <w:pPr>
      <w:widowControl w:val="0"/>
      <w:tabs>
        <w:tab w:val="center" w:pos="4680"/>
        <w:tab w:val="right" w:pos="9360"/>
      </w:tabs>
      <w:suppressAutoHyphens/>
      <w:rPr>
        <w:rFonts w:eastAsia="SimSun" w:cs="Mangal"/>
        <w:kern w:val="1"/>
        <w:szCs w:val="21"/>
        <w:lang w:eastAsia="hi-IN" w:bidi="hi-I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7C049" w14:textId="77777777">
    <w:pPr>
      <w:widowControl w:val="0"/>
      <w:tabs>
        <w:tab w:val="center" w:pos="4680"/>
        <w:tab w:val="right" w:pos="9360"/>
      </w:tabs>
      <w:suppressAutoHyphens/>
      <w:rPr>
        <w:rFonts w:eastAsia="SimSun" w:cs="Mangal"/>
        <w:kern w:val="1"/>
        <w:szCs w:val="21"/>
        <w:lang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D0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61D5501"/>
  <w15:chartTrackingRefBased/>
  <w15:docId w15:val="{1DFA6A2E-4F9A-4789-BE3A-7EFD0D994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9311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numatomo teisinio reguliavimo poveikio vertinimo pažyma" DocPartId="eef1f78edd44454e96cd291e04e0ad4e" PartId="3e883a66a91d4337ac30bf4535fe3b2c">
    <Part Type="punktas" Nr="1" Abbr="pr. 1 p." DocPartId="52708e87bcef46899507a49d3cfcf44b" PartId="c893e87d4e6b4c9aac45ec47c5ed4d00"/>
    <Part Type="punktas" Nr="2" Abbr="pr. 2 p." DocPartId="c723e6fa97a946fd840e7cd62abefa91" PartId="a6782fb81319476387b9a9952a668db1"/>
    <Part Type="punktas" Nr="3" Abbr="pr. 3 p." DocPartId="0d2397124b384cb1b8c43f7453bf7056" PartId="49a55d6f93a04b889d92d0cb63f81bcf"/>
    <Part Type="punktas" Nr="4" Abbr="pr. 4 p." DocPartId="ad48945f4971417eb6df781ebeb283af" PartId="c43dade8d2f743e090f72fd128b2c299">
      <Part Type="papunktis" Nr="4.1" Abbr="pr. 4.1 pp." DocPartId="575c9d41bdeb4bef9e4cc7a488a5b56d" PartId="750fc2fc5df24082a22169b053cedc25"/>
      <Part Type="papunktis" Nr="4.2" Abbr="pr. 4.2 pp." DocPartId="5473b681ee71448fa4206ee4aeeac0ac" PartId="563745af885e486d9c0edfc1ba550a95"/>
    </Part>
    <Part Type="punktas" Nr="5" Abbr="pr. 5 p." DocPartId="75040ecd6d8e41e9a837a7ec8b79bb2c" PartId="46cc5cabb87c49ed8561d4709e215c03"/>
    <Part Type="punktas" Nr="6" Abbr="pr. 6 p." DocPartId="9d5c6a1948e44ff8a304d1e1f9b7ba13" PartId="05047d86d46d404794aa1fae73b56fa0"/>
  </Part>
</Parts>
</file>

<file path=customXml/itemProps1.xml><?xml version="1.0" encoding="utf-8"?>
<ds:datastoreItem xmlns:ds="http://schemas.openxmlformats.org/officeDocument/2006/customXml" ds:itemID="{5CAEBA3C-4310-4268-874F-BE3C6A2889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318</Words>
  <Characters>2374</Characters>
  <Application>Microsoft Office Word</Application>
  <DocSecurity>4</DocSecurity>
  <Lines>49</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2670</CharactersWithSpaces>
  <SharedDoc>false</SharedDoc>
  <HyperlinkBase/>
  <HLinks>
    <vt:vector size="6" baseType="variant">
      <vt:variant>
        <vt:i4>4194346</vt:i4>
      </vt:variant>
      <vt:variant>
        <vt:i4>0</vt:i4>
      </vt:variant>
      <vt:variant>
        <vt:i4>0</vt:i4>
      </vt:variant>
      <vt:variant>
        <vt:i4>5</vt:i4>
      </vt:variant>
      <vt:variant>
        <vt:lpwstr>mailto:diana.kundrotiene@siauliai.lt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2025-02-13T09:12:00Z</dcterms:created>
  <dc:creator>Edita Čičelienė</dc:creator>
  <lastModifiedBy>adlibuser</lastModifiedBy>
  <lastPrinted>2014-03-27T14:24:00Z</lastPrinted>
  <dcterms:modified xsi:type="dcterms:W3CDTF">2025-02-13T09:12:00Z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77A342B5-6362-42C7-A64D-77E18078BAC3</vt:lpwstr>
  </property>
</Properties>
</file>