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22385d3ca69d4b34ad3014feff5201c6"/>
        <w:lock w:val="sdtLocked"/>
        <w:richText/>
      </w:sdtPr>
      <w:sdtContent>
        <w:p w14:paraId="10E5BE14" w14:textId="77777777">
          <w:pPr>
            <w:tabs>
              <w:tab w:val="center" w:pos="4680"/>
              <w:tab w:val="right" w:pos="9360"/>
            </w:tabs>
            <w:rPr>
              <w:sz w:val="22"/>
              <w:szCs w:val="22"/>
              <w:lang w:eastAsia="lt-LT"/>
            </w:rPr>
          </w:pPr>
        </w:p>
        <w:p w14:paraId="5779AA90" w14:textId="60412F0A">
          <w:pPr>
            <w:jc w:val="center"/>
            <w:rPr>
              <w:szCs w:val="24"/>
              <w:lang w:eastAsia="lt-LT"/>
            </w:rPr>
          </w:pPr>
          <w:r>
            <w:rPr>
              <w:szCs w:val="24"/>
              <w:lang w:val="en-US"/>
            </w:rPr>
            <w:drawing>
              <wp:inline distT="0" distB="0" distL="0" distR="0" wp14:anchorId="4053EAEA" wp14:editId="169EAC35">
                <wp:extent cx="838200" cy="876300"/>
                <wp:effectExtent l="0" t="0" r="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7">
                          <a:extLst>
                            <a:ext uri="{28A0092B-C50C-407E-A947-70E740481C1C}">
                              <a14:useLocalDpi xmlns:a14="http://schemas.microsoft.com/office/drawing/2010/main" val="0"/>
                            </a:ext>
                          </a:extLst>
                        </a:blip>
                        <a:srcRect/>
                        <a:stretch>
                          <a:fillRect/>
                        </a:stretch>
                      </pic:blipFill>
                      <pic:spPr bwMode="auto">
                        <a:xfrm>
                          <a:off x="0" y="0"/>
                          <a:ext cx="838200" cy="876300"/>
                        </a:xfrm>
                        <a:prstGeom prst="rect">
                          <a:avLst/>
                        </a:prstGeom>
                        <a:noFill/>
                      </pic:spPr>
                    </pic:pic>
                  </a:graphicData>
                </a:graphic>
              </wp:inline>
            </w:drawing>
          </w:r>
        </w:p>
        <w:p w14:paraId="24CD1E42" w14:textId="77777777">
          <w:pPr>
            <w:keepNext/>
            <w:tabs>
              <w:tab w:val="left" w:pos="1560"/>
            </w:tabs>
            <w:jc w:val="center"/>
            <w:rPr>
              <w:b/>
              <w:szCs w:val="24"/>
              <w:lang w:eastAsia="lt-LT"/>
            </w:rPr>
          </w:pPr>
          <w:r>
            <w:rPr>
              <w:b/>
              <w:szCs w:val="24"/>
              <w:lang w:eastAsia="lt-LT"/>
            </w:rPr>
            <w:t>ŠIAULIŲ MIESTO SAVIVALDYBĖS TARYBA</w:t>
          </w:r>
        </w:p>
        <w:p w14:paraId="6DA5AF29" w14:textId="77777777">
          <w:pPr>
            <w:jc w:val="center"/>
            <w:rPr>
              <w:b/>
              <w:sz w:val="28"/>
              <w:lang w:eastAsia="lt-LT"/>
            </w:rPr>
          </w:pPr>
        </w:p>
        <w:p w14:paraId="3355F098" w14:textId="77777777">
          <w:pPr>
            <w:tabs>
              <w:tab w:val="center" w:pos="4153"/>
              <w:tab w:val="right" w:pos="8306"/>
            </w:tabs>
            <w:jc w:val="center"/>
            <w:rPr>
              <w:b/>
              <w:szCs w:val="24"/>
              <w:lang w:eastAsia="lt-LT"/>
            </w:rPr>
          </w:pPr>
          <w:r>
            <w:rPr>
              <w:b/>
              <w:szCs w:val="24"/>
              <w:lang w:eastAsia="lt-LT"/>
            </w:rPr>
            <w:t>SPRENDIMAS</w:t>
          </w:r>
        </w:p>
        <w:p w14:paraId="02FBD808" w14:textId="73D224E9">
          <w:pPr>
            <w:jc w:val="center"/>
            <w:rPr>
              <w:b/>
              <w:bCs/>
              <w:caps/>
              <w:szCs w:val="24"/>
              <w:lang w:eastAsia="lt-LT"/>
            </w:rPr>
          </w:pPr>
          <w:r>
            <w:rPr>
              <w:b/>
              <w:bCs/>
              <w:caps/>
              <w:szCs w:val="24"/>
              <w:lang w:eastAsia="lt-LT"/>
            </w:rPr>
            <w:t>DĖL kriterijŲ, pagal kuriuos nustatoma, kada ŠIAULIŲ MIESTO savivaldybės infrastruktūros plėtros įmoka nemokama arba mokama dalimis, IR ŠIAULIŲ MIESTO savivaldybės infrastruktūros plėtros įmokos mokėjimo ir atleidimo nuo jos mokėjimo tvarkos aprašo PATVIRTINIMO</w:t>
          </w:r>
        </w:p>
        <w:p w14:paraId="12A91FD4" w14:textId="77777777">
          <w:pPr>
            <w:tabs>
              <w:tab w:val="left" w:pos="1560"/>
            </w:tabs>
            <w:ind w:hanging="142"/>
            <w:jc w:val="center"/>
            <w:rPr>
              <w:szCs w:val="24"/>
              <w:lang w:eastAsia="lt-LT"/>
            </w:rPr>
          </w:pPr>
        </w:p>
        <w:p w14:paraId="4598B8AC" w14:textId="4DAC8624">
          <w:pPr>
            <w:tabs>
              <w:tab w:val="left" w:pos="1560"/>
            </w:tabs>
            <w:ind w:hanging="142"/>
            <w:jc w:val="center"/>
            <w:rPr>
              <w:szCs w:val="24"/>
              <w:lang w:eastAsia="lt-LT"/>
            </w:rPr>
          </w:pPr>
          <w:r>
            <w:rPr>
              <w:szCs w:val="24"/>
              <w:lang w:eastAsia="lt-LT"/>
            </w:rPr>
            <w:t>2021 m. liepos 1 d. Nr. T-309</w:t>
          </w:r>
        </w:p>
        <w:p w14:paraId="5E47BA8E" w14:textId="77777777">
          <w:pPr>
            <w:tabs>
              <w:tab w:val="left" w:pos="1260"/>
            </w:tabs>
            <w:jc w:val="center"/>
            <w:rPr>
              <w:szCs w:val="24"/>
              <w:lang w:eastAsia="lt-LT"/>
            </w:rPr>
          </w:pPr>
        </w:p>
        <w:p w14:paraId="00CCCEA1" w14:textId="77777777">
          <w:pPr>
            <w:tabs>
              <w:tab w:val="left" w:pos="1260"/>
            </w:tabs>
            <w:jc w:val="center"/>
            <w:rPr>
              <w:szCs w:val="24"/>
              <w:lang w:eastAsia="lt-LT"/>
            </w:rPr>
          </w:pPr>
        </w:p>
        <w:sdt>
          <w:sdtPr>
            <w:alias w:val="preambule"/>
            <w:tag w:val="part_0b0da99707274ccda101329685fa7bd5"/>
            <w:lock w:val="sdtLocked"/>
            <w:richText/>
          </w:sdtPr>
          <w:sdtContent>
            <w:p w14:paraId="52A83513" w14:textId="75C637E6">
              <w:pPr>
                <w:tabs>
                  <w:tab w:val="left" w:pos="900"/>
                </w:tabs>
                <w:ind w:firstLine="900"/>
                <w:jc w:val="both"/>
                <w:rPr>
                  <w:szCs w:val="24"/>
                  <w:lang w:eastAsia="lt-LT"/>
                </w:rPr>
              </w:pPr>
              <w:r>
                <w:rPr>
                  <w:szCs w:val="24"/>
                  <w:lang w:eastAsia="lt-LT"/>
                </w:rPr>
                <w:t>Vadovaudamasi Lietuvos Respublikos savivaldybių infrastruktūros plėtros įstatymo 4 straipsnio 2 dalies 6 punktu ir 15 straipsnio 4 dalimi, Šiaulių miesto</w:t>
              </w:r>
              <w:r>
                <w:rPr>
                  <w:bCs/>
                  <w:szCs w:val="24"/>
                  <w:lang w:eastAsia="lt-LT"/>
                </w:rPr>
                <w:t xml:space="preserve"> savivaldybės </w:t>
              </w:r>
              <w:r>
                <w:rPr>
                  <w:szCs w:val="24"/>
                  <w:lang w:eastAsia="lt-LT"/>
                </w:rPr>
                <w:t>taryba  n u s p r e n d ž i a:</w:t>
              </w:r>
            </w:p>
          </w:sdtContent>
        </w:sdt>
        <w:sdt>
          <w:sdtPr>
            <w:alias w:val="1 p."/>
            <w:tag w:val="part_7b74ce4c76914703a08477ab032d9876"/>
            <w:lock w:val="sdtLocked"/>
            <w:richText/>
          </w:sdtPr>
          <w:sdtContent>
            <w:p w14:paraId="7309119F" w14:textId="751095DA">
              <w:pPr>
                <w:tabs>
                  <w:tab w:val="left" w:pos="900"/>
                </w:tabs>
                <w:ind w:firstLine="900"/>
                <w:jc w:val="both"/>
                <w:rPr>
                  <w:szCs w:val="24"/>
                  <w:lang w:eastAsia="lt-LT"/>
                </w:rPr>
              </w:pPr>
              <w:sdt>
                <w:sdtPr>
                  <w:alias w:val="Numeris"/>
                  <w:tag w:val="nr_7b74ce4c76914703a08477ab032d9876"/>
                  <w:lock w:val="sdtLocked"/>
                  <w:richText/>
                </w:sdtPr>
                <w:sdtContent>
                  <w:r>
                    <w:rPr>
                      <w:szCs w:val="24"/>
                      <w:lang w:eastAsia="lt-LT"/>
                    </w:rPr>
                    <w:t>1</w:t>
                  </w:r>
                </w:sdtContent>
              </w:sdt>
              <w:r>
                <w:rPr>
                  <w:szCs w:val="24"/>
                  <w:lang w:eastAsia="lt-LT"/>
                </w:rPr>
                <w:t xml:space="preserve">. </w:t>
              </w:r>
              <w:r>
                <w:rPr>
                  <w:iCs/>
                  <w:szCs w:val="24"/>
                  <w:lang w:eastAsia="lt-LT"/>
                </w:rPr>
                <w:t xml:space="preserve">Patvirtinti kriterijus, pagal kuriuos, kai tenkinamas bent vienas iš jų, nustatoma, kokiais atvejais Šiaulių miesto savivaldybės infrastruktūros plėtros įmoka (toliau –įmoka), nurodyta </w:t>
              </w:r>
              <w:r>
                <w:rPr>
                  <w:szCs w:val="24"/>
                  <w:lang w:eastAsia="lt-LT"/>
                </w:rPr>
                <w:t>Lietuvos Respublikos savivaldybių infrastruktūros plėtros įstatymo</w:t>
              </w:r>
              <w:r>
                <w:rPr>
                  <w:iCs/>
                  <w:szCs w:val="24"/>
                  <w:lang w:eastAsia="lt-LT"/>
                </w:rPr>
                <w:t xml:space="preserve"> 15 straipsnio 1 dalyje, yra nemokama</w:t>
              </w:r>
              <w:r>
                <w:rPr>
                  <w:szCs w:val="24"/>
                  <w:lang w:eastAsia="lt-LT"/>
                </w:rPr>
                <w:t>:</w:t>
              </w:r>
            </w:p>
            <w:sdt>
              <w:sdtPr>
                <w:alias w:val="1.1 pp."/>
                <w:tag w:val="part_87aa1b71e3d44b12bdc6da0575bc746c"/>
                <w:lock w:val="sdtLocked"/>
                <w:richText/>
              </w:sdtPr>
              <w:sdtContent>
                <w:p w14:paraId="5B35B004" w14:textId="092BDE66">
                  <w:pPr>
                    <w:tabs>
                      <w:tab w:val="left" w:pos="900"/>
                    </w:tabs>
                    <w:ind w:firstLine="851"/>
                    <w:jc w:val="both"/>
                    <w:rPr>
                      <w:szCs w:val="24"/>
                      <w:lang w:eastAsia="lt-LT"/>
                    </w:rPr>
                  </w:pPr>
                  <w:sdt>
                    <w:sdtPr>
                      <w:alias w:val="Numeris"/>
                      <w:tag w:val="nr_87aa1b71e3d44b12bdc6da0575bc746c"/>
                      <w:lock w:val="sdtLocked"/>
                      <w:richText/>
                    </w:sdtPr>
                    <w:sdtContent>
                      <w:r>
                        <w:rPr>
                          <w:szCs w:val="24"/>
                          <w:lang w:eastAsia="lt-LT"/>
                        </w:rPr>
                        <w:t>1.1</w:t>
                      </w:r>
                    </w:sdtContent>
                  </w:sdt>
                  <w:r>
                    <w:rPr>
                      <w:szCs w:val="24"/>
                      <w:lang w:eastAsia="lt-LT"/>
                    </w:rPr>
                    <w:t>. Lietuvos Respublikos savivaldybių infrastruktūros plėtros įstatyme nustatytais atvejais;</w:t>
                  </w:r>
                </w:p>
              </w:sdtContent>
            </w:sdt>
            <w:sdt>
              <w:sdtPr>
                <w:alias w:val="1.2 pp."/>
                <w:tag w:val="part_b09f0546070e4bdf9d307dd3d4ec8562"/>
                <w:lock w:val="sdtLocked"/>
                <w:richText/>
              </w:sdtPr>
              <w:sdtContent>
                <w:p w14:paraId="10E6D446" w14:textId="4C589CB4">
                  <w:pPr>
                    <w:tabs>
                      <w:tab w:val="left" w:pos="900"/>
                    </w:tabs>
                    <w:ind w:firstLine="851"/>
                    <w:jc w:val="both"/>
                    <w:rPr>
                      <w:szCs w:val="24"/>
                      <w:lang w:eastAsia="lt-LT"/>
                    </w:rPr>
                  </w:pPr>
                  <w:sdt>
                    <w:sdtPr>
                      <w:alias w:val="Numeris"/>
                      <w:tag w:val="nr_b09f0546070e4bdf9d307dd3d4ec8562"/>
                      <w:lock w:val="sdtLocked"/>
                      <w:richText/>
                    </w:sdtPr>
                    <w:sdtContent>
                      <w:r>
                        <w:rPr>
                          <w:rFonts w:eastAsia="Calibri"/>
                          <w:szCs w:val="24"/>
                        </w:rPr>
                        <w:t>1.2</w:t>
                      </w:r>
                    </w:sdtContent>
                  </w:sdt>
                  <w:r>
                    <w:rPr>
                      <w:rFonts w:eastAsia="Calibri"/>
                      <w:szCs w:val="24"/>
                    </w:rPr>
                    <w:t xml:space="preserve">. jei vykdoma statinių statyba pagal viešojo ir privataus subjektų partnerystės </w:t>
                  </w:r>
                  <w:r>
                    <w:rPr>
                      <w:szCs w:val="24"/>
                      <w:lang w:eastAsia="lt-LT"/>
                    </w:rPr>
                    <w:t xml:space="preserve">projektus, dėl kurių įgyvendinimo Lietuvos Respublikos Vyriausybė yra priėmusi sprendimus iki 2020 m. gruodžio 31 d.; </w:t>
                  </w:r>
                </w:p>
              </w:sdtContent>
            </w:sdt>
            <w:sdt>
              <w:sdtPr>
                <w:alias w:val="1.3 pp."/>
                <w:tag w:val="part_d9b7d18bb39e42dc8df5c76c397daf37"/>
                <w:lock w:val="sdtLocked"/>
                <w:richText/>
              </w:sdtPr>
              <w:sdtContent>
                <w:p w14:paraId="6F7315E4" w14:textId="07E3646B">
                  <w:pPr>
                    <w:tabs>
                      <w:tab w:val="left" w:pos="900"/>
                    </w:tabs>
                    <w:ind w:firstLine="851"/>
                    <w:jc w:val="both"/>
                    <w:rPr>
                      <w:szCs w:val="24"/>
                      <w:lang w:eastAsia="lt-LT"/>
                    </w:rPr>
                  </w:pPr>
                  <w:sdt>
                    <w:sdtPr>
                      <w:alias w:val="Numeris"/>
                      <w:tag w:val="nr_d9b7d18bb39e42dc8df5c76c397daf37"/>
                      <w:lock w:val="sdtLocked"/>
                      <w:richText/>
                    </w:sdtPr>
                    <w:sdtContent>
                      <w:r>
                        <w:rPr>
                          <w:rFonts w:eastAsia="Calibri"/>
                          <w:szCs w:val="24"/>
                        </w:rPr>
                        <w:t>1.3</w:t>
                      </w:r>
                    </w:sdtContent>
                  </w:sdt>
                  <w:r>
                    <w:rPr>
                      <w:rFonts w:eastAsia="Calibri"/>
                      <w:szCs w:val="24"/>
                    </w:rPr>
                    <w:t>. jei vykdoma</w:t>
                  </w:r>
                  <w:r>
                    <w:rPr>
                      <w:szCs w:val="24"/>
                      <w:lang w:eastAsia="lt-LT"/>
                    </w:rPr>
                    <w:t xml:space="preserve"> religinės paskirties pastatų, atitinkančių </w:t>
                  </w:r>
                  <w:r>
                    <w:rPr>
                      <w:lang w:eastAsia="lt-LT"/>
                    </w:rPr>
                    <w:t xml:space="preserve">statybos techninio reglamento </w:t>
                  </w:r>
                  <w:r>
                    <w:rPr>
                      <w:szCs w:val="24"/>
                      <w:lang w:eastAsia="lt-LT"/>
                    </w:rPr>
                    <w:t xml:space="preserve">STR 1.01.03:2017 </w:t>
                  </w:r>
                  <w:r>
                    <w:rPr>
                      <w:lang w:eastAsia="lt-LT"/>
                    </w:rPr>
                    <w:t>„</w:t>
                  </w:r>
                  <w:r>
                    <w:rPr>
                      <w:bCs/>
                      <w:szCs w:val="24"/>
                      <w:lang w:eastAsia="lt-LT"/>
                    </w:rPr>
                    <w:t>Statinių klasifikavimas</w:t>
                  </w:r>
                  <w:r>
                    <w:rPr>
                      <w:lang w:eastAsia="lt-LT"/>
                    </w:rPr>
                    <w:t>“ nuostatas, statyba;</w:t>
                  </w:r>
                </w:p>
              </w:sdtContent>
            </w:sdt>
            <w:sdt>
              <w:sdtPr>
                <w:alias w:val="1.4 pp."/>
                <w:tag w:val="part_6279cd6381f549b5abfc34a63790e701"/>
                <w:lock w:val="sdtLocked"/>
                <w:richText/>
              </w:sdtPr>
              <w:sdtContent>
                <w:p w14:paraId="741FA1A7" w14:textId="2E61AC5C">
                  <w:pPr>
                    <w:tabs>
                      <w:tab w:val="left" w:pos="900"/>
                    </w:tabs>
                    <w:ind w:firstLine="851"/>
                    <w:jc w:val="both"/>
                    <w:rPr>
                      <w:szCs w:val="24"/>
                      <w:lang w:eastAsia="lt-LT"/>
                    </w:rPr>
                  </w:pPr>
                  <w:sdt>
                    <w:sdtPr>
                      <w:alias w:val="Numeris"/>
                      <w:tag w:val="nr_6279cd6381f549b5abfc34a63790e701"/>
                      <w:lock w:val="sdtLocked"/>
                      <w:richText/>
                    </w:sdtPr>
                    <w:sdtContent>
                      <w:r>
                        <w:rPr>
                          <w:szCs w:val="24"/>
                          <w:lang w:eastAsia="lt-LT"/>
                        </w:rPr>
                        <w:t>1.4</w:t>
                      </w:r>
                    </w:sdtContent>
                  </w:sdt>
                  <w:r>
                    <w:rPr>
                      <w:szCs w:val="24"/>
                      <w:lang w:eastAsia="lt-LT"/>
                    </w:rPr>
                    <w:t>. jei statomi statiniai, atitinkantys Lietuvos Respublikos statybos įstatyme pateiktą ir Lietuvos Respublikos aplinkos ministro įsakymu patvirtintą I grupės nesudėtingo statinio sąvoką (sampratą ir rodiklius);</w:t>
                  </w:r>
                </w:p>
              </w:sdtContent>
            </w:sdt>
            <w:sdt>
              <w:sdtPr>
                <w:alias w:val="1.5 pp."/>
                <w:tag w:val="part_716856d6941e4ea788def0974d9cf6e6"/>
                <w:lock w:val="sdtLocked"/>
                <w:richText/>
              </w:sdtPr>
              <w:sdtContent>
                <w:p w14:paraId="741E10F2" w14:textId="495725E3">
                  <w:pPr>
                    <w:tabs>
                      <w:tab w:val="left" w:pos="900"/>
                    </w:tabs>
                    <w:ind w:firstLine="851"/>
                    <w:jc w:val="both"/>
                    <w:rPr>
                      <w:szCs w:val="24"/>
                      <w:lang w:eastAsia="lt-LT"/>
                    </w:rPr>
                  </w:pPr>
                  <w:sdt>
                    <w:sdtPr>
                      <w:alias w:val="Numeris"/>
                      <w:tag w:val="nr_716856d6941e4ea788def0974d9cf6e6"/>
                      <w:lock w:val="sdtLocked"/>
                      <w:richText/>
                    </w:sdtPr>
                    <w:sdtContent>
                      <w:r>
                        <w:rPr>
                          <w:szCs w:val="24"/>
                          <w:lang w:eastAsia="lt-LT"/>
                        </w:rPr>
                        <w:t>1.5</w:t>
                      </w:r>
                    </w:sdtContent>
                  </w:sdt>
                  <w:r>
                    <w:rPr>
                      <w:szCs w:val="24"/>
                      <w:lang w:eastAsia="lt-LT"/>
                    </w:rPr>
                    <w:t xml:space="preserve">. jei statomi </w:t>
                  </w:r>
                  <w:r>
                    <w:t>kitos paskirties inžineriniai statiniai</w:t>
                  </w:r>
                  <w:r>
                    <w:rPr>
                      <w:szCs w:val="24"/>
                      <w:lang w:eastAsia="lt-LT"/>
                    </w:rPr>
                    <w:t xml:space="preserve">, atitinkantys </w:t>
                  </w:r>
                  <w:r>
                    <w:rPr>
                      <w:lang w:eastAsia="lt-LT"/>
                    </w:rPr>
                    <w:t xml:space="preserve">statybos techninio reglamento </w:t>
                  </w:r>
                  <w:r>
                    <w:rPr>
                      <w:szCs w:val="24"/>
                      <w:lang w:eastAsia="lt-LT"/>
                    </w:rPr>
                    <w:t xml:space="preserve">STR 1.01.03:2017 </w:t>
                  </w:r>
                  <w:r>
                    <w:rPr>
                      <w:lang w:eastAsia="lt-LT"/>
                    </w:rPr>
                    <w:t>„</w:t>
                  </w:r>
                  <w:r>
                    <w:rPr>
                      <w:bCs/>
                      <w:szCs w:val="24"/>
                      <w:lang w:eastAsia="lt-LT"/>
                    </w:rPr>
                    <w:t>Statinių klasifikavimas</w:t>
                  </w:r>
                  <w:r>
                    <w:rPr>
                      <w:lang w:eastAsia="lt-LT"/>
                    </w:rPr>
                    <w:t>“ nuostatas;</w:t>
                  </w:r>
                </w:p>
              </w:sdtContent>
            </w:sdt>
            <w:sdt>
              <w:sdtPr>
                <w:alias w:val="1.6 pp."/>
                <w:tag w:val="part_b14e7228aa2b43619f02a4e543e936ff"/>
                <w:lock w:val="sdtLocked"/>
                <w:richText/>
              </w:sdtPr>
              <w:sdtContent>
                <w:p w14:paraId="263D7E86" w14:textId="501EFFA8">
                  <w:pPr>
                    <w:tabs>
                      <w:tab w:val="left" w:pos="900"/>
                    </w:tabs>
                    <w:ind w:firstLine="851"/>
                    <w:jc w:val="both"/>
                    <w:rPr>
                      <w:szCs w:val="24"/>
                      <w:lang w:eastAsia="lt-LT"/>
                    </w:rPr>
                  </w:pPr>
                  <w:sdt>
                    <w:sdtPr>
                      <w:alias w:val="Numeris"/>
                      <w:tag w:val="nr_b14e7228aa2b43619f02a4e543e936ff"/>
                      <w:lock w:val="sdtLocked"/>
                      <w:richText/>
                    </w:sdtPr>
                    <w:sdtContent>
                      <w:r>
                        <w:rPr>
                          <w:rFonts w:eastAsia="Calibri"/>
                          <w:szCs w:val="24"/>
                        </w:rPr>
                        <w:t>1.6</w:t>
                      </w:r>
                    </w:sdtContent>
                  </w:sdt>
                  <w:r>
                    <w:rPr>
                      <w:rFonts w:eastAsia="Calibri"/>
                      <w:szCs w:val="24"/>
                    </w:rPr>
                    <w:t>. jei vykdoma</w:t>
                  </w:r>
                  <w:r>
                    <w:rPr>
                      <w:szCs w:val="24"/>
                      <w:lang w:eastAsia="lt-LT"/>
                    </w:rPr>
                    <w:t xml:space="preserve"> statyba dėl Šiaulių miesto savivaldybėje esančio nekilnojamojo kultūros paveldo išsaugojimo; </w:t>
                  </w:r>
                </w:p>
              </w:sdtContent>
            </w:sdt>
            <w:sdt>
              <w:sdtPr>
                <w:alias w:val="1.7 pp."/>
                <w:tag w:val="part_30b0cfac6b0d47b6b10e9d006dfc27ba"/>
                <w:lock w:val="sdtLocked"/>
                <w:richText/>
              </w:sdtPr>
              <w:sdtContent>
                <w:p w14:paraId="10C47D75" w14:textId="77777777">
                  <w:pPr>
                    <w:tabs>
                      <w:tab w:val="left" w:pos="900"/>
                    </w:tabs>
                    <w:ind w:firstLine="851"/>
                    <w:jc w:val="both"/>
                    <w:rPr>
                      <w:szCs w:val="24"/>
                      <w:lang w:eastAsia="lt-LT"/>
                    </w:rPr>
                  </w:pPr>
                  <w:sdt>
                    <w:sdtPr>
                      <w:alias w:val="Numeris"/>
                      <w:tag w:val="nr_30b0cfac6b0d47b6b10e9d006dfc27ba"/>
                      <w:lock w:val="sdtLocked"/>
                      <w:richText/>
                    </w:sdtPr>
                    <w:sdtContent>
                      <w:r>
                        <w:rPr>
                          <w:rFonts w:eastAsia="Calibri"/>
                          <w:szCs w:val="24"/>
                        </w:rPr>
                        <w:t>1.7</w:t>
                      </w:r>
                    </w:sdtContent>
                  </w:sdt>
                  <w:r>
                    <w:rPr>
                      <w:rFonts w:eastAsia="Calibri"/>
                      <w:szCs w:val="24"/>
                    </w:rPr>
                    <w:t xml:space="preserve">. jei vykdoma </w:t>
                  </w:r>
                  <w:r>
                    <w:rPr>
                      <w:szCs w:val="24"/>
                      <w:lang w:eastAsia="lt-LT"/>
                    </w:rPr>
                    <w:t>statinių statyba Šiaulių laisvojoje ekonominėje zonoje, Šiaulių pramoninio parko ir Šiaulių oro uosto teritorijose;</w:t>
                  </w:r>
                </w:p>
              </w:sdtContent>
            </w:sdt>
            <w:sdt>
              <w:sdtPr>
                <w:alias w:val="1.8 pp."/>
                <w:tag w:val="part_db2d9e3ced96423db14847b3c43db9f9"/>
                <w:lock w:val="sdtLocked"/>
                <w:richText/>
              </w:sdtPr>
              <w:sdtContent>
                <w:p w14:paraId="77B36BD4" w14:textId="0ABFEBDD">
                  <w:pPr>
                    <w:tabs>
                      <w:tab w:val="left" w:pos="900"/>
                    </w:tabs>
                    <w:ind w:firstLine="851"/>
                    <w:jc w:val="both"/>
                    <w:rPr>
                      <w:szCs w:val="24"/>
                      <w:lang w:eastAsia="lt-LT"/>
                    </w:rPr>
                  </w:pPr>
                  <w:sdt>
                    <w:sdtPr>
                      <w:alias w:val="Numeris"/>
                      <w:tag w:val="nr_db2d9e3ced96423db14847b3c43db9f9"/>
                      <w:lock w:val="sdtLocked"/>
                      <w:richText/>
                    </w:sdtPr>
                    <w:sdtContent>
                      <w:r>
                        <w:rPr>
                          <w:szCs w:val="24"/>
                          <w:lang w:eastAsia="lt-LT"/>
                        </w:rPr>
                        <w:t>1.8</w:t>
                      </w:r>
                    </w:sdtContent>
                  </w:sdt>
                  <w:r>
                    <w:rPr>
                      <w:szCs w:val="24"/>
                      <w:lang w:eastAsia="lt-LT"/>
                    </w:rPr>
                    <w:t>. jei statomi statiniai, kurie Šiaulių regiono plėtros tarybos pripažinti regioninės svarbos objektais;</w:t>
                  </w:r>
                </w:p>
              </w:sdtContent>
            </w:sdt>
            <w:sdt>
              <w:sdtPr>
                <w:alias w:val="1.9 pp."/>
                <w:tag w:val="part_aab2cd1404de4397ac87a4629ec11d84"/>
                <w:lock w:val="sdtLocked"/>
                <w:richText/>
              </w:sdtPr>
              <w:sdtContent>
                <w:p w14:paraId="61706AE9" w14:textId="3AF43491">
                  <w:pPr>
                    <w:tabs>
                      <w:tab w:val="left" w:pos="900"/>
                    </w:tabs>
                    <w:ind w:firstLine="851"/>
                    <w:jc w:val="both"/>
                    <w:rPr>
                      <w:szCs w:val="24"/>
                      <w:lang w:eastAsia="lt-LT"/>
                    </w:rPr>
                  </w:pPr>
                  <w:sdt>
                    <w:sdtPr>
                      <w:alias w:val="Numeris"/>
                      <w:tag w:val="nr_aab2cd1404de4397ac87a4629ec11d84"/>
                      <w:lock w:val="sdtLocked"/>
                      <w:richText/>
                    </w:sdtPr>
                    <w:sdtContent>
                      <w:r>
                        <w:rPr>
                          <w:szCs w:val="24"/>
                          <w:lang w:eastAsia="lt-LT"/>
                        </w:rPr>
                        <w:t>1.9</w:t>
                      </w:r>
                    </w:sdtContent>
                  </w:sdt>
                  <w:r>
                    <w:rPr>
                      <w:szCs w:val="24"/>
                      <w:lang w:eastAsia="lt-LT"/>
                    </w:rPr>
                    <w:t xml:space="preserve">. jei įmokos mokėtojas iki Šiaulių miesto savivaldybės tarybos sprendimo </w:t>
                  </w:r>
                  <w:r>
                    <w:rPr>
                      <w:szCs w:val="24"/>
                    </w:rPr>
                    <w:t>dėl įmokos tarifų įsigaliojimo dienos</w:t>
                  </w:r>
                  <w:r>
                    <w:rPr>
                      <w:szCs w:val="24"/>
                      <w:lang w:eastAsia="lt-LT"/>
                    </w:rPr>
                    <w:t xml:space="preserve"> yra pateikęs prašymą išduoti statybą leidžiantį dokumentą ar yra sudaręs </w:t>
                  </w:r>
                  <w:r>
                    <w:rPr>
                      <w:szCs w:val="24"/>
                    </w:rPr>
                    <w:t xml:space="preserve">Šiaulių miesto savivaldybės </w:t>
                  </w:r>
                  <w:r>
                    <w:rPr>
                      <w:szCs w:val="24"/>
                      <w:lang w:eastAsia="lt-LT"/>
                    </w:rPr>
                    <w:t>infrastruktūros plėtros sutartį su Šiaulių miesto savivaldybės administracija.</w:t>
                  </w:r>
                </w:p>
              </w:sdtContent>
            </w:sdt>
          </w:sdtContent>
        </w:sdt>
        <w:sdt>
          <w:sdtPr>
            <w:alias w:val="2 p."/>
            <w:tag w:val="part_27da72fafb1947a6b9fd77a8878ea3a5"/>
            <w:lock w:val="sdtLocked"/>
            <w:richText/>
          </w:sdtPr>
          <w:sdtContent>
            <w:p w14:paraId="66C0A9A9" w14:textId="45917DC3">
              <w:pPr>
                <w:tabs>
                  <w:tab w:val="left" w:pos="900"/>
                </w:tabs>
                <w:ind w:firstLine="851"/>
                <w:jc w:val="both"/>
                <w:rPr>
                  <w:szCs w:val="24"/>
                  <w:lang w:eastAsia="lt-LT"/>
                </w:rPr>
              </w:pPr>
              <w:sdt>
                <w:sdtPr>
                  <w:alias w:val="Numeris"/>
                  <w:tag w:val="nr_27da72fafb1947a6b9fd77a8878ea3a5"/>
                  <w:lock w:val="sdtLocked"/>
                  <w:richText/>
                </w:sdtPr>
                <w:sdtContent>
                  <w:r>
                    <w:rPr>
                      <w:szCs w:val="24"/>
                      <w:lang w:eastAsia="lt-LT"/>
                    </w:rPr>
                    <w:t>2</w:t>
                  </w:r>
                </w:sdtContent>
              </w:sdt>
              <w:r>
                <w:rPr>
                  <w:szCs w:val="24"/>
                  <w:lang w:eastAsia="lt-LT"/>
                </w:rPr>
                <w:t xml:space="preserve">. Patvirtinti </w:t>
              </w:r>
              <w:r>
                <w:t>kriterijus, pagal kuriuos, kai tenkinamas bent vienas iš jų, nustatoma, kokiais atvejais įmoka mokama dalimis:</w:t>
              </w:r>
            </w:p>
            <w:sdt>
              <w:sdtPr>
                <w:alias w:val="2.1 pp."/>
                <w:tag w:val="part_be08964536414cfdbbf78d1494ecc2c4"/>
                <w:lock w:val="sdtLocked"/>
                <w:richText/>
              </w:sdtPr>
              <w:sdtContent>
                <w:p w14:paraId="2E92B3AB" w14:textId="76129229">
                  <w:pPr>
                    <w:tabs>
                      <w:tab w:val="left" w:pos="851"/>
                    </w:tabs>
                    <w:ind w:firstLine="851"/>
                    <w:jc w:val="both"/>
                    <w:rPr>
                      <w:szCs w:val="24"/>
                      <w:lang w:eastAsia="lt-LT"/>
                    </w:rPr>
                  </w:pPr>
                  <w:sdt>
                    <w:sdtPr>
                      <w:alias w:val="Numeris"/>
                      <w:tag w:val="nr_be08964536414cfdbbf78d1494ecc2c4"/>
                      <w:lock w:val="sdtLocked"/>
                      <w:richText/>
                    </w:sdtPr>
                    <w:sdtContent>
                      <w:r>
                        <w:rPr>
                          <w:szCs w:val="24"/>
                          <w:lang w:eastAsia="lt-LT"/>
                        </w:rPr>
                        <w:t>2.1</w:t>
                      </w:r>
                    </w:sdtContent>
                  </w:sdt>
                  <w:r>
                    <w:rPr>
                      <w:szCs w:val="24"/>
                      <w:lang w:eastAsia="lt-LT"/>
                    </w:rPr>
                    <w:t xml:space="preserve">. jei įmoka viršija 100 000 eurų sumą ir sudaroma </w:t>
                  </w:r>
                  <w:r>
                    <w:t xml:space="preserve">Šiaulių miesto </w:t>
                  </w:r>
                  <w:r>
                    <w:rPr>
                      <w:szCs w:val="24"/>
                      <w:lang w:eastAsia="lt-LT"/>
                    </w:rPr>
                    <w:t>savivaldybės infrastruktūros plėtros sutartis, įmokai dalimis taikomi šie reikalavimai:</w:t>
                  </w:r>
                </w:p>
                <w:sdt>
                  <w:sdtPr>
                    <w:alias w:val="2.1.1 pp."/>
                    <w:tag w:val="part_56bf0bf5e6fc495a8d0a696bde2f28a8"/>
                    <w:lock w:val="sdtLocked"/>
                    <w:richText/>
                  </w:sdtPr>
                  <w:sdtContent>
                    <w:p w14:paraId="631462BC" w14:textId="25D2D144">
                      <w:pPr>
                        <w:tabs>
                          <w:tab w:val="left" w:pos="851"/>
                        </w:tabs>
                        <w:ind w:firstLine="851"/>
                        <w:jc w:val="both"/>
                        <w:rPr>
                          <w:szCs w:val="24"/>
                          <w:lang w:eastAsia="lt-LT"/>
                        </w:rPr>
                      </w:pPr>
                      <w:sdt>
                        <w:sdtPr>
                          <w:alias w:val="Numeris"/>
                          <w:tag w:val="nr_56bf0bf5e6fc495a8d0a696bde2f28a8"/>
                          <w:lock w:val="sdtLocked"/>
                          <w:richText/>
                        </w:sdtPr>
                        <w:sdtContent>
                          <w:r>
                            <w:rPr>
                              <w:szCs w:val="24"/>
                              <w:lang w:eastAsia="lt-LT"/>
                            </w:rPr>
                            <w:t>2.1.1</w:t>
                          </w:r>
                        </w:sdtContent>
                      </w:sdt>
                      <w:r>
                        <w:rPr>
                          <w:szCs w:val="24"/>
                          <w:lang w:eastAsia="lt-LT"/>
                        </w:rPr>
                        <w:t xml:space="preserve">. pirmoji įmokos dalis, kuri sumokama iki </w:t>
                      </w:r>
                      <w:r>
                        <w:rPr>
                          <w:b/>
                          <w:bCs/>
                          <w:szCs w:val="24"/>
                          <w:lang w:eastAsia="lt-LT"/>
                        </w:rPr>
                        <w:t>pranešimo apie</w:t>
                      </w:r>
                      <w:r>
                        <w:rPr>
                          <w:szCs w:val="24"/>
                          <w:lang w:eastAsia="lt-LT"/>
                        </w:rPr>
                        <w:t xml:space="preserve"> </w:t>
                      </w:r>
                      <w:r>
                        <w:rPr>
                          <w:strike/>
                          <w:szCs w:val="24"/>
                          <w:lang w:eastAsia="lt-LT"/>
                        </w:rPr>
                        <w:t>statybą leidžiančio dokumento išdavimo dienos arba iki</w:t>
                      </w:r>
                      <w:r>
                        <w:rPr>
                          <w:szCs w:val="24"/>
                          <w:lang w:eastAsia="lt-LT"/>
                        </w:rPr>
                        <w:t xml:space="preserve"> statybos </w:t>
                      </w:r>
                      <w:r>
                        <w:rPr>
                          <w:strike/>
                          <w:szCs w:val="24"/>
                          <w:lang w:eastAsia="lt-LT"/>
                        </w:rPr>
                        <w:t>ir (ar) įrengimo</w:t>
                      </w:r>
                      <w:r>
                        <w:rPr>
                          <w:szCs w:val="24"/>
                          <w:lang w:eastAsia="lt-LT"/>
                        </w:rPr>
                        <w:t xml:space="preserve"> darbų </w:t>
                      </w:r>
                      <w:r>
                        <w:rPr>
                          <w:b/>
                          <w:bCs/>
                          <w:szCs w:val="24"/>
                          <w:lang w:eastAsia="lt-LT"/>
                        </w:rPr>
                        <w:t>pradžią pateikimo dienos</w:t>
                      </w:r>
                      <w:r>
                        <w:rPr>
                          <w:szCs w:val="24"/>
                          <w:lang w:eastAsia="lt-LT"/>
                        </w:rPr>
                        <w:t xml:space="preserve"> </w:t>
                      </w:r>
                      <w:r>
                        <w:rPr>
                          <w:strike/>
                          <w:szCs w:val="24"/>
                          <w:lang w:eastAsia="lt-LT"/>
                        </w:rPr>
                        <w:t>pradžios, kai statybą leidžiantis dokumentas neprivalomas</w:t>
                      </w:r>
                      <w:r>
                        <w:rPr>
                          <w:szCs w:val="24"/>
                          <w:lang w:eastAsia="lt-LT"/>
                        </w:rPr>
                        <w:t>, gali sudaryti ne mažiau kaip 20 proc. visos įmokos;</w:t>
                      </w:r>
                    </w:p>
                  </w:sdtContent>
                </w:sdt>
                <w:sdt>
                  <w:sdtPr>
                    <w:alias w:val="2.1.2 pp."/>
                    <w:tag w:val="part_a04f0b3450d74c658a21a72fcb1b6481"/>
                    <w:lock w:val="sdtLocked"/>
                    <w:richText/>
                  </w:sdtPr>
                  <w:sdtContent>
                    <w:p w14:paraId="56A12E65" w14:textId="2237B484">
                      <w:pPr>
                        <w:tabs>
                          <w:tab w:val="left" w:pos="851"/>
                        </w:tabs>
                        <w:ind w:firstLine="851"/>
                        <w:jc w:val="both"/>
                        <w:rPr>
                          <w:szCs w:val="24"/>
                          <w:lang w:eastAsia="lt-LT"/>
                        </w:rPr>
                      </w:pPr>
                      <w:sdt>
                        <w:sdtPr>
                          <w:alias w:val="Numeris"/>
                          <w:tag w:val="nr_a04f0b3450d74c658a21a72fcb1b6481"/>
                          <w:lock w:val="sdtLocked"/>
                          <w:richText/>
                        </w:sdtPr>
                        <w:sdtContent>
                          <w:r>
                            <w:rPr>
                              <w:szCs w:val="24"/>
                              <w:lang w:eastAsia="lt-LT"/>
                            </w:rPr>
                            <w:t>2.1.2</w:t>
                          </w:r>
                        </w:sdtContent>
                      </w:sdt>
                      <w:r>
                        <w:rPr>
                          <w:szCs w:val="24"/>
                          <w:lang w:eastAsia="lt-LT"/>
                        </w:rPr>
                        <w:t>. likusi</w:t>
                      </w:r>
                      <w:r>
                        <w:rPr>
                          <w:szCs w:val="24"/>
                        </w:rPr>
                        <w:t xml:space="preserve"> </w:t>
                      </w:r>
                      <w:r>
                        <w:rPr>
                          <w:szCs w:val="24"/>
                          <w:lang w:eastAsia="lt-LT"/>
                        </w:rPr>
                        <w:t>įmokos dalis gali būti išdėstoma ne daugiau kaip 4 lygiomis ir vienodais laiko intervalais mokamomis dalimis;</w:t>
                      </w:r>
                    </w:p>
                  </w:sdtContent>
                </w:sdt>
              </w:sdtContent>
            </w:sdt>
            <w:sdt>
              <w:sdtPr>
                <w:alias w:val="2.2 pp."/>
                <w:tag w:val="part_d34599e7c6d54259bc5a0defb807d2eb"/>
                <w:lock w:val="sdtLocked"/>
                <w:richText/>
              </w:sdtPr>
              <w:sdtContent>
                <w:p w14:paraId="637A63C6" w14:textId="18D2F3F4">
                  <w:pPr>
                    <w:tabs>
                      <w:tab w:val="left" w:pos="851"/>
                    </w:tabs>
                    <w:ind w:firstLine="851"/>
                    <w:jc w:val="both"/>
                    <w:rPr>
                      <w:szCs w:val="24"/>
                      <w:lang w:eastAsia="lt-LT"/>
                    </w:rPr>
                  </w:pPr>
                  <w:sdt>
                    <w:sdtPr>
                      <w:alias w:val="Numeris"/>
                      <w:tag w:val="nr_d34599e7c6d54259bc5a0defb807d2eb"/>
                      <w:lock w:val="sdtLocked"/>
                      <w:richText/>
                    </w:sdtPr>
                    <w:sdtContent>
                      <w:r>
                        <w:rPr>
                          <w:szCs w:val="24"/>
                          <w:lang w:eastAsia="lt-LT"/>
                        </w:rPr>
                        <w:t>2.2</w:t>
                      </w:r>
                    </w:sdtContent>
                  </w:sdt>
                  <w:r>
                    <w:rPr>
                      <w:szCs w:val="24"/>
                      <w:lang w:eastAsia="lt-LT"/>
                    </w:rPr>
                    <w:t xml:space="preserve">. jei įmoka viršija 100 000 eurų sumą </w:t>
                  </w:r>
                  <w:r>
                    <w:rPr>
                      <w:szCs w:val="24"/>
                    </w:rPr>
                    <w:t xml:space="preserve">ir įmokos mokėtojo numatomam statyti pastatui ir (ar) statiniui reikalinga savivaldybės infrastruktūros plėtra yra finansuojama iš </w:t>
                  </w:r>
                  <w:r>
                    <w:rPr>
                      <w:bCs/>
                      <w:szCs w:val="24"/>
                    </w:rPr>
                    <w:t>Europos Sąjungos struktūrinių fondų ir (ar) Lietuvos Respublikos biudžeto programų.</w:t>
                  </w:r>
                </w:p>
              </w:sdtContent>
            </w:sdt>
          </w:sdtContent>
        </w:sdt>
        <w:sdt>
          <w:sdtPr>
            <w:alias w:val="3 p."/>
            <w:tag w:val="part_3af4abc0116747d3978600ea0831122b"/>
            <w:lock w:val="sdtLocked"/>
            <w:richText/>
          </w:sdtPr>
          <w:sdtContent>
            <w:p w14:paraId="360C7D3E" w14:textId="0ADEBFE4">
              <w:pPr>
                <w:tabs>
                  <w:tab w:val="left" w:pos="851"/>
                </w:tabs>
                <w:ind w:firstLine="851"/>
                <w:jc w:val="both"/>
                <w:rPr>
                  <w:szCs w:val="24"/>
                  <w:lang w:eastAsia="lt-LT"/>
                </w:rPr>
              </w:pPr>
              <w:sdt>
                <w:sdtPr>
                  <w:alias w:val="Numeris"/>
                  <w:tag w:val="nr_3af4abc0116747d3978600ea0831122b"/>
                  <w:lock w:val="sdtLocked"/>
                  <w:richText/>
                </w:sdtPr>
                <w:sdtContent>
                  <w:r>
                    <w:rPr>
                      <w:szCs w:val="24"/>
                      <w:lang w:eastAsia="lt-LT"/>
                    </w:rPr>
                    <w:t>3</w:t>
                  </w:r>
                </w:sdtContent>
              </w:sdt>
              <w:r>
                <w:rPr>
                  <w:szCs w:val="24"/>
                  <w:lang w:eastAsia="lt-LT"/>
                </w:rPr>
                <w:t>. Nustatyti, kad:</w:t>
              </w:r>
            </w:p>
            <w:sdt>
              <w:sdtPr>
                <w:alias w:val="3.1 pp."/>
                <w:tag w:val="part_b2b4a240e7f248929506fa5e74fad8d7"/>
                <w:lock w:val="sdtLocked"/>
                <w:richText/>
              </w:sdtPr>
              <w:sdtContent>
                <w:p w14:paraId="36E76774" w14:textId="3D98E3BB">
                  <w:pPr>
                    <w:tabs>
                      <w:tab w:val="left" w:pos="900"/>
                    </w:tabs>
                    <w:ind w:firstLine="851"/>
                    <w:jc w:val="both"/>
                    <w:rPr>
                      <w:szCs w:val="24"/>
                      <w:lang w:eastAsia="lt-LT"/>
                    </w:rPr>
                  </w:pPr>
                  <w:sdt>
                    <w:sdtPr>
                      <w:alias w:val="Numeris"/>
                      <w:tag w:val="nr_b2b4a240e7f248929506fa5e74fad8d7"/>
                      <w:lock w:val="sdtLocked"/>
                      <w:richText/>
                    </w:sdtPr>
                    <w:sdtContent>
                      <w:r>
                        <w:rPr>
                          <w:szCs w:val="24"/>
                        </w:rPr>
                        <w:t>3.1</w:t>
                      </w:r>
                    </w:sdtContent>
                  </w:sdt>
                  <w:r>
                    <w:rPr>
                      <w:szCs w:val="24"/>
                    </w:rPr>
                    <w:t>. jei įmoka mokama dalimis, ji turi būti sumokėta ne vėliau kaip iki statinių statybos užbaigimo dienos (jeigu atliekamos atskirų statinių statybos užbaigimo procedūros – iki pirmojo statinio statybos užbaigimo dienos) ir ne vėliau kaip per 3 (trejus) metus nuo pirmojo Šiaulių miesto savivaldybės infrastruktūros plėtros organizatoriaus sprendimo, kuriuo įmokos mokėtojui suteikiama teisė įmoką mokėti dalimis, priėmimo dienos;</w:t>
                  </w:r>
                </w:p>
              </w:sdtContent>
            </w:sdt>
            <w:sdt>
              <w:sdtPr>
                <w:alias w:val="3.2 pp."/>
                <w:tag w:val="part_3d48633e661647259ccd436042ab4fe7"/>
                <w:lock w:val="sdtLocked"/>
                <w:richText/>
              </w:sdtPr>
              <w:sdtContent>
                <w:p w14:paraId="222ACD69" w14:textId="27D33AC3">
                  <w:pPr>
                    <w:tabs>
                      <w:tab w:val="left" w:pos="900"/>
                    </w:tabs>
                    <w:ind w:firstLine="851"/>
                    <w:jc w:val="both"/>
                  </w:pPr>
                  <w:sdt>
                    <w:sdtPr>
                      <w:alias w:val="Numeris"/>
                      <w:tag w:val="nr_3d48633e661647259ccd436042ab4fe7"/>
                      <w:lock w:val="sdtLocked"/>
                      <w:richText/>
                    </w:sdtPr>
                    <w:sdtContent>
                      <w:r>
                        <w:t>3.2</w:t>
                      </w:r>
                    </w:sdtContent>
                  </w:sdt>
                  <w:r>
                    <w:t xml:space="preserve">. įmoka (jos dalis) nemokama ar mokama dalimis konkrečiais atvejais, nurodytais šio sprendimo 1 ir 2 punktuose, infrastruktūros plėtros organizatoriui priėmus sprendimą </w:t>
                  </w:r>
                  <w:r>
                    <w:rPr>
                      <w:szCs w:val="24"/>
                    </w:rPr>
                    <w:t xml:space="preserve">Šiaulių miesto </w:t>
                  </w:r>
                  <w:r>
                    <w:t>savivaldybės infrastruktūros plėtros įmokos mokėjimo dalimis ir atleidimo nuo jos mokėjimo tvarkos apraše, patvirtintame šio sprendimo 4 punktu, nustatyta tvarka;</w:t>
                  </w:r>
                </w:p>
              </w:sdtContent>
            </w:sdt>
            <w:sdt>
              <w:sdtPr>
                <w:alias w:val="3.3 pp."/>
                <w:tag w:val="part_61bdd8d0e7724a7384c7cbabbb963fb8"/>
                <w:lock w:val="sdtLocked"/>
                <w:richText/>
              </w:sdtPr>
              <w:sdtContent>
                <w:p w14:paraId="48539B7D" w14:textId="2C7F2A8F">
                  <w:pPr>
                    <w:tabs>
                      <w:tab w:val="left" w:pos="900"/>
                    </w:tabs>
                    <w:ind w:firstLine="851"/>
                    <w:jc w:val="both"/>
                    <w:rPr>
                      <w:rFonts w:eastAsia="Calibri"/>
                      <w:szCs w:val="24"/>
                    </w:rPr>
                  </w:pPr>
                  <w:sdt>
                    <w:sdtPr>
                      <w:alias w:val="Numeris"/>
                      <w:tag w:val="nr_61bdd8d0e7724a7384c7cbabbb963fb8"/>
                      <w:lock w:val="sdtLocked"/>
                      <w:richText/>
                    </w:sdtPr>
                    <w:sdtContent>
                      <w:r>
                        <w:rPr>
                          <w:szCs w:val="24"/>
                          <w:lang w:eastAsia="lt-LT"/>
                        </w:rPr>
                        <w:t>3.3</w:t>
                      </w:r>
                    </w:sdtContent>
                  </w:sdt>
                  <w:r>
                    <w:rPr>
                      <w:szCs w:val="24"/>
                      <w:lang w:eastAsia="lt-LT"/>
                    </w:rPr>
                    <w:t xml:space="preserve">. </w:t>
                  </w:r>
                  <w:r>
                    <w:rPr>
                      <w:rFonts w:eastAsia="Calibri"/>
                      <w:szCs w:val="24"/>
                    </w:rPr>
                    <w:t xml:space="preserve">Šiaulių miesto savivaldybės taryba atskiru sprendimu gali atleisti nuo įmokos arba ją sumažinti dėl bet kokios paskirties statinių, jei dėl jų statybos yra pateikta </w:t>
                  </w:r>
                  <w:r>
                    <w:rPr>
                      <w:rFonts w:eastAsia="Calibri"/>
                      <w:strike/>
                      <w:szCs w:val="24"/>
                    </w:rPr>
                    <w:t>Šiaulių miesto savivaldybės tarybos sprendimu patvirtintos,</w:t>
                  </w:r>
                  <w:r>
                    <w:rPr>
                      <w:rFonts w:eastAsia="Calibri"/>
                      <w:szCs w:val="24"/>
                    </w:rPr>
                    <w:t xml:space="preserve"> Šiaulių miesto verslo tarybos motyvuota rekomendacija argumentuojant visuomenine, ekonomine ir (arba) socialine nauda.</w:t>
                  </w:r>
                </w:p>
              </w:sdtContent>
            </w:sdt>
          </w:sdtContent>
        </w:sdt>
        <w:sdt>
          <w:sdtPr>
            <w:alias w:val="4 p."/>
            <w:tag w:val="part_49f42c68d5a44311962942716975b441"/>
            <w:lock w:val="sdtLocked"/>
            <w:richText/>
          </w:sdtPr>
          <w:sdtContent>
            <w:p w14:paraId="7E7C7B60" w14:textId="1E19BCB9">
              <w:pPr>
                <w:tabs>
                  <w:tab w:val="left" w:pos="900"/>
                </w:tabs>
                <w:ind w:firstLine="851"/>
                <w:jc w:val="both"/>
                <w:rPr>
                  <w:szCs w:val="24"/>
                </w:rPr>
              </w:pPr>
              <w:sdt>
                <w:sdtPr>
                  <w:alias w:val="Numeris"/>
                  <w:tag w:val="nr_49f42c68d5a44311962942716975b441"/>
                  <w:lock w:val="sdtLocked"/>
                  <w:richText/>
                </w:sdtPr>
                <w:sdtContent>
                  <w:r>
                    <w:rPr>
                      <w:szCs w:val="24"/>
                    </w:rPr>
                    <w:t>4</w:t>
                  </w:r>
                </w:sdtContent>
              </w:sdt>
              <w:r>
                <w:rPr>
                  <w:szCs w:val="24"/>
                </w:rPr>
                <w:t xml:space="preserve">. Patvirtinti Šiaulių miesto </w:t>
              </w:r>
              <w:r>
                <w:t>savivaldybės infrastruktūros plėtros įmokos mokėjimo dalimis ir atleidimo nuo jos mokėjimo tvarkos aprašą</w:t>
              </w:r>
              <w:r>
                <w:rPr>
                  <w:szCs w:val="24"/>
                </w:rPr>
                <w:t xml:space="preserve"> (pridedama).</w:t>
              </w:r>
            </w:p>
          </w:sdtContent>
        </w:sdt>
        <w:sdt>
          <w:sdtPr>
            <w:alias w:val="5 p."/>
            <w:tag w:val="part_1bd662e1d169437cab7344ee1864cbf5"/>
            <w:lock w:val="sdtLocked"/>
            <w:richText/>
          </w:sdtPr>
          <w:sdtContent>
            <w:p w14:paraId="6E6FDEE0" w14:textId="4CEFC33B">
              <w:pPr>
                <w:tabs>
                  <w:tab w:val="left" w:pos="900"/>
                </w:tabs>
                <w:ind w:firstLine="851"/>
                <w:jc w:val="both"/>
                <w:rPr>
                  <w:b/>
                  <w:bCs/>
                  <w:szCs w:val="24"/>
                </w:rPr>
              </w:pPr>
              <w:sdt>
                <w:sdtPr>
                  <w:alias w:val="Numeris"/>
                  <w:tag w:val="nr_1bd662e1d169437cab7344ee1864cbf5"/>
                  <w:lock w:val="sdtLocked"/>
                  <w:richText/>
                </w:sdtPr>
                <w:sdtContent>
                  <w:r>
                    <w:rPr>
                      <w:b/>
                      <w:bCs/>
                      <w:szCs w:val="24"/>
                    </w:rPr>
                    <w:t>5</w:t>
                  </w:r>
                </w:sdtContent>
              </w:sdt>
              <w:r>
                <w:rPr>
                  <w:b/>
                  <w:bCs/>
                  <w:szCs w:val="24"/>
                </w:rPr>
                <w:t>. Nuo savivaldybės infrastruktūros plėtros įmokos atleidžiami statytojai (vystytojai), Lietuvos Respublikos savivaldybių infrastruktūros plėtros įstatymo 15 straipsnio 3 dalyje nustatytais atvejais.</w:t>
              </w:r>
            </w:p>
          </w:sdtContent>
        </w:sdt>
        <w:sdt>
          <w:sdtPr>
            <w:alias w:val="6 p."/>
            <w:tag w:val="part_dc9e889356754d50aa82eeb210761e06"/>
            <w:lock w:val="sdtLocked"/>
            <w:richText/>
          </w:sdtPr>
          <w:sdtContent>
            <w:p w14:paraId="13758B98" w14:textId="02994354">
              <w:pPr>
                <w:tabs>
                  <w:tab w:val="left" w:pos="900"/>
                </w:tabs>
                <w:ind w:firstLine="851"/>
                <w:jc w:val="both"/>
                <w:rPr>
                  <w:b/>
                  <w:bCs/>
                  <w:szCs w:val="24"/>
                  <w:lang w:eastAsia="lt-LT"/>
                </w:rPr>
              </w:pPr>
              <w:sdt>
                <w:sdtPr>
                  <w:alias w:val="Numeris"/>
                  <w:tag w:val="nr_dc9e889356754d50aa82eeb210761e06"/>
                  <w:lock w:val="sdtLocked"/>
                  <w:richText/>
                </w:sdtPr>
                <w:sdtContent>
                  <w:r>
                    <w:rPr>
                      <w:b/>
                      <w:bCs/>
                      <w:szCs w:val="24"/>
                    </w:rPr>
                    <w:t>6</w:t>
                  </w:r>
                </w:sdtContent>
              </w:sdt>
              <w:r>
                <w:rPr>
                  <w:b/>
                  <w:bCs/>
                  <w:szCs w:val="24"/>
                </w:rPr>
                <w:t>. Nustatyti, kad 1 punkte nurodytais atvejais, infrastruktūros plėtros įmokos tarifas – 0,0 Eur/m</w:t>
              </w:r>
              <w:r>
                <w:rPr>
                  <w:b/>
                  <w:bCs/>
                  <w:szCs w:val="24"/>
                  <w:vertAlign w:val="superscript"/>
                </w:rPr>
                <w:t>2</w:t>
              </w:r>
              <w:r>
                <w:rPr>
                  <w:b/>
                  <w:bCs/>
                  <w:szCs w:val="24"/>
                </w:rPr>
                <w:t>.</w:t>
              </w:r>
            </w:p>
            <w:p w14:paraId="319038AF" w14:textId="59A09B5E">
              <w:pPr>
                <w:tabs>
                  <w:tab w:val="center" w:pos="4153"/>
                  <w:tab w:val="right" w:pos="8306"/>
                </w:tabs>
                <w:ind w:firstLine="851"/>
                <w:jc w:val="both"/>
                <w:rPr>
                  <w:b/>
                  <w:bCs/>
                  <w:szCs w:val="24"/>
                  <w:lang w:eastAsia="lt-LT"/>
                </w:rPr>
              </w:pPr>
            </w:p>
            <w:p w14:paraId="017548BB" w14:textId="69F4E467">
              <w:pPr>
                <w:tabs>
                  <w:tab w:val="center" w:pos="4153"/>
                  <w:tab w:val="right" w:pos="8306"/>
                </w:tabs>
                <w:ind w:firstLine="851"/>
                <w:jc w:val="both"/>
                <w:rPr>
                  <w:szCs w:val="24"/>
                  <w:lang w:eastAsia="lt-LT"/>
                </w:rPr>
              </w:pPr>
            </w:p>
            <w:p w14:paraId="72EB2067" w14:textId="70257D2D">
              <w:pPr>
                <w:tabs>
                  <w:tab w:val="center" w:pos="4153"/>
                  <w:tab w:val="right" w:pos="8306"/>
                </w:tabs>
                <w:ind w:firstLine="851"/>
                <w:jc w:val="both"/>
                <w:rPr>
                  <w:szCs w:val="24"/>
                  <w:lang w:eastAsia="lt-LT"/>
                </w:rPr>
              </w:pPr>
            </w:p>
            <w:p w14:paraId="69400A2D" w14:textId="77777777">
              <w:pPr>
                <w:tabs>
                  <w:tab w:val="center" w:pos="4153"/>
                  <w:tab w:val="right" w:pos="8306"/>
                </w:tabs>
                <w:ind w:firstLine="851"/>
                <w:jc w:val="both"/>
                <w:rPr>
                  <w:szCs w:val="24"/>
                  <w:lang w:eastAsia="lt-LT"/>
                </w:rPr>
              </w:pPr>
            </w:p>
          </w:sdtContent>
        </w:sdt>
        <w:sdt>
          <w:sdtPr>
            <w:alias w:val="signatura"/>
            <w:tag w:val="part_23868c5b78be4a36951043ba9c1fed09"/>
            <w:lock w:val="sdtLocked"/>
            <w:richText/>
          </w:sdtPr>
          <w:sdtContent>
            <w:p w14:paraId="4075DC6C" w14:textId="6A322429">
              <w:pPr>
                <w:tabs>
                  <w:tab w:val="center" w:pos="4153"/>
                  <w:tab w:val="left" w:pos="6390"/>
                  <w:tab w:val="right" w:pos="8306"/>
                </w:tabs>
                <w:jc w:val="both"/>
                <w:rPr>
                  <w:szCs w:val="24"/>
                  <w:lang w:eastAsia="lt-LT"/>
                </w:rPr>
              </w:pPr>
              <w:r>
                <w:rPr>
                  <w:szCs w:val="24"/>
                  <w:lang w:eastAsia="lt-LT"/>
                </w:rPr>
                <w:t>Savivaldybės meras</w:t>
                <w:tab/>
                <w:tab/>
                <w:tab/>
                <w:t xml:space="preserve">                          Artūras Visockas</w:t>
              </w:r>
            </w:p>
          </w:sdtContent>
        </w:sdt>
      </w:sdtContent>
    </w:sdt>
    <w:sectPr>
      <w:headerReference w:type="even" r:id="rId8"/>
      <w:headerReference w:type="default" r:id="rId9"/>
      <w:footerReference w:type="even" r:id="rId10"/>
      <w:footerReference w:type="default" r:id="rId11"/>
      <w:headerReference w:type="first" r:id="rId12"/>
      <w:footerReference w:type="first" r:id="rId13"/>
      <w:pgSz w:w="11907" w:h="16840" w:code="9"/>
      <w:pgMar w:top="1134" w:right="567" w:bottom="1134" w:left="1701" w:header="567" w:footer="567" w:gutter="0"/>
      <w:cols w:space="1296"/>
      <w:titlePg/>
      <w:docGrid w:linePitch="354"/>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B82E28" w14:textId="77777777">
      <w:pPr>
        <w:rPr>
          <w:rFonts w:ascii="TimesLT" w:hAnsi="TimesLT"/>
          <w:sz w:val="26"/>
          <w:lang w:eastAsia="lt-LT"/>
        </w:rPr>
      </w:pPr>
      <w:r>
        <w:rPr>
          <w:rFonts w:ascii="TimesLT" w:hAnsi="TimesLT"/>
          <w:sz w:val="26"/>
          <w:lang w:eastAsia="lt-LT"/>
        </w:rPr>
        <w:separator/>
      </w:r>
    </w:p>
  </w:endnote>
  <w:endnote w:type="continuationSeparator" w:id="0">
    <w:p w14:paraId="6FFAEDB2" w14:textId="77777777">
      <w:pPr>
        <w:rPr>
          <w:rFonts w:ascii="TimesLT" w:hAnsi="TimesLT"/>
          <w:sz w:val="26"/>
          <w:lang w:eastAsia="lt-LT"/>
        </w:rPr>
      </w:pPr>
      <w:r>
        <w:rPr>
          <w:rFonts w:ascii="TimesLT" w:hAnsi="TimesLT"/>
          <w:sz w:val="26"/>
          <w:lang w:eastAsia="lt-LT"/>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TimesLT">
    <w:altName w:val="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6FF" w:usb1="420024FF" w:usb2="02000000" w:usb3="00000000" w:csb0="0000019F" w:csb1="00000000"/>
  </w:font>
  <w:font w:name="Arial">
    <w:panose1 w:val="020B0604020202020204"/>
    <w:charset w:val="BA"/>
    <w:family w:val="swiss"/>
    <w:pitch w:val="variable"/>
    <w:sig w:usb0="E0002AFF" w:usb1="C0007843" w:usb2="00000009" w:usb3="00000000" w:csb0="000001F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892A67" w14:textId="77777777">
    <w:pPr>
      <w:tabs>
        <w:tab w:val="center" w:pos="4153"/>
        <w:tab w:val="right" w:pos="8306"/>
      </w:tabs>
      <w:rPr>
        <w:rFonts w:ascii="TimesLT" w:hAnsi="TimesLT"/>
        <w:sz w:val="26"/>
        <w:lang w:eastAsia="lt-LT"/>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CF978EE" w14:textId="77777777">
    <w:pPr>
      <w:tabs>
        <w:tab w:val="center" w:pos="4153"/>
        <w:tab w:val="right" w:pos="8306"/>
      </w:tabs>
      <w:rPr>
        <w:rFonts w:ascii="TimesLT" w:hAnsi="TimesLT"/>
        <w:sz w:val="26"/>
        <w:lang w:eastAsia="lt-LT"/>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77D543E" w14:textId="77777777">
    <w:pPr>
      <w:tabs>
        <w:tab w:val="center" w:pos="4819"/>
        <w:tab w:val="right" w:pos="9638"/>
      </w:tabs>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5EBE8D3" w14:textId="77777777">
      <w:pPr>
        <w:rPr>
          <w:rFonts w:ascii="TimesLT" w:hAnsi="TimesLT"/>
          <w:sz w:val="26"/>
          <w:lang w:eastAsia="lt-LT"/>
        </w:rPr>
      </w:pPr>
      <w:r>
        <w:rPr>
          <w:rFonts w:ascii="TimesLT" w:hAnsi="TimesLT"/>
          <w:sz w:val="26"/>
          <w:lang w:eastAsia="lt-LT"/>
        </w:rPr>
        <w:separator/>
      </w:r>
    </w:p>
  </w:footnote>
  <w:footnote w:type="continuationSeparator" w:id="0">
    <w:p w14:paraId="6107E05C" w14:textId="77777777">
      <w:pPr>
        <w:rPr>
          <w:rFonts w:ascii="TimesLT" w:hAnsi="TimesLT"/>
          <w:sz w:val="26"/>
          <w:lang w:eastAsia="lt-LT"/>
        </w:rPr>
      </w:pPr>
      <w:r>
        <w:rPr>
          <w:rFonts w:ascii="TimesLT" w:hAnsi="TimesLT"/>
          <w:sz w:val="26"/>
          <w:lang w:eastAsia="lt-LT"/>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64D3FDF" w14:textId="77777777">
    <w:pPr>
      <w:framePr w:wrap="auto" w:vAnchor="text" w:hAnchor="margin" w:xAlign="center" w:y="1"/>
      <w:tabs>
        <w:tab w:val="center" w:pos="4153"/>
        <w:tab w:val="right" w:pos="8306"/>
      </w:tabs>
      <w:rPr>
        <w:rFonts w:ascii="TimesLT" w:hAnsi="TimesLT"/>
        <w:sz w:val="26"/>
        <w:lang w:eastAsia="lt-LT"/>
      </w:rPr>
    </w:pPr>
    <w:r>
      <w:rPr>
        <w:rFonts w:ascii="TimesLT" w:hAnsi="TimesLT"/>
        <w:sz w:val="26"/>
        <w:lang w:eastAsia="lt-LT"/>
      </w:rPr>
      <w:fldChar w:fldCharType="begin"/>
    </w:r>
    <w:r>
      <w:rPr>
        <w:rFonts w:ascii="TimesLT" w:hAnsi="TimesLT"/>
        <w:sz w:val="26"/>
        <w:lang w:eastAsia="lt-LT"/>
      </w:rPr>
      <w:instrText xml:space="preserve">PAGE  </w:instrText>
    </w:r>
    <w:r>
      <w:rPr>
        <w:rFonts w:ascii="TimesLT" w:hAnsi="TimesLT"/>
        <w:sz w:val="26"/>
        <w:lang w:eastAsia="lt-LT"/>
      </w:rPr>
      <w:fldChar w:fldCharType="separate"/>
    </w:r>
    <w:r>
      <w:rPr>
        <w:rFonts w:ascii="TimesLT" w:hAnsi="TimesLT"/>
        <w:sz w:val="26"/>
        <w:lang w:eastAsia="lt-LT"/>
      </w:rPr>
      <w:t>1</w:t>
    </w:r>
    <w:r>
      <w:rPr>
        <w:rFonts w:ascii="TimesLT" w:hAnsi="TimesLT"/>
        <w:sz w:val="26"/>
        <w:lang w:eastAsia="lt-LT"/>
      </w:rPr>
      <w:fldChar w:fldCharType="end"/>
    </w:r>
  </w:p>
  <w:p w14:paraId="5C980562" w14:textId="77777777">
    <w:pPr>
      <w:tabs>
        <w:tab w:val="center" w:pos="4153"/>
        <w:tab w:val="right" w:pos="8306"/>
      </w:tabs>
      <w:rPr>
        <w:rFonts w:ascii="TimesLT" w:hAnsi="TimesLT"/>
        <w:sz w:val="26"/>
        <w:lang w:eastAsia="lt-LT"/>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2F07377" w14:textId="7E35752B">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14:paraId="35D78355" w14:textId="77777777">
    <w:pPr>
      <w:tabs>
        <w:tab w:val="center" w:pos="4153"/>
        <w:tab w:val="right" w:pos="8306"/>
      </w:tabs>
      <w:jc w:val="center"/>
      <w:rPr>
        <w:szCs w:val="24"/>
        <w:lang w:eastAsia="lt-LT"/>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89C2AA9" w14:textId="77777777">
    <w:pPr>
      <w:tabs>
        <w:tab w:val="center" w:pos="4680"/>
        <w:tab w:val="right" w:pos="9360"/>
      </w:tabs>
      <w:rPr>
        <w:sz w:val="22"/>
        <w:szCs w:val="22"/>
        <w:lang w:eastAsia="lt-LT"/>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revisionView w:inkAnnotations="0"/>
  <w:defaultTabStop w:val="720"/>
  <w:hyphenationZone w:val="396"/>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6E5559"/>
  </w:rsids>
  <m:mathPr>
    <m:mathFont m:val="Cambria Math"/>
    <m:brkBin m:val="before"/>
    <m:brkBinSub m:val="--"/>
    <m:smallFrac m:val="0"/>
    <m:dispDef/>
    <m:lMargin m:val="0"/>
    <m:rMargin m:val="0"/>
    <m:defJc m:val="centerGroup"/>
    <m:wrapIndent m:val="1440"/>
    <m:intLim m:val="subSup"/>
    <m:naryLim m:val="undOvr"/>
  </m:mathPr>
  <w:themeFontLang w:val="lt-LT"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546D1705"/>
  <w15:docId w15:val="{DFBEDEBA-B23B-41DD-8FFB-421F37C3872C}"/>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90972917">
      <w:bodyDiv w:val="1"/>
      <w:marLeft w:val="0"/>
      <w:marRight w:val="0"/>
      <w:marTop w:val="0"/>
      <w:marBottom w:val="0"/>
      <w:divBdr>
        <w:top w:val="none" w:sz="0" w:space="0" w:color="auto"/>
        <w:left w:val="none" w:sz="0" w:space="0" w:color="auto"/>
        <w:bottom w:val="none" w:sz="0" w:space="0" w:color="auto"/>
        <w:right w:val="none" w:sz="0" w:space="0" w:color="auto"/>
      </w:divBdr>
      <w:divsChild>
        <w:div w:id="1717002417">
          <w:marLeft w:val="0"/>
          <w:marRight w:val="0"/>
          <w:marTop w:val="0"/>
          <w:marBottom w:val="0"/>
          <w:divBdr>
            <w:top w:val="none" w:sz="0" w:space="0" w:color="auto"/>
            <w:left w:val="none" w:sz="0" w:space="0" w:color="auto"/>
            <w:bottom w:val="none" w:sz="0" w:space="0" w:color="auto"/>
            <w:right w:val="none" w:sz="0" w:space="0" w:color="auto"/>
          </w:divBdr>
          <w:divsChild>
            <w:div w:id="18665581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11897044">
      <w:bodyDiv w:val="1"/>
      <w:marLeft w:val="0"/>
      <w:marRight w:val="0"/>
      <w:marTop w:val="0"/>
      <w:marBottom w:val="0"/>
      <w:divBdr>
        <w:top w:val="none" w:sz="0" w:space="0" w:color="auto"/>
        <w:left w:val="none" w:sz="0" w:space="0" w:color="auto"/>
        <w:bottom w:val="none" w:sz="0" w:space="0" w:color="auto"/>
        <w:right w:val="none" w:sz="0" w:space="0" w:color="auto"/>
      </w:divBdr>
      <w:divsChild>
        <w:div w:id="68502514">
          <w:marLeft w:val="0"/>
          <w:marRight w:val="0"/>
          <w:marTop w:val="0"/>
          <w:marBottom w:val="0"/>
          <w:divBdr>
            <w:top w:val="none" w:sz="0" w:space="0" w:color="auto"/>
            <w:left w:val="none" w:sz="0" w:space="0" w:color="auto"/>
            <w:bottom w:val="none" w:sz="0" w:space="0" w:color="auto"/>
            <w:right w:val="none" w:sz="0" w:space="0" w:color="auto"/>
          </w:divBdr>
        </w:div>
      </w:divsChild>
    </w:div>
    <w:div w:id="1213081066">
      <w:bodyDiv w:val="1"/>
      <w:marLeft w:val="0"/>
      <w:marRight w:val="0"/>
      <w:marTop w:val="0"/>
      <w:marBottom w:val="0"/>
      <w:divBdr>
        <w:top w:val="none" w:sz="0" w:space="0" w:color="auto"/>
        <w:left w:val="none" w:sz="0" w:space="0" w:color="auto"/>
        <w:bottom w:val="none" w:sz="0" w:space="0" w:color="auto"/>
        <w:right w:val="none" w:sz="0" w:space="0" w:color="auto"/>
      </w:divBdr>
    </w:div>
    <w:div w:id="1400053223">
      <w:bodyDiv w:val="1"/>
      <w:marLeft w:val="0"/>
      <w:marRight w:val="0"/>
      <w:marTop w:val="0"/>
      <w:marBottom w:val="0"/>
      <w:divBdr>
        <w:top w:val="none" w:sz="0" w:space="0" w:color="auto"/>
        <w:left w:val="none" w:sz="0" w:space="0" w:color="auto"/>
        <w:bottom w:val="none" w:sz="0" w:space="0" w:color="auto"/>
        <w:right w:val="none" w:sz="0" w:space="0" w:color="auto"/>
      </w:divBdr>
      <w:divsChild>
        <w:div w:id="1532373407">
          <w:marLeft w:val="0"/>
          <w:marRight w:val="0"/>
          <w:marTop w:val="0"/>
          <w:marBottom w:val="0"/>
          <w:divBdr>
            <w:top w:val="none" w:sz="0" w:space="0" w:color="auto"/>
            <w:left w:val="none" w:sz="0" w:space="0" w:color="auto"/>
            <w:bottom w:val="none" w:sz="0" w:space="0" w:color="auto"/>
            <w:right w:val="none" w:sz="0" w:space="0" w:color="auto"/>
          </w:divBdr>
        </w:div>
      </w:divsChild>
    </w:div>
    <w:div w:id="1538661839">
      <w:bodyDiv w:val="1"/>
      <w:marLeft w:val="0"/>
      <w:marRight w:val="0"/>
      <w:marTop w:val="0"/>
      <w:marBottom w:val="0"/>
      <w:divBdr>
        <w:top w:val="none" w:sz="0" w:space="0" w:color="auto"/>
        <w:left w:val="none" w:sz="0" w:space="0" w:color="auto"/>
        <w:bottom w:val="none" w:sz="0" w:space="0" w:color="auto"/>
        <w:right w:val="none" w:sz="0" w:space="0" w:color="auto"/>
      </w:divBdr>
    </w:div>
    <w:div w:id="1746419511">
      <w:bodyDiv w:val="1"/>
      <w:marLeft w:val="0"/>
      <w:marRight w:val="0"/>
      <w:marTop w:val="0"/>
      <w:marBottom w:val="0"/>
      <w:divBdr>
        <w:top w:val="none" w:sz="0" w:space="0" w:color="auto"/>
        <w:left w:val="none" w:sz="0" w:space="0" w:color="auto"/>
        <w:bottom w:val="none" w:sz="0" w:space="0" w:color="auto"/>
        <w:right w:val="none" w:sz="0" w:space="0" w:color="auto"/>
      </w:divBdr>
    </w:div>
    <w:div w:id="2127767393">
      <w:bodyDiv w:val="1"/>
      <w:marLeft w:val="0"/>
      <w:marRight w:val="0"/>
      <w:marTop w:val="0"/>
      <w:marBottom w:val="0"/>
      <w:divBdr>
        <w:top w:val="none" w:sz="0" w:space="0" w:color="auto"/>
        <w:left w:val="none" w:sz="0" w:space="0" w:color="auto"/>
        <w:bottom w:val="none" w:sz="0" w:space="0" w:color="auto"/>
        <w:right w:val="none" w:sz="0" w:space="0" w:color="auto"/>
      </w:divBdr>
    </w:div>
    <w:div w:id="214580892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footer" Target="footer1.xml"/>
  <Relationship Id="rId11" Type="http://schemas.openxmlformats.org/officeDocument/2006/relationships/footer" Target="footer2.xml"/>
  <Relationship Id="rId12" Type="http://schemas.openxmlformats.org/officeDocument/2006/relationships/header" Target="header3.xml"/>
  <Relationship Id="rId13" Type="http://schemas.openxmlformats.org/officeDocument/2006/relationships/footer" Target="footer3.xml"/>
  <Relationship Id="rId14" Type="http://schemas.openxmlformats.org/officeDocument/2006/relationships/fontTable" Target="fontTable.xml"/>
  <Relationship Id="rId15" Type="http://schemas.openxmlformats.org/officeDocument/2006/relationships/theme" Target="theme/theme1.xml"/>
  <Relationship Id="rId16"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image" Target="media/image1.png"/>
  <Relationship Id="rId8" Type="http://schemas.openxmlformats.org/officeDocument/2006/relationships/header" Target="header1.xml"/>
  <Relationship Id="rId9" Type="http://schemas.openxmlformats.org/officeDocument/2006/relationships/header" Target="header2.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Parts xmlns="http://lrs.lt/TAIS/DocParts">
  <Part Type="pagrindine" DocPartId="dbd849fa66fa4029ac4be1590ec6fff8" PartId="22385d3ca69d4b34ad3014feff5201c6">
    <Part Type="preambule" DocPartId="5038272f99c744599fac1476aac8f88f" PartId="0b0da99707274ccda101329685fa7bd5"/>
    <Part Type="punktas" Nr="1" Abbr="1 p." DocPartId="3a3036b1ca414d85ac78bd9d68863d88" PartId="7b74ce4c76914703a08477ab032d9876">
      <Part Type="papunktis" Nr="1.1" Abbr="1.1 pp." DocPartId="73ce0b305f0047e8bc97ebe61df64c03" PartId="87aa1b71e3d44b12bdc6da0575bc746c"/>
      <Part Type="papunktis" Nr="1.2" Abbr="1.2 pp." DocPartId="c0e31c1661444baca1b9f0d9dbb94105" PartId="b09f0546070e4bdf9d307dd3d4ec8562"/>
      <Part Type="papunktis" Nr="1.3" Abbr="1.3 pp." DocPartId="86412f3f50f94da9998516bbd873db8a" PartId="d9b7d18bb39e42dc8df5c76c397daf37"/>
      <Part Type="papunktis" Nr="1.4" Abbr="1.4 pp." DocPartId="21fc791fd5e2418db197d742b7cba58a" PartId="6279cd6381f549b5abfc34a63790e701"/>
      <Part Type="papunktis" Nr="1.5" Abbr="1.5 pp." DocPartId="1f5a19983deb4869893fef6a21ae7c2b" PartId="716856d6941e4ea788def0974d9cf6e6"/>
      <Part Type="papunktis" Nr="1.6" Abbr="1.6 pp." DocPartId="b89f7ab64b424f96903155355908953d" PartId="b14e7228aa2b43619f02a4e543e936ff"/>
      <Part Type="papunktis" Nr="1.7" Abbr="1.7 pp." DocPartId="dbba8a22ebdb48a69b43d9c02fe2fdae" PartId="30b0cfac6b0d47b6b10e9d006dfc27ba"/>
      <Part Type="papunktis" Nr="1.8" Abbr="1.8 pp." DocPartId="0ef42dbb93ad47ed8568239c4d971918" PartId="db2d9e3ced96423db14847b3c43db9f9"/>
      <Part Type="papunktis" Nr="1.9" Abbr="1.9 pp." DocPartId="bf017412e6a94c1e925c8bdf919d59b0" PartId="aab2cd1404de4397ac87a4629ec11d84"/>
    </Part>
    <Part Type="punktas" Nr="2" Abbr="2 p." DocPartId="239240ced3254e9f90d7b80566af0d92" PartId="27da72fafb1947a6b9fd77a8878ea3a5">
      <Part Type="papunktis" Nr="2.1" Abbr="2.1 pp." DocPartId="7815af2b898c482d929af2d1638fc1fb" PartId="be08964536414cfdbbf78d1494ecc2c4">
        <Part Type="papunktis" Nr="2.1.1" Abbr="2.1.1 pp." DocPartId="010da5db3e4a4a33a82bca49823147f5" PartId="56bf0bf5e6fc495a8d0a696bde2f28a8"/>
        <Part Type="papunktis" Nr="2.1.2" Abbr="2.1.2 pp." DocPartId="d5b2aab940c64d748c5d04ac5b40ea74" PartId="a04f0b3450d74c658a21a72fcb1b6481"/>
      </Part>
      <Part Type="papunktis" Nr="2.2" Abbr="2.2 pp." DocPartId="94acea74a6e747dda1c1655521e78a15" PartId="d34599e7c6d54259bc5a0defb807d2eb"/>
    </Part>
    <Part Type="punktas" Nr="3" Abbr="3 p." DocPartId="eade42a6dcf84cdc8b97bba2aa0fdf3b" PartId="3af4abc0116747d3978600ea0831122b">
      <Part Type="papunktis" Nr="3.1" Abbr="3.1 pp." DocPartId="f13e315c4b1842e19abfb04f56527dfa" PartId="b2b4a240e7f248929506fa5e74fad8d7"/>
      <Part Type="papunktis" Nr="3.2" Abbr="3.2 pp." DocPartId="48ac9d08e915462189dd57a559dad9d4" PartId="3d48633e661647259ccd436042ab4fe7"/>
      <Part Type="papunktis" Nr="3.3" Abbr="3.3 pp." DocPartId="6a283693e3e64a9aa9cc7123d19f9de6" PartId="61bdd8d0e7724a7384c7cbabbb963fb8"/>
    </Part>
    <Part Type="punktas" Nr="4" Abbr="4 p." DocPartId="1d208eb84bac4a5a994135404b3daae2" PartId="49f42c68d5a44311962942716975b441"/>
    <Part Type="punktas" Nr="5" Abbr="5 p." DocPartId="b3decaafb91c4f1cbfa9ff9142bd0613" PartId="1bd662e1d169437cab7344ee1864cbf5"/>
    <Part Type="punktas" Nr="6" Abbr="6 p." DocPartId="922a96b7629a4da798a9c4698a02a490" PartId="dc9e889356754d50aa82eeb210761e06"/>
    <Part Type="signatura" DocPartId="d4e238744b804874b062a10f8e7b18cb" PartId="23868c5b78be4a36951043ba9c1fed09"/>
  </Part>
</Parts>
</file>

<file path=customXml/itemProps1.xml><?xml version="1.0" encoding="utf-8"?>
<ds:datastoreItem xmlns:ds="http://schemas.openxmlformats.org/officeDocument/2006/customXml" ds:itemID="{A62C4E25-916F-49E8-B5D0-1FCFBDD0A918}">
  <ds:schemaRefs>
    <ds:schemaRef ds:uri="http://schemas.openxmlformats.org/officeDocument/2006/bibliography"/>
  </ds:schemaRefs>
</ds:datastoreItem>
</file>

<file path=customXml/itemProps2.xml><?xml version="1.0" encoding="utf-8"?>
<ds:datastoreItem xmlns:ds="http://schemas.openxmlformats.org/officeDocument/2006/customXml" ds:itemID="{38199AA3-094A-4A10-8CF9-C788BE57E9C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622</Words>
  <Characters>4291</Characters>
  <Application>Microsoft Office Word</Application>
  <DocSecurity>4</DocSecurity>
  <Lines>80</Lines>
  <Paragraphs>32</Paragraphs>
  <ScaleCrop>false</ScaleCrop>
  <HeadingPairs>
    <vt:vector size="4" baseType="variant">
      <vt:variant>
        <vt:lpstr>Title</vt:lpstr>
      </vt:variant>
      <vt:variant>
        <vt:i4>1</vt:i4>
      </vt:variant>
      <vt:variant>
        <vt:lpstr>Pavadinimas</vt:lpstr>
      </vt:variant>
      <vt:variant>
        <vt:i4>1</vt:i4>
      </vt:variant>
    </vt:vector>
  </HeadingPairs>
  <TitlesOfParts>
    <vt:vector size="2" baseType="lpstr">
      <vt:lpstr/>
      <vt:lpstr/>
    </vt:vector>
  </TitlesOfParts>
  <Company/>
  <LinksUpToDate>false</LinksUpToDate>
  <CharactersWithSpaces>4881</CharactersWithSpaces>
  <SharedDoc>false</SharedDoc>
  <HyperlinkBase/>
  <HLinks>
    <vt:vector size="6" baseType="variant">
      <vt:variant>
        <vt:i4>1638514</vt:i4>
      </vt:variant>
      <vt:variant>
        <vt:i4>0</vt:i4>
      </vt:variant>
      <vt:variant>
        <vt:i4>0</vt:i4>
      </vt:variant>
      <vt:variant>
        <vt:i4>5</vt:i4>
      </vt:variant>
      <vt:variant>
        <vt:lpwstr>mailto:milda.labasauskaite@krs.lt</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2025-02-13T09:12:00Z</dcterms:created>
  <dc:creator>Juozas Varapnickas</dc:creator>
  <lastModifiedBy>adlibuser</lastModifiedBy>
  <dcterms:modified xsi:type="dcterms:W3CDTF">2025-02-13T09:12:00Z</dcterms:modified>
  <revision>2</revision>
</coreProperties>
</file>