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5255e9abef04d08a932ca6ffbf14d76"/>
        <w:lock w:val="sdtLocked"/>
        <w:richText/>
      </w:sdtPr>
      <w:sdtContent>
        <w:p>
          <w:pPr>
            <w:jc w:val="center"/>
            <w:rPr>
              <w:szCs w:val="24"/>
              <w:lang w:eastAsia="lt-LT"/>
            </w:rPr>
          </w:pPr>
          <w:r>
            <w:rPr>
              <w:b/>
              <w:bCs/>
              <w:color w:val="000000"/>
              <w:szCs w:val="24"/>
              <w:lang w:eastAsia="lt-LT"/>
            </w:rPr>
            <w:t>NUMATOMO TEISINIO REGULIAVIMO POVEIKIO VERTINIMO PAŽYMA</w:t>
          </w:r>
        </w:p>
        <w:p>
          <w:pPr>
            <w:ind w:firstLine="62"/>
            <w:rPr>
              <w:szCs w:val="24"/>
              <w:lang w:eastAsia="lt-LT"/>
            </w:rPr>
          </w:pPr>
        </w:p>
        <w:tbl>
          <w:tblPr>
            <w:tblW w:w="0" w:type="auto"/>
            <w:tblCellMar>
              <w:left w:w="0" w:type="dxa"/>
              <w:right w:w="0" w:type="dxa"/>
            </w:tblCellMar>
            <w:tblLook w:val="04A0" w:firstRow="1" w:lastRow="0" w:firstColumn="1" w:lastColumn="0" w:noHBand="0" w:noVBand="1"/>
          </w:tblPr>
          <w:tblGrid>
            <w:gridCol w:w="2235"/>
            <w:gridCol w:w="7337"/>
          </w:tblGrid>
          <w:tr>
            <w:tc>
              <w:tcPr>
                <w:tcW w:w="2235" w:type="dxa"/>
                <w:shd w:val="clear" w:color="auto" w:fill="DBE5F1"/>
                <w:tcMar>
                  <w:top w:w="0" w:type="dxa"/>
                  <w:left w:w="108" w:type="dxa"/>
                  <w:bottom w:w="0" w:type="dxa"/>
                  <w:right w:w="108" w:type="dxa"/>
                </w:tcMar>
                <w:hideMark/>
              </w:tcPr>
              <w:p>
                <w:pPr>
                  <w:rPr>
                    <w:szCs w:val="24"/>
                    <w:lang w:eastAsia="lt-LT"/>
                  </w:rPr>
                </w:pPr>
                <w:r>
                  <w:rPr>
                    <w:b/>
                    <w:bCs/>
                    <w:szCs w:val="24"/>
                    <w:shd w:val="clear" w:color="auto" w:fill="DBE5F1"/>
                    <w:lang w:eastAsia="lt-LT"/>
                  </w:rPr>
                  <w:t>Projekto pavadinimas</w:t>
                </w:r>
              </w:p>
            </w:tc>
            <w:tc>
              <w:tcPr>
                <w:tcW w:w="7337" w:type="dxa"/>
                <w:shd w:val="clear" w:color="auto" w:fill="DBE5F1"/>
                <w:tcMar>
                  <w:top w:w="0" w:type="dxa"/>
                  <w:left w:w="108" w:type="dxa"/>
                  <w:bottom w:w="0" w:type="dxa"/>
                  <w:right w:w="108" w:type="dxa"/>
                </w:tcMar>
                <w:hideMark/>
              </w:tcPr>
              <w:p>
                <w:pPr>
                  <w:suppressAutoHyphens/>
                  <w:spacing w:line="276" w:lineRule="auto"/>
                  <w:jc w:val="both"/>
                  <w:rPr>
                    <w:rFonts w:eastAsia="Calibri"/>
                    <w:szCs w:val="24"/>
                    <w:lang w:eastAsia="lt-LT"/>
                  </w:rPr>
                </w:pPr>
                <w:r>
                  <w:rPr>
                    <w:rFonts w:eastAsia="Calibri"/>
                    <w:szCs w:val="24"/>
                    <w:lang w:eastAsia="lt-LT"/>
                  </w:rPr>
                  <w:t>„Dėl Lietuvos Respublikos aplinkos ministro 2016 m. lapkričio 7 d. įsakymo Nr. D1-738 „Dėl statybos techninio reglamento STR 1.04.04:2017 „Statinio projektavimas, projekto ekspertizė“ patvirtinimo“ pakeitimo projektas (toliau – projektas)</w:t>
                </w:r>
              </w:p>
            </w:tc>
          </w:tr>
          <w:tr>
            <w:tc>
              <w:tcPr>
                <w:tcW w:w="2235" w:type="dxa"/>
                <w:shd w:val="clear" w:color="auto" w:fill="DBE5F1"/>
                <w:tcMar>
                  <w:top w:w="0" w:type="dxa"/>
                  <w:left w:w="108" w:type="dxa"/>
                  <w:bottom w:w="0" w:type="dxa"/>
                  <w:right w:w="108" w:type="dxa"/>
                </w:tcMar>
                <w:hideMark/>
              </w:tcPr>
              <w:p>
                <w:pPr>
                  <w:rPr>
                    <w:szCs w:val="24"/>
                    <w:lang w:eastAsia="lt-LT"/>
                  </w:rPr>
                </w:pPr>
                <w:r>
                  <w:rPr>
                    <w:b/>
                    <w:bCs/>
                    <w:szCs w:val="24"/>
                    <w:shd w:val="clear" w:color="auto" w:fill="DBE5F1"/>
                    <w:lang w:eastAsia="lt-LT"/>
                  </w:rPr>
                  <w:t>Projekto rengėjas</w:t>
                </w:r>
              </w:p>
            </w:tc>
            <w:tc>
              <w:tcPr>
                <w:tcW w:w="7337" w:type="dxa"/>
                <w:shd w:val="clear" w:color="auto" w:fill="DBE5F1"/>
                <w:tcMar>
                  <w:top w:w="0" w:type="dxa"/>
                  <w:left w:w="108" w:type="dxa"/>
                  <w:bottom w:w="0" w:type="dxa"/>
                  <w:right w:w="108" w:type="dxa"/>
                </w:tcMar>
                <w:hideMark/>
              </w:tcPr>
              <w:p>
                <w:pPr>
                  <w:jc w:val="both"/>
                  <w:rPr>
                    <w:szCs w:val="24"/>
                    <w:lang w:eastAsia="lt-LT"/>
                  </w:rPr>
                </w:pPr>
                <w:r>
                  <w:rPr>
                    <w:szCs w:val="24"/>
                    <w:lang w:eastAsia="lt-LT"/>
                  </w:rPr>
                  <w:t>Lietuvos Respublikos aplinkos ministerija</w:t>
                </w:r>
              </w:p>
              <w:p>
                <w:pPr>
                  <w:jc w:val="both"/>
                  <w:rPr>
                    <w:szCs w:val="24"/>
                    <w:lang w:eastAsia="lt-LT"/>
                  </w:rPr>
                </w:pPr>
              </w:p>
            </w:tc>
          </w:tr>
          <w:tr>
            <w:tc>
              <w:tcPr>
                <w:tcW w:w="2235" w:type="dxa"/>
                <w:shd w:val="clear" w:color="auto" w:fill="DBE5F1"/>
                <w:tcMar>
                  <w:top w:w="0" w:type="dxa"/>
                  <w:left w:w="108" w:type="dxa"/>
                  <w:bottom w:w="0" w:type="dxa"/>
                  <w:right w:w="108" w:type="dxa"/>
                </w:tcMar>
                <w:hideMark/>
              </w:tcPr>
              <w:p>
                <w:pPr>
                  <w:rPr>
                    <w:szCs w:val="24"/>
                    <w:lang w:eastAsia="lt-LT"/>
                  </w:rPr>
                </w:pPr>
                <w:r>
                  <w:rPr>
                    <w:b/>
                    <w:bCs/>
                    <w:szCs w:val="24"/>
                    <w:lang w:eastAsia="lt-LT"/>
                  </w:rPr>
                  <w:t>Projekto tikslas</w:t>
                </w:r>
              </w:p>
            </w:tc>
            <w:tc>
              <w:tcPr>
                <w:tcW w:w="7337" w:type="dxa"/>
                <w:shd w:val="clear" w:color="auto" w:fill="DBE5F1"/>
                <w:tcMar>
                  <w:top w:w="0" w:type="dxa"/>
                  <w:left w:w="108" w:type="dxa"/>
                  <w:bottom w:w="0" w:type="dxa"/>
                  <w:right w:w="108" w:type="dxa"/>
                </w:tcMar>
                <w:hideMark/>
              </w:tcPr>
              <w:p>
                <w:pPr>
                  <w:jc w:val="both"/>
                  <w:rPr>
                    <w:rFonts w:eastAsia="Calibri"/>
                    <w:szCs w:val="24"/>
                    <w:lang w:eastAsia="lt-LT"/>
                  </w:rPr>
                </w:pPr>
              </w:p>
              <w:p>
                <w:pPr>
                  <w:rPr>
                    <w:sz w:val="18"/>
                    <w:szCs w:val="18"/>
                  </w:rPr>
                </w:pPr>
              </w:p>
              <w:p>
                <w:pPr>
                  <w:jc w:val="both"/>
                  <w:rPr>
                    <w:rFonts w:eastAsia="Calibri"/>
                    <w:szCs w:val="24"/>
                    <w:lang w:eastAsia="lt-LT"/>
                  </w:rPr>
                </w:pPr>
                <w:r>
                  <w:rPr>
                    <w:rFonts w:eastAsia="Calibri"/>
                    <w:szCs w:val="24"/>
                    <w:lang w:eastAsia="lt-LT"/>
                  </w:rPr>
                  <w:t>Projektu numatoma pakeisti šiuo metu galiojančio statybos techninio reglamento STR 1.04.04:2017 „Statinio projektavimas, projekto ekspertizė“ (toliau - STR 1.04.04:2017) 120</w:t>
                </w:r>
                <w:r>
                  <w:rPr>
                    <w:rFonts w:eastAsia="Calibri"/>
                    <w:szCs w:val="24"/>
                    <w:vertAlign w:val="superscript"/>
                    <w:lang w:eastAsia="lt-LT"/>
                  </w:rPr>
                  <w:t>1</w:t>
                </w:r>
                <w:r>
                  <w:rPr>
                    <w:rFonts w:eastAsia="Calibri"/>
                    <w:szCs w:val="24"/>
                    <w:lang w:eastAsia="lt-LT"/>
                  </w:rPr>
                  <w:t xml:space="preserve"> ir 120</w:t>
                </w:r>
                <w:r>
                  <w:rPr>
                    <w:rFonts w:eastAsia="Calibri"/>
                    <w:szCs w:val="24"/>
                    <w:vertAlign w:val="superscript"/>
                    <w:lang w:eastAsia="lt-LT"/>
                  </w:rPr>
                  <w:t>3</w:t>
                </w:r>
                <w:r>
                  <w:rPr>
                    <w:rFonts w:eastAsia="Calibri"/>
                    <w:szCs w:val="24"/>
                    <w:lang w:eastAsia="lt-LT"/>
                  </w:rPr>
                  <w:t xml:space="preserve"> punktus, siekiant patikslinti šiose teisės normose nustatytą reglamentavimą, pašalinti juos taikant praktikoje kylančius neaiškumus. </w:t>
                </w:r>
              </w:p>
              <w:p>
                <w:pPr>
                  <w:rPr>
                    <w:sz w:val="18"/>
                    <w:szCs w:val="18"/>
                  </w:rPr>
                </w:pPr>
              </w:p>
              <w:p>
                <w:pPr>
                  <w:jc w:val="both"/>
                  <w:rPr>
                    <w:rFonts w:eastAsia="Calibri"/>
                    <w:szCs w:val="24"/>
                    <w:lang w:eastAsia="lt-LT"/>
                  </w:rPr>
                </w:pPr>
                <w:r>
                  <w:rPr>
                    <w:rFonts w:eastAsia="Calibri"/>
                    <w:szCs w:val="24"/>
                    <w:lang w:eastAsia="lt-LT"/>
                  </w:rPr>
                  <w:t>Patikslinamas subjektas, kuris atsakingas už ekspertizės aktų</w:t>
                </w:r>
                <w:r>
                  <w:rPr>
                    <w:szCs w:val="24"/>
                    <w:lang w:eastAsia="lt-LT"/>
                  </w:rPr>
                  <w:t xml:space="preserve"> nuasmeninimą, numatant, kad už tinkamą duomenų pateikimą ekspertizės aktuose atsako asmenys, registruojantys ekspertizės aktus IS „Infostatyba“.</w:t>
                </w:r>
              </w:p>
              <w:p>
                <w:pPr>
                  <w:rPr>
                    <w:sz w:val="18"/>
                    <w:szCs w:val="18"/>
                  </w:rPr>
                </w:pPr>
              </w:p>
              <w:p>
                <w:pPr>
                  <w:jc w:val="both"/>
                  <w:rPr>
                    <w:color w:val="000000"/>
                    <w:szCs w:val="24"/>
                    <w:lang w:eastAsia="en-GB"/>
                  </w:rPr>
                </w:pPr>
                <w:r>
                  <w:rPr>
                    <w:rFonts w:eastAsia="Calibri"/>
                    <w:szCs w:val="24"/>
                    <w:lang w:eastAsia="lt-LT"/>
                  </w:rPr>
                  <w:t xml:space="preserve">Patikslinama, </w:t>
                </w:r>
                <w:r>
                  <w:rPr>
                    <w:color w:val="000000"/>
                    <w:szCs w:val="24"/>
                    <w:lang w:eastAsia="en-GB"/>
                  </w:rPr>
                  <w:t xml:space="preserve">kokie konkretūs asmens duomenys turi būti nuasmeninti, nuasmeninant ekspertizės aktus. Pagal šiuo metu galiojančią STR </w:t>
                </w:r>
                <w:r>
                  <w:rPr>
                    <w:rFonts w:eastAsia="Calibri"/>
                    <w:szCs w:val="24"/>
                    <w:lang w:eastAsia="lt-LT"/>
                  </w:rPr>
                  <w:t>1.04.04:2017</w:t>
                </w:r>
                <w:r>
                  <w:rPr>
                    <w:color w:val="000000"/>
                    <w:szCs w:val="24"/>
                    <w:lang w:eastAsia="en-GB"/>
                  </w:rPr>
                  <w:t xml:space="preserve"> 120</w:t>
                </w:r>
                <w:r>
                  <w:rPr>
                    <w:color w:val="000000"/>
                    <w:szCs w:val="24"/>
                    <w:vertAlign w:val="superscript"/>
                    <w:lang w:eastAsia="en-GB"/>
                  </w:rPr>
                  <w:t xml:space="preserve">1 </w:t>
                </w:r>
                <w:r>
                  <w:rPr>
                    <w:color w:val="000000"/>
                    <w:szCs w:val="24"/>
                    <w:lang w:eastAsia="en-GB"/>
                  </w:rPr>
                  <w:t xml:space="preserve">normos formuluotę kyla neaiškumų, kurie ekspertizės akte esantys asmens duomenys turi būti nuasmeninti. Kyla rizika, kad asmens duomenys bus nuasmeninti netinkamai, paskelbiant nuasmenintinus asmenis duomenis. Taip pat kyla rizika, kad nuasmeninus visus asmens duomenis, ekspertizės rangovai, vykdantys pakartotines ekspertizes, negalės tinkamai įgyvendinti nustatytų funkcijų.   Nuasmeninus visus fizinių asmenų duomenis, praktikoje taptų neįgyvendinamos STR </w:t>
                </w:r>
                <w:r>
                  <w:rPr>
                    <w:rFonts w:eastAsia="Calibri"/>
                    <w:szCs w:val="24"/>
                    <w:lang w:eastAsia="lt-LT"/>
                  </w:rPr>
                  <w:t xml:space="preserve">1.04.04:2017 </w:t>
                </w:r>
                <w:r>
                  <w:rPr>
                    <w:color w:val="000000"/>
                    <w:szCs w:val="24"/>
                    <w:lang w:eastAsia="en-GB"/>
                  </w:rPr>
                  <w:t>120</w:t>
                </w:r>
                <w:r>
                  <w:rPr>
                    <w:color w:val="000000"/>
                    <w:szCs w:val="24"/>
                    <w:vertAlign w:val="superscript"/>
                    <w:lang w:eastAsia="en-GB"/>
                  </w:rPr>
                  <w:t>2</w:t>
                </w:r>
                <w:r>
                  <w:rPr>
                    <w:color w:val="000000"/>
                    <w:szCs w:val="24"/>
                    <w:lang w:eastAsia="en-GB"/>
                  </w:rPr>
                  <w:t xml:space="preserve"> – 120</w:t>
                </w:r>
                <w:r>
                  <w:rPr>
                    <w:color w:val="000000"/>
                    <w:szCs w:val="24"/>
                    <w:vertAlign w:val="superscript"/>
                    <w:lang w:eastAsia="en-GB"/>
                  </w:rPr>
                  <w:t>3</w:t>
                </w:r>
                <w:r>
                  <w:rPr>
                    <w:color w:val="000000"/>
                    <w:szCs w:val="24"/>
                    <w:lang w:eastAsia="en-GB"/>
                  </w:rPr>
                  <w:t>p. nuostatos, numatančios galimybę ekspertizės rangovams IS „Infostatyba“ peržiūrėti savo ar kito ekspertizės rangovo atliktos ekspertizės aktus ir juose nurodytas pastabas, kai atliekama pakartotinė tų pačių objektų ekspertizė, kadangi IS „Infostatyba“ nebūtų galima atlikti paieškos pagal statybos dalyvius (projektuotoją, projekto vadovą ir pan.), kai jie yra fiziniai asmenys, pagal objektų adresus, kai jie susiję su fiziniams asmenims priklausančiais statiniais, jų statybos projektais. Kartu taptų neįgyvendinama Statybos įstatymo 17 straipsnio 6 dalies 9 punkto nuostata, pagal kurią, k</w:t>
                </w:r>
                <w:r>
                  <w:rPr>
                    <w:color w:val="000000"/>
                    <w:szCs w:val="24"/>
                    <w:lang w:eastAsia="lt-LT"/>
                  </w:rPr>
                  <w:t xml:space="preserve">ai statinio projekto ar statinio ekspertizė atliekama pakartotinai, </w:t>
                </w:r>
                <w:r>
                  <w:rPr>
                    <w:color w:val="000000"/>
                    <w:szCs w:val="24"/>
                    <w:lang w:eastAsia="en-GB"/>
                  </w:rPr>
                  <w:t>statinio ekspertizės rangovas</w:t>
                </w:r>
                <w:r>
                  <w:rPr>
                    <w:color w:val="000000"/>
                    <w:szCs w:val="24"/>
                    <w:lang w:eastAsia="lt-LT"/>
                  </w:rPr>
                  <w:t xml:space="preserve"> privalo išnagrinėti pirminę ekspertizę atlikusio ekspertizės rangovo Lietuvos Respublikos statybos leidimų ir statybos valstybinės priežiūros informacinėje sistemoje „Infostatyba“ pateiktas pastabas ir į jas atsižvelgti arba atmesti, nurodant argumentus. </w:t>
                </w:r>
                <w:r>
                  <w:rPr>
                    <w:color w:val="000000"/>
                    <w:szCs w:val="24"/>
                    <w:lang w:eastAsia="en-GB"/>
                  </w:rPr>
                  <w:t>Atitinkamai būtina patikslinti ir sukonkretinti nuasmenintinų duomenų apimtį, užtikrinant duomenų, būtinų ekspertizės rangovų funkcijoms vykdyti, nenuasmeninimą.</w:t>
                </w:r>
              </w:p>
              <w:p>
                <w:pPr>
                  <w:rPr>
                    <w:sz w:val="18"/>
                    <w:szCs w:val="18"/>
                  </w:rPr>
                </w:pPr>
              </w:p>
              <w:p>
                <w:pPr>
                  <w:jc w:val="both"/>
                  <w:rPr>
                    <w:szCs w:val="24"/>
                    <w:lang w:eastAsia="lt-LT"/>
                  </w:rPr>
                </w:pPr>
                <w:r>
                  <w:rPr>
                    <w:color w:val="000000"/>
                    <w:szCs w:val="24"/>
                    <w:lang w:eastAsia="en-GB"/>
                  </w:rPr>
                  <w:t xml:space="preserve">Taip pat patikslinama ekspertizės rangovų teisės peržiūrėti ankstesnių ekspertizių duomenis apimtis, numatant, kad </w:t>
                </w:r>
                <w:r>
                  <w:rPr>
                    <w:szCs w:val="24"/>
                    <w:lang w:eastAsia="lt-LT"/>
                  </w:rPr>
                  <w:t>draudžiama peržiūrėti IS „Infostatyba“ duomenis, kurie nėra susiję su ekspertizės rangovų teikiamomis paslaugomis.</w:t>
                </w:r>
                <w:r>
                  <w:rPr>
                    <w:rFonts w:eastAsia="Calibri"/>
                    <w:szCs w:val="24"/>
                    <w:lang w:eastAsia="lt-LT"/>
                  </w:rPr>
                  <w:t xml:space="preserve"> </w:t>
                </w:r>
              </w:p>
            </w:tc>
          </w:tr>
          <w:tr>
            <w:tc>
              <w:tcPr>
                <w:tcW w:w="2235" w:type="dxa"/>
                <w:shd w:val="clear" w:color="auto" w:fill="DBE5F1"/>
                <w:tcMar>
                  <w:top w:w="0" w:type="dxa"/>
                  <w:left w:w="108" w:type="dxa"/>
                  <w:bottom w:w="0" w:type="dxa"/>
                  <w:right w:w="108" w:type="dxa"/>
                </w:tcMar>
              </w:tcPr>
              <w:p>
                <w:pPr>
                  <w:rPr>
                    <w:b/>
                    <w:bCs/>
                    <w:szCs w:val="24"/>
                    <w:lang w:eastAsia="lt-LT"/>
                  </w:rPr>
                </w:pPr>
              </w:p>
            </w:tc>
            <w:tc>
              <w:tcPr>
                <w:tcW w:w="7337" w:type="dxa"/>
                <w:shd w:val="clear" w:color="auto" w:fill="DBE5F1"/>
                <w:tcMar>
                  <w:top w:w="0" w:type="dxa"/>
                  <w:left w:w="108" w:type="dxa"/>
                  <w:bottom w:w="0" w:type="dxa"/>
                  <w:right w:w="108" w:type="dxa"/>
                </w:tcMar>
              </w:tcPr>
              <w:p>
                <w:pPr>
                  <w:jc w:val="both"/>
                  <w:rPr>
                    <w:rFonts w:eastAsia="Calibri"/>
                    <w:szCs w:val="24"/>
                    <w:lang w:eastAsia="lt-LT"/>
                  </w:rPr>
                </w:pPr>
              </w:p>
            </w:tc>
          </w:tr>
        </w:tbl>
        <w:p>
          <w:pPr>
            <w:rPr>
              <w:sz w:val="16"/>
              <w:szCs w:val="16"/>
              <w:lang w:eastAsia="lt-LT"/>
            </w:rPr>
          </w:pPr>
        </w:p>
        <w:tbl>
          <w:tblPr>
            <w:tblW w:w="0" w:type="auto"/>
            <w:tblCellMar>
              <w:left w:w="0" w:type="dxa"/>
              <w:right w:w="0" w:type="dxa"/>
            </w:tblCellMar>
            <w:tblLook w:val="04A0" w:firstRow="1" w:lastRow="0" w:firstColumn="1" w:lastColumn="0" w:noHBand="0" w:noVBand="1"/>
          </w:tblPr>
          <w:tblGrid>
            <w:gridCol w:w="2164"/>
            <w:gridCol w:w="7442"/>
          </w:tblGrid>
          <w:tr>
            <w:trPr>
              <w:trHeight w:val="415"/>
            </w:trPr>
            <w:tc>
              <w:tcPr>
                <w:tcW w:w="2164" w:type="dxa"/>
                <w:shd w:val="clear" w:color="auto" w:fill="DBE5F1"/>
                <w:tcMar>
                  <w:top w:w="0" w:type="dxa"/>
                  <w:left w:w="108" w:type="dxa"/>
                  <w:bottom w:w="0" w:type="dxa"/>
                  <w:right w:w="108" w:type="dxa"/>
                </w:tcMar>
                <w:hideMark/>
              </w:tcPr>
              <w:p>
                <w:pPr>
                  <w:ind w:firstLine="62"/>
                  <w:rPr>
                    <w:szCs w:val="24"/>
                    <w:lang w:eastAsia="lt-LT"/>
                  </w:rPr>
                </w:pPr>
              </w:p>
            </w:tc>
            <w:tc>
              <w:tcPr>
                <w:tcW w:w="7442" w:type="dxa"/>
                <w:shd w:val="clear" w:color="auto" w:fill="DBE5F1"/>
                <w:tcMar>
                  <w:top w:w="0" w:type="dxa"/>
                  <w:left w:w="108" w:type="dxa"/>
                  <w:bottom w:w="0" w:type="dxa"/>
                  <w:right w:w="108" w:type="dxa"/>
                </w:tcMar>
                <w:hideMark/>
              </w:tcPr>
              <w:p>
                <w:pPr>
                  <w:jc w:val="center"/>
                  <w:rPr>
                    <w:szCs w:val="24"/>
                    <w:lang w:eastAsia="lt-LT"/>
                  </w:rPr>
                </w:pPr>
                <w:r>
                  <w:rPr>
                    <w:b/>
                    <w:bCs/>
                    <w:szCs w:val="24"/>
                    <w:lang w:eastAsia="lt-LT"/>
                  </w:rPr>
                  <w:t xml:space="preserve">Siūlomo projekto poveikio įvertinimas </w:t>
                </w:r>
              </w:p>
              <w:p>
                <w:pPr>
                  <w:jc w:val="center"/>
                  <w:rPr>
                    <w:szCs w:val="24"/>
                    <w:lang w:eastAsia="lt-LT"/>
                  </w:rPr>
                </w:pPr>
                <w:r>
                  <w:rPr>
                    <w:b/>
                    <w:bCs/>
                    <w:szCs w:val="24"/>
                    <w:lang w:eastAsia="lt-LT"/>
                  </w:rPr>
                  <w:t>(teigiamos ir (ar) neigiamos pasekmės)*</w:t>
                </w:r>
              </w:p>
            </w:tc>
          </w:tr>
        </w:tbl>
        <w:p>
          <w:pPr>
            <w:rPr>
              <w:sz w:val="16"/>
              <w:szCs w:val="16"/>
              <w:lang w:eastAsia="lt-LT"/>
            </w:rPr>
          </w:pPr>
        </w:p>
        <w:tbl>
          <w:tblPr>
            <w:tblW w:w="0" w:type="auto"/>
            <w:tblCellMar>
              <w:left w:w="0" w:type="dxa"/>
              <w:right w:w="0" w:type="dxa"/>
            </w:tblCellMar>
            <w:tblLook w:val="04A0" w:firstRow="1" w:lastRow="0" w:firstColumn="1" w:lastColumn="0" w:noHBand="0" w:noVBand="1"/>
          </w:tblPr>
          <w:tblGrid>
            <w:gridCol w:w="2943"/>
            <w:gridCol w:w="6663"/>
          </w:tblGrid>
          <w:tr>
            <w:tc>
              <w:tcPr>
                <w:tcW w:w="2943" w:type="dxa"/>
                <w:shd w:val="clear" w:color="auto" w:fill="DBE5F1"/>
                <w:tcMar>
                  <w:top w:w="0" w:type="dxa"/>
                  <w:left w:w="108" w:type="dxa"/>
                  <w:bottom w:w="0" w:type="dxa"/>
                  <w:right w:w="108" w:type="dxa"/>
                </w:tcMar>
                <w:hideMark/>
              </w:tcPr>
              <w:p>
                <w:pPr>
                  <w:rPr>
                    <w:szCs w:val="24"/>
                    <w:lang w:eastAsia="lt-LT"/>
                  </w:rPr>
                </w:pPr>
                <w:r>
                  <w:rPr>
                    <w:b/>
                    <w:bCs/>
                    <w:szCs w:val="24"/>
                    <w:lang w:eastAsia="lt-LT"/>
                  </w:rPr>
                  <w:t xml:space="preserve">Poveikis </w:t>
                </w:r>
                <w:r>
                  <w:rPr>
                    <w:b/>
                    <w:color w:val="000000"/>
                    <w:szCs w:val="24"/>
                    <w:lang w:eastAsia="lt-LT"/>
                  </w:rPr>
                  <w:t>statybos teisinio reguliavimo sričiai</w:t>
                </w:r>
              </w:p>
            </w:tc>
            <w:tc>
              <w:tcPr>
                <w:tcW w:w="6663" w:type="dxa"/>
                <w:tcMar>
                  <w:top w:w="0" w:type="dxa"/>
                  <w:left w:w="108" w:type="dxa"/>
                  <w:bottom w:w="0" w:type="dxa"/>
                  <w:right w:w="108" w:type="dxa"/>
                </w:tcMar>
                <w:hideMark/>
              </w:tcPr>
              <w:p>
                <w:pPr>
                  <w:jc w:val="both"/>
                  <w:rPr>
                    <w:szCs w:val="24"/>
                    <w:lang w:eastAsia="lt-LT"/>
                  </w:rPr>
                </w:pPr>
                <w:r>
                  <w:rPr>
                    <w:szCs w:val="24"/>
                    <w:lang w:eastAsia="lt-LT"/>
                  </w:rPr>
                  <w:t xml:space="preserve">Teigiamas poveikis; užtikrinamas tinkama asmens duomenų apsauga registruojant ekspertizės aktus IS „Infostatyba“ ir juos peržiūrint. </w:t>
                </w:r>
              </w:p>
            </w:tc>
          </w:tr>
        </w:tbl>
        <w:p>
          <w:pPr>
            <w:rPr>
              <w:sz w:val="16"/>
              <w:szCs w:val="16"/>
              <w:lang w:eastAsia="lt-LT"/>
            </w:rPr>
          </w:pPr>
        </w:p>
        <w:tbl>
          <w:tblPr>
            <w:tblW w:w="9464" w:type="dxa"/>
            <w:tblCellMar>
              <w:left w:w="0" w:type="dxa"/>
              <w:right w:w="0" w:type="dxa"/>
            </w:tblCellMar>
            <w:tblLook w:val="04A0" w:firstRow="1" w:lastRow="0" w:firstColumn="1" w:lastColumn="0" w:noHBand="0" w:noVBand="1"/>
          </w:tblPr>
          <w:tblGrid>
            <w:gridCol w:w="2943"/>
            <w:gridCol w:w="6521"/>
          </w:tblGrid>
          <w:tr>
            <w:tc>
              <w:tcPr>
                <w:tcW w:w="2943" w:type="dxa"/>
                <w:shd w:val="clear" w:color="auto" w:fill="DBE5F1"/>
                <w:tcMar>
                  <w:top w:w="0" w:type="dxa"/>
                  <w:left w:w="108" w:type="dxa"/>
                  <w:bottom w:w="0" w:type="dxa"/>
                  <w:right w:w="108" w:type="dxa"/>
                </w:tcMar>
                <w:hideMark/>
              </w:tcPr>
              <w:p>
                <w:pPr>
                  <w:rPr>
                    <w:szCs w:val="24"/>
                    <w:lang w:eastAsia="lt-LT"/>
                  </w:rPr>
                </w:pPr>
                <w:r>
                  <w:rPr>
                    <w:b/>
                    <w:bCs/>
                    <w:szCs w:val="24"/>
                    <w:lang w:eastAsia="lt-LT"/>
                  </w:rPr>
                  <w:t xml:space="preserve">Poveikis </w:t>
                </w:r>
              </w:p>
              <w:p>
                <w:pPr>
                  <w:rPr>
                    <w:b/>
                    <w:bCs/>
                    <w:szCs w:val="24"/>
                    <w:lang w:eastAsia="lt-LT"/>
                  </w:rPr>
                </w:pPr>
                <w:r>
                  <w:rPr>
                    <w:b/>
                    <w:bCs/>
                    <w:szCs w:val="24"/>
                    <w:lang w:eastAsia="lt-LT"/>
                  </w:rPr>
                  <w:t>valstybės finansams</w:t>
                </w:r>
              </w:p>
              <w:p>
                <w:pPr>
                  <w:rPr>
                    <w:szCs w:val="24"/>
                    <w:lang w:eastAsia="lt-LT"/>
                  </w:rPr>
                </w:pPr>
              </w:p>
            </w:tc>
            <w:tc>
              <w:tcPr>
                <w:tcW w:w="6521" w:type="dxa"/>
                <w:tcMar>
                  <w:top w:w="0" w:type="dxa"/>
                  <w:left w:w="108" w:type="dxa"/>
                  <w:bottom w:w="0" w:type="dxa"/>
                  <w:right w:w="108" w:type="dxa"/>
                </w:tcMar>
                <w:hideMark/>
              </w:tcPr>
              <w:p>
                <w:pPr>
                  <w:jc w:val="both"/>
                  <w:rPr>
                    <w:szCs w:val="24"/>
                    <w:lang w:eastAsia="lt-LT"/>
                  </w:rPr>
                </w:pPr>
                <w:r>
                  <w:rPr>
                    <w:szCs w:val="24"/>
                    <w:lang w:eastAsia="lt-LT"/>
                  </w:rPr>
                  <w:t>Poveikis valstybės finansams nenumatomas.</w:t>
                </w:r>
              </w:p>
            </w:tc>
          </w:tr>
        </w:tbl>
        <w:p>
          <w:pPr>
            <w:rPr>
              <w:sz w:val="16"/>
              <w:szCs w:val="16"/>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3"/>
          </w:tblGrid>
          <w:tr>
            <w:tc>
              <w:tcPr>
                <w:tcW w:w="2943" w:type="dxa"/>
                <w:tcBorders>
                  <w:top w:val="nil"/>
                  <w:left w:val="nil"/>
                  <w:bottom w:val="nil"/>
                  <w:right w:val="nil"/>
                </w:tcBorders>
                <w:shd w:val="clear" w:color="auto" w:fill="DBE5F1"/>
              </w:tcPr>
              <w:p>
                <w:pPr>
                  <w:shd w:val="clear" w:color="auto" w:fill="DBE5F1"/>
                  <w:rPr>
                    <w:b/>
                    <w:szCs w:val="24"/>
                    <w:lang w:eastAsia="lt-LT"/>
                  </w:rPr>
                </w:pPr>
                <w:r>
                  <w:rPr>
                    <w:b/>
                    <w:szCs w:val="24"/>
                    <w:lang w:eastAsia="lt-LT"/>
                  </w:rPr>
                  <w:t>Poveikis administracinei naštai</w:t>
                </w:r>
              </w:p>
            </w:tc>
          </w:tr>
        </w:tbl>
        <w:p>
          <w:pPr>
            <w:rPr>
              <w:sz w:val="16"/>
              <w:szCs w:val="16"/>
              <w:lang w:eastAsia="lt-LT"/>
            </w:rPr>
          </w:pPr>
          <w:r>
            <w:rPr>
              <w:szCs w:val="24"/>
              <w:lang w:eastAsia="lt-LT"/>
            </w:rPr>
            <w:t>Poveikis administracinei naštai nepasikeis.</w:t>
          </w:r>
          <w:r>
            <w:rPr>
              <w:sz w:val="16"/>
              <w:szCs w:val="16"/>
              <w:lang w:eastAsia="lt-LT"/>
            </w:rPr>
            <w:br w:type="textWrapping" w:clear="all"/>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3"/>
            <w:gridCol w:w="6344"/>
          </w:tblGrid>
          <w:tr>
            <w:tc>
              <w:tcPr>
                <w:tcW w:w="2943" w:type="dxa"/>
                <w:tcBorders>
                  <w:top w:val="nil"/>
                  <w:left w:val="nil"/>
                  <w:bottom w:val="nil"/>
                  <w:right w:val="nil"/>
                </w:tcBorders>
                <w:shd w:val="clear" w:color="auto" w:fill="DBE5F1"/>
              </w:tcPr>
              <w:p>
                <w:pPr>
                  <w:shd w:val="clear" w:color="auto" w:fill="DBE5F1"/>
                  <w:rPr>
                    <w:b/>
                    <w:szCs w:val="24"/>
                    <w:lang w:eastAsia="lt-LT"/>
                  </w:rPr>
                </w:pPr>
                <w:r>
                  <w:rPr>
                    <w:b/>
                    <w:szCs w:val="24"/>
                    <w:lang w:eastAsia="lt-LT"/>
                  </w:rPr>
                  <w:t>Poveikis aplinkai ir klimato kaitai</w:t>
                </w:r>
              </w:p>
            </w:tc>
            <w:tc>
              <w:tcPr>
                <w:tcW w:w="6344" w:type="dxa"/>
                <w:tcBorders>
                  <w:top w:val="nil"/>
                  <w:left w:val="nil"/>
                  <w:bottom w:val="nil"/>
                  <w:right w:val="nil"/>
                </w:tcBorders>
                <w:hideMark/>
              </w:tcPr>
              <w:p>
                <w:pPr>
                  <w:spacing w:line="276" w:lineRule="auto"/>
                  <w:jc w:val="both"/>
                  <w:rPr>
                    <w:sz w:val="22"/>
                    <w:szCs w:val="22"/>
                    <w:lang w:eastAsia="lt-LT"/>
                  </w:rPr>
                </w:pPr>
                <w:r>
                  <w:rPr>
                    <w:szCs w:val="24"/>
                    <w:lang w:eastAsia="lt-LT"/>
                  </w:rPr>
                  <w:t xml:space="preserve">Poveikis nepasikeis.  </w:t>
                </w:r>
              </w:p>
            </w:tc>
          </w:tr>
        </w:tbl>
        <w:p>
          <w:pPr>
            <w:rPr>
              <w:sz w:val="16"/>
              <w:szCs w:val="16"/>
              <w:lang w:eastAsia="lt-LT"/>
            </w:rPr>
          </w:pPr>
        </w:p>
        <w:tbl>
          <w:tblPr>
            <w:tblW w:w="9656" w:type="dxa"/>
            <w:tblLook w:val="00A0" w:firstRow="1" w:lastRow="0" w:firstColumn="1" w:lastColumn="0" w:noHBand="0" w:noVBand="0"/>
          </w:tblPr>
          <w:tblGrid>
            <w:gridCol w:w="9656"/>
          </w:tblGrid>
          <w:tr>
            <w:trPr>
              <w:trHeight w:val="711"/>
            </w:trPr>
            <w:tc>
              <w:tcPr>
                <w:tcW w:w="9656" w:type="dxa"/>
                <w:shd w:val="clear" w:color="auto" w:fill="DBE5F1"/>
                <w:hideMark/>
              </w:tcPr>
              <w:p>
                <w:pPr>
                  <w:spacing w:line="276" w:lineRule="auto"/>
                  <w:rPr>
                    <w:b/>
                    <w:szCs w:val="24"/>
                    <w:lang w:eastAsia="lt-LT"/>
                  </w:rPr>
                </w:pPr>
                <w:r>
                  <w:rPr>
                    <w:b/>
                    <w:szCs w:val="24"/>
                    <w:lang w:eastAsia="lt-LT"/>
                  </w:rPr>
                  <w:t>Kita svarbi informacija</w:t>
                </w:r>
              </w:p>
              <w:p>
                <w:pPr>
                  <w:rPr>
                    <w:sz w:val="6"/>
                    <w:szCs w:val="6"/>
                  </w:rPr>
                </w:pPr>
              </w:p>
              <w:p>
                <w:pPr>
                  <w:jc w:val="both"/>
                  <w:rPr>
                    <w:rFonts w:eastAsia="Lucida Sans Unicode"/>
                    <w:iCs/>
                    <w:color w:val="000000"/>
                    <w:szCs w:val="24"/>
                    <w:lang w:eastAsia="lt-LT"/>
                  </w:rPr>
                </w:pPr>
                <w:r>
                  <w:rPr>
                    <w:rFonts w:eastAsia="Lucida Sans Unicode"/>
                    <w:iCs/>
                    <w:color w:val="000000"/>
                    <w:szCs w:val="24"/>
                    <w:lang w:eastAsia="lt-LT"/>
                  </w:rPr>
                  <w:t>Projektas darbo tvarka derintas su Valstybine teritorijų planavimo ir statybos inspekcija prie Aplinkos ministerija, pastabų negauta.</w:t>
                </w:r>
              </w:p>
            </w:tc>
          </w:tr>
        </w:tbl>
        <w:sdt>
          <w:sdtPr>
            <w:alias w:val="lentele"/>
            <w:tag w:val="part_c2f9bc0601054fb38eb19a8dc6eb454f"/>
            <w:lock w:val="sdtLocked"/>
            <w:richText/>
          </w:sdtPr>
          <w:sdtContent>
            <w:p>
              <w:pPr>
                <w:jc w:val="both"/>
                <w:rPr>
                  <w:b/>
                  <w:bCs/>
                  <w:szCs w:val="24"/>
                  <w:lang w:eastAsia="lt-LT"/>
                </w:rPr>
              </w:pPr>
              <w:sdt>
                <w:sdtPr>
                  <w:alias w:val="Pavadinimas"/>
                  <w:tag w:val="title_c2f9bc0601054fb38eb19a8dc6eb454f"/>
                  <w:lock w:val="sdtLocked"/>
                  <w:richText/>
                </w:sdtPr>
                <w:sdtContent>
                  <w:r>
                    <w:rPr>
                      <w:b/>
                      <w:bCs/>
                      <w:szCs w:val="24"/>
                      <w:lang w:eastAsia="lt-LT"/>
                    </w:rPr>
                    <w:t>Informacija apie asmenį ir instituciją, atsakingą už poveikio vertinimą</w:t>
                  </w:r>
                </w:sdtContent>
              </w:sdt>
            </w:p>
            <w:tbl>
              <w:tblPr>
                <w:tblW w:w="4874"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66"/>
                <w:gridCol w:w="6610"/>
              </w:tblGrid>
              <w:tr>
                <w:tc>
                  <w:tcPr>
                    <w:tcW w:w="1475" w:type="pct"/>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hideMark/>
                  </w:tcPr>
                  <w:p>
                    <w:pPr>
                      <w:ind w:firstLine="62"/>
                      <w:rPr>
                        <w:szCs w:val="24"/>
                        <w:lang w:eastAsia="lt-LT"/>
                      </w:rPr>
                    </w:pPr>
                    <w:r>
                      <w:rPr>
                        <w:szCs w:val="24"/>
                        <w:lang w:eastAsia="lt-LT"/>
                      </w:rPr>
                      <w:t>Vardas ir pavardė</w:t>
                    </w:r>
                  </w:p>
                </w:tc>
                <w:tc>
                  <w:tcPr>
                    <w:tcW w:w="3525" w:type="pct"/>
                    <w:tcBorders>
                      <w:top w:val="single" w:sz="8" w:space="0" w:color="auto"/>
                      <w:left w:val="nil"/>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Emanuelis Mituzas</w:t>
                    </w:r>
                  </w:p>
                </w:tc>
              </w:tr>
              <w:tr>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Pareigos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pPr>
                      <w:jc w:val="both"/>
                      <w:rPr>
                        <w:szCs w:val="24"/>
                        <w:lang w:eastAsia="lt-LT"/>
                      </w:rPr>
                    </w:pPr>
                    <w:r>
                      <w:rPr>
                        <w:szCs w:val="24"/>
                        <w:lang w:eastAsia="lt-LT"/>
                      </w:rPr>
                      <w:t>Statybos ir būsto politikos skyriaus vyriausiasis specialistas</w:t>
                    </w:r>
                  </w:p>
                </w:tc>
              </w:tr>
              <w:tr>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Institucija (padalinys)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pPr>
                      <w:jc w:val="both"/>
                      <w:rPr>
                        <w:szCs w:val="24"/>
                        <w:lang w:eastAsia="lt-LT"/>
                      </w:rPr>
                    </w:pPr>
                    <w:r>
                      <w:rPr>
                        <w:bCs/>
                        <w:szCs w:val="24"/>
                        <w:lang w:eastAsia="lt-LT"/>
                      </w:rPr>
                      <w:t>Lietuvos Respublikos aplinkos ministerijos Statybos ir būsto politikos grupė</w:t>
                    </w:r>
                  </w:p>
                </w:tc>
              </w:tr>
              <w:tr>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Telefono numeris ir elektroninio pašto adresas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pPr>
                      <w:widowControl w:val="0"/>
                      <w:suppressAutoHyphens/>
                      <w:jc w:val="both"/>
                      <w:rPr>
                        <w:rFonts w:eastAsia="Andale Sans UI"/>
                        <w:szCs w:val="24"/>
                        <w:lang w:eastAsia="lt-LT" w:bidi="en-US"/>
                      </w:rPr>
                    </w:pPr>
                    <w:r>
                      <w:rPr>
                        <w:rFonts w:eastAsia="Andale Sans UI" w:cs="Tahoma"/>
                        <w:szCs w:val="24"/>
                        <w:lang w:eastAsia="lt-LT" w:bidi="en-US"/>
                      </w:rPr>
                      <w:t>8 646 30265, el. p. emanuelis.mituzas@am.lt</w:t>
                    </w:r>
                  </w:p>
                </w:tc>
              </w:tr>
            </w:tbl>
            <w:p/>
          </w:sdtContent>
        </w:sdt>
        <w:sdt>
          <w:sdtPr>
            <w:alias w:val="pabaiga"/>
            <w:tag w:val="part_e2554059700947fdb28d6bf1bc11a179"/>
            <w:lock w:val="sdtLocked"/>
            <w:richText/>
          </w:sdtPr>
          <w:sdtContent>
            <w:p>
              <w:pPr>
                <w:jc w:val="center"/>
                <w:rPr>
                  <w:szCs w:val="24"/>
                  <w:lang w:eastAsia="lt-LT"/>
                </w:rPr>
              </w:pPr>
              <w:r>
                <w:rPr>
                  <w:szCs w:val="22"/>
                  <w:lang w:eastAsia="lt-LT"/>
                </w:rPr>
                <w:t>––––––––––––––––</w:t>
              </w:r>
            </w:p>
          </w:sdtContent>
        </w:sdt>
      </w:sdtContent>
    </w:sdt>
    <w:sectPr>
      <w:pgSz w:w="11906" w:h="16838"/>
      <w:pgMar w:top="1134" w:right="567" w:bottom="709"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3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9F3783-56C1-4363-8673-F61C5794C9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7504973">
      <w:bodyDiv w:val="1"/>
      <w:marLeft w:val="225"/>
      <w:marRight w:val="225"/>
      <w:marTop w:val="0"/>
      <w:marBottom w:val="0"/>
      <w:divBdr>
        <w:top w:val="none" w:sz="0" w:space="0" w:color="auto"/>
        <w:left w:val="none" w:sz="0" w:space="0" w:color="auto"/>
        <w:bottom w:val="none" w:sz="0" w:space="0" w:color="auto"/>
        <w:right w:val="none" w:sz="0" w:space="0" w:color="auto"/>
      </w:divBdr>
      <w:divsChild>
        <w:div w:id="1163207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c3e12787b9241de9caf5c83a958b5e5" PartId="d5255e9abef04d08a932ca6ffbf14d76">
    <Part Type="lentele" Title="Informacija apie asmenį ir instituciją, atsakingą už poveikio vertinimą" DocPartId="890c06fb0b78454e9a12631df8df0375" PartId="c2f9bc0601054fb38eb19a8dc6eb454f"/>
    <Part Type="pabaiga" DocPartId="160a202768ee4e08b7528e1cd846c12f" PartId="e2554059700947fdb28d6bf1bc11a179"/>
  </Part>
</Parts>
</file>

<file path=customXml/itemProps1.xml><?xml version="1.0" encoding="utf-8"?>
<ds:datastoreItem xmlns:ds="http://schemas.openxmlformats.org/officeDocument/2006/customXml" ds:itemID="{D77F26CB-8507-45B5-9490-41145F919A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451</Words>
  <Characters>3487</Characters>
  <Application>Microsoft Office Word</Application>
  <DocSecurity>4</DocSecurity>
  <Lines>94</Lines>
  <Paragraphs>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3902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2023-12-06T13:39:00Z</dcterms:created>
  <dc:creator>v.siaudinyte</dc:creator>
  <lastModifiedBy>adlibuser</lastModifiedBy>
  <lastPrinted>2019-02-05T08:15:00Z</lastPrinted>
  <dcterms:modified xsi:type="dcterms:W3CDTF">2023-12-06T13:39:00Z</dcterms:modified>
  <revision>2</revision>
</coreProperties>
</file>