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28184e6c70344eeba81df4f61926c10"/>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tbl>
                <w:tblPr>
                  <w:tblW w:w="0" w:type="auto"/>
                  <w:tblLayout w:type="fixed"/>
                  <w:tblLook w:val="06A0" w:firstRow="1" w:lastRow="0" w:firstColumn="1" w:lastColumn="0" w:noHBand="1" w:noVBand="1"/>
                </w:tblPr>
                <w:tblGrid>
                  <w:gridCol w:w="3210"/>
                  <w:gridCol w:w="3210"/>
                  <w:gridCol w:w="3210"/>
                </w:tblGrid>
                <w:tr>
                  <w:tc>
                    <w:tcPr>
                      <w:tcW w:w="3210" w:type="dxa"/>
                    </w:tcPr>
                    <w:p>
                      <w:pPr>
                        <w:suppressLineNumbers/>
                        <w:tabs>
                          <w:tab w:val="center" w:pos="4800"/>
                          <w:tab w:val="right" w:pos="9601"/>
                        </w:tabs>
                        <w:ind w:left="-115"/>
                        <w:rPr>
                          <w:rFonts w:eastAsia="Andale Sans UI" w:cs="Tahoma"/>
                          <w:szCs w:val="24"/>
                          <w:lang w:bidi="en-US"/>
                        </w:rPr>
                      </w:pPr>
                    </w:p>
                  </w:tc>
                  <w:tc>
                    <w:tcPr>
                      <w:tcW w:w="3210" w:type="dxa"/>
                    </w:tcPr>
                    <w:p>
                      <w:pPr>
                        <w:suppressLineNumbers/>
                        <w:tabs>
                          <w:tab w:val="center" w:pos="4800"/>
                          <w:tab w:val="right" w:pos="9601"/>
                        </w:tabs>
                        <w:jc w:val="center"/>
                        <w:rPr>
                          <w:rFonts w:eastAsia="Andale Sans UI" w:cs="Tahoma"/>
                          <w:szCs w:val="24"/>
                          <w:lang w:bidi="en-US"/>
                        </w:rPr>
                      </w:pPr>
                    </w:p>
                  </w:tc>
                  <w:tc>
                    <w:tcPr>
                      <w:tcW w:w="3210" w:type="dxa"/>
                    </w:tcPr>
                    <w:p>
                      <w:pPr>
                        <w:suppressLineNumbers/>
                        <w:tabs>
                          <w:tab w:val="center" w:pos="4800"/>
                          <w:tab w:val="right" w:pos="9601"/>
                        </w:tabs>
                        <w:ind w:right="-115"/>
                        <w:jc w:val="right"/>
                        <w:rPr>
                          <w:rFonts w:eastAsia="Andale Sans UI" w:cs="Tahoma"/>
                          <w:szCs w:val="24"/>
                          <w:lang w:bidi="en-US"/>
                        </w:rPr>
                      </w:pPr>
                    </w:p>
                  </w:tc>
                </w:tr>
              </w:tbl>
              <w:p>
                <w:pPr>
                  <w:suppressLineNumbers/>
                  <w:tabs>
                    <w:tab w:val="center" w:pos="4800"/>
                    <w:tab w:val="right" w:pos="9601"/>
                  </w:tabs>
                  <w:jc w:val="both"/>
                  <w:rPr>
                    <w:rFonts w:eastAsia="Andale Sans UI" w:cs="Tahoma"/>
                    <w:szCs w:val="24"/>
                    <w:lang w:bidi="en-US"/>
                  </w:rPr>
                </w:pPr>
              </w:p>
              <w:p>
                <w:pPr>
                  <w:suppressLineNumbers/>
                  <w:jc w:val="center"/>
                  <w:rPr>
                    <w:rFonts w:eastAsia="Andale Sans UI"/>
                    <w:b/>
                    <w:bCs/>
                    <w:spacing w:val="20"/>
                    <w:sz w:val="28"/>
                    <w:szCs w:val="28"/>
                    <w:lang w:bidi="en-US"/>
                  </w:rPr>
                </w:pPr>
                <w:r>
                  <w:rPr>
                    <w:rFonts w:eastAsia="Andale Sans UI"/>
                    <w:b/>
                    <w:bCs/>
                    <w:spacing w:val="20"/>
                    <w:sz w:val="26"/>
                    <w:szCs w:val="26"/>
                    <w:lang w:val="en-US"/>
                  </w:rPr>
                  <w:drawing>
                    <wp:inline distT="0" distB="0" distL="0" distR="0" wp14:anchorId="68D647D6" wp14:editId="7F8EC437">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suppressLineNumbers/>
                  <w:jc w:val="center"/>
                  <w:rPr>
                    <w:rFonts w:eastAsia="Andale Sans UI"/>
                    <w:b/>
                    <w:bCs/>
                    <w:spacing w:val="20"/>
                    <w:sz w:val="28"/>
                    <w:szCs w:val="28"/>
                    <w:lang w:bidi="en-US"/>
                  </w:rPr>
                </w:pPr>
                <w:r>
                  <w:rPr>
                    <w:rFonts w:eastAsia="Andale Sans UI"/>
                    <w:b/>
                    <w:bCs/>
                    <w:spacing w:val="20"/>
                    <w:sz w:val="28"/>
                    <w:szCs w:val="28"/>
                    <w:lang w:bidi="en-US"/>
                  </w:rPr>
                  <w:t>LIETUVOS RESPUBLIKOS APLINKOS MINISTERIJA</w:t>
                </w:r>
              </w:p>
              <w:p>
                <w:pPr>
                  <w:rPr>
                    <w:sz w:val="10"/>
                    <w:szCs w:val="10"/>
                  </w:rPr>
                </w:pPr>
              </w:p>
              <w:p>
                <w:pPr>
                  <w:suppressLineNumbers/>
                  <w:jc w:val="center"/>
                  <w:rPr>
                    <w:rFonts w:eastAsia="Andale Sans UI"/>
                    <w:b/>
                    <w:bCs/>
                    <w:spacing w:val="12"/>
                    <w:sz w:val="14"/>
                    <w:szCs w:val="14"/>
                    <w:lang w:bidi="en-US"/>
                  </w:rPr>
                </w:pPr>
                <w:r>
                  <w:rPr>
                    <w:rFonts w:eastAsia="Andale Sans UI"/>
                    <w:b/>
                    <w:bCs/>
                    <w:spacing w:val="12"/>
                    <w:sz w:val="14"/>
                    <w:szCs w:val="14"/>
                    <w:lang w:bidi="en-US"/>
                  </w:rPr>
                  <w:t>Biudžetinė įstaiga, A. Jakšto g. 4, LT-01105 Vilnius,</w:t>
                </w:r>
              </w:p>
              <w:p>
                <w:pPr>
                  <w:suppressLineNumbers/>
                  <w:jc w:val="center"/>
                  <w:rPr>
                    <w:rFonts w:eastAsia="Andale Sans UI"/>
                    <w:b/>
                    <w:bCs/>
                    <w:spacing w:val="12"/>
                    <w:sz w:val="14"/>
                    <w:szCs w:val="14"/>
                    <w:lang w:bidi="en-US"/>
                  </w:rPr>
                </w:pPr>
                <w:r>
                  <w:rPr>
                    <w:rFonts w:eastAsia="Andale Sans UI"/>
                    <w:b/>
                    <w:bCs/>
                    <w:spacing w:val="12"/>
                    <w:sz w:val="14"/>
                    <w:szCs w:val="14"/>
                    <w:lang w:bidi="en-US"/>
                  </w:rPr>
                  <w:t>tel. 8 626 22252, el. p. info@am.lt, https://am.lrv.lt.</w:t>
                </w:r>
              </w:p>
              <w:p>
                <w:pPr>
                  <w:suppressLineNumbers/>
                  <w:jc w:val="center"/>
                  <w:rPr>
                    <w:rFonts w:eastAsia="Andale Sans UI"/>
                    <w:b/>
                    <w:bCs/>
                    <w:spacing w:val="12"/>
                    <w:sz w:val="14"/>
                    <w:szCs w:val="14"/>
                    <w:lang w:bidi="en-US"/>
                  </w:rPr>
                </w:pPr>
                <w:r>
                  <w:rPr>
                    <w:rFonts w:eastAsia="Andale Sans UI"/>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szCs w:val="24"/>
                    <w:lang w:bidi="en-US"/>
                  </w:rPr>
                </w:pPr>
              </w:p>
            </w:tc>
          </w:tr>
          <w:tr>
            <w:trPr>
              <w:cantSplit/>
              <w:trHeight w:val="340"/>
            </w:trPr>
            <w:tc>
              <w:tcPr>
                <w:tcW w:w="4817" w:type="dxa"/>
                <w:vMerge w:val="restart"/>
                <w:tcMar>
                  <w:top w:w="0" w:type="dxa"/>
                  <w:left w:w="0" w:type="dxa"/>
                  <w:bottom w:w="0" w:type="dxa"/>
                  <w:right w:w="0" w:type="dxa"/>
                </w:tcMar>
              </w:tcPr>
              <w:p>
                <w:pPr>
                  <w:jc w:val="both"/>
                  <w:rPr>
                    <w:rFonts w:eastAsia="Andale Sans UI" w:cs="Tahoma"/>
                    <w:szCs w:val="24"/>
                    <w:lang w:bidi="en-US"/>
                  </w:rPr>
                </w:pPr>
                <w:r>
                  <w:rPr>
                    <w:rFonts w:eastAsia="Andale Sans UI" w:cs="Tahoma"/>
                    <w:szCs w:val="24"/>
                    <w:lang w:bidi="en-US"/>
                  </w:rPr>
                  <w:t>Adresatams pagal sąrašą</w:t>
                </w:r>
              </w:p>
              <w:p>
                <w:pPr>
                  <w:rPr>
                    <w:rFonts w:eastAsia="Andale Sans UI"/>
                    <w:spacing w:val="10"/>
                    <w:szCs w:val="24"/>
                    <w:lang w:bidi="en-US"/>
                  </w:rPr>
                </w:pPr>
              </w:p>
            </w:tc>
            <w:tc>
              <w:tcPr>
                <w:tcW w:w="282" w:type="dxa"/>
                <w:tcMar>
                  <w:top w:w="0" w:type="dxa"/>
                  <w:left w:w="0" w:type="dxa"/>
                  <w:bottom w:w="0" w:type="dxa"/>
                  <w:right w:w="0" w:type="dxa"/>
                </w:tcMar>
              </w:tcPr>
              <w:p>
                <w:pPr>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szCs w:val="24"/>
                    <w:lang w:bidi="en-US"/>
                  </w:rPr>
                </w:pPr>
                <w:r>
                  <w:rPr>
                    <w:rFonts w:eastAsia="Andale Sans UI"/>
                    <w:szCs w:val="24"/>
                    <w:lang w:bidi="en-US"/>
                  </w:rPr>
                  <w:t>2023</w:t>
                </w:r>
              </w:p>
            </w:tc>
            <w:tc>
              <w:tcPr>
                <w:tcW w:w="565" w:type="dxa"/>
              </w:tcPr>
              <w:p>
                <w:pPr>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r>
                  <w:rPr>
                    <w:rFonts w:eastAsia="Andale Sans UI" w:cs="Tahoma"/>
                    <w:szCs w:val="24"/>
                    <w:lang w:bidi="en-US"/>
                  </w:rPr>
                  <w:t>(14)-D8(E)</w:t>
                </w:r>
              </w:p>
            </w:tc>
          </w:tr>
          <w:tr>
            <w:trPr>
              <w:cantSplit/>
              <w:trHeight w:val="340"/>
            </w:trPr>
            <w:tc>
              <w:tcPr>
                <w:tcW w:w="4817" w:type="dxa"/>
                <w:vMerge/>
                <w:tcMar>
                  <w:top w:w="0" w:type="dxa"/>
                  <w:left w:w="0" w:type="dxa"/>
                  <w:bottom w:w="0" w:type="dxa"/>
                  <w:right w:w="0" w:type="dxa"/>
                </w:tcMar>
              </w:tcPr>
              <w:p>
                <w:pPr>
                  <w:jc w:val="both"/>
                  <w:rPr>
                    <w:rFonts w:eastAsia="Andale Sans UI"/>
                    <w:szCs w:val="24"/>
                    <w:lang w:bidi="en-US"/>
                  </w:rPr>
                </w:pPr>
              </w:p>
            </w:tc>
            <w:tc>
              <w:tcPr>
                <w:tcW w:w="282" w:type="dxa"/>
                <w:tcMar>
                  <w:top w:w="0" w:type="dxa"/>
                  <w:left w:w="0" w:type="dxa"/>
                  <w:bottom w:w="0" w:type="dxa"/>
                  <w:right w:w="0" w:type="dxa"/>
                </w:tcMar>
              </w:tcPr>
              <w:p>
                <w:pPr>
                  <w:tabs>
                    <w:tab w:val="left" w:pos="2869"/>
                  </w:tabs>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szCs w:val="24"/>
                    <w:lang w:bidi="en-US"/>
                  </w:rPr>
                </w:pPr>
              </w:p>
            </w:tc>
            <w:tc>
              <w:tcPr>
                <w:tcW w:w="565" w:type="dxa"/>
              </w:tcPr>
              <w:p>
                <w:pPr>
                  <w:tabs>
                    <w:tab w:val="left" w:pos="2869"/>
                  </w:tabs>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p>
            </w:tc>
          </w:tr>
          <w:tr>
            <w:trPr>
              <w:cantSplit/>
              <w:trHeight w:val="635"/>
            </w:trPr>
            <w:tc>
              <w:tcPr>
                <w:tcW w:w="4817" w:type="dxa"/>
                <w:vMerge/>
                <w:tcMar>
                  <w:top w:w="0" w:type="dxa"/>
                  <w:left w:w="0" w:type="dxa"/>
                  <w:bottom w:w="0" w:type="dxa"/>
                  <w:right w:w="0" w:type="dxa"/>
                </w:tcMar>
              </w:tcPr>
              <w:p>
                <w:pPr>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ind w:right="67"/>
                  <w:jc w:val="both"/>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jc w:val="both"/>
                  <w:textAlignment w:val="baseline"/>
                  <w:rPr>
                    <w:rFonts w:eastAsia="Andale Sans UI" w:cs="Tahoma"/>
                    <w:b/>
                    <w:bCs/>
                    <w:szCs w:val="24"/>
                    <w:highlight w:val="yellow"/>
                    <w:shd w:val="clear" w:color="auto" w:fill="FFFFFF"/>
                    <w:lang w:bidi="en-US"/>
                  </w:rPr>
                </w:pPr>
                <w:r>
                  <w:rPr>
                    <w:rFonts w:eastAsia="Andale Sans UI" w:cs="Tahoma"/>
                    <w:b/>
                    <w:bCs/>
                    <w:caps/>
                    <w:color w:val="000000"/>
                    <w:szCs w:val="24"/>
                    <w:lang w:eastAsia="en-GB" w:bidi="en-US"/>
                  </w:rPr>
                  <w:t>DĖL LIETUVOS RESPUBLIKOS APLINKOS MINISTRO 2016 M. LAPKRIČIO 7 D. ĮSAKYMO NR. D1-738 „DĖL STATYBOS TECHNINIO REGLAMENTO STR 1.04.04:2017 „STATINIO PROJEKTAVIMAS, PROJEKTO EKSPERTIZĖ“ PATVIRTINIMO“ PAKEITIMO projekto derinimo</w:t>
                </w:r>
              </w:p>
              <w:p>
                <w:pPr>
                  <w:suppressLineNumbers/>
                  <w:jc w:val="both"/>
                  <w:rPr>
                    <w:rFonts w:eastAsia="Andale Sans UI"/>
                    <w:b/>
                    <w:bCs/>
                    <w:szCs w:val="24"/>
                    <w:lang w:bidi="en-US"/>
                  </w:rPr>
                </w:pPr>
              </w:p>
            </w:tc>
          </w:tr>
        </w:tbl>
        <w:p/>
      </w:sdtContent>
    </w:sdt>
    <w:sdt>
      <w:sdtPr>
        <w:alias w:val="pastraipa"/>
        <w:tag w:val="part_42034f2c41cf4263993f3e05128e2b6e"/>
        <w:lock w:val="sdtLocked"/>
        <w:richText/>
      </w:sdtPr>
      <w:sdtContent>
        <w:p>
          <w:pPr>
            <w:widowControl w:val="0"/>
            <w:suppressAutoHyphens/>
            <w:spacing w:line="360" w:lineRule="auto"/>
            <w:ind w:firstLine="567"/>
            <w:jc w:val="both"/>
            <w:rPr>
              <w:rFonts w:eastAsia="Andale Sans UI" w:cs="Tahoma"/>
              <w:szCs w:val="24"/>
              <w:lang w:bidi="en-US"/>
            </w:rPr>
          </w:pPr>
          <w:r>
            <w:rPr>
              <w:rFonts w:eastAsia="Andale Sans UI" w:cs="Tahoma"/>
              <w:szCs w:val="24"/>
              <w:lang w:bidi="en-US"/>
            </w:rPr>
            <w:t xml:space="preserve">Aplinkos ministerija parengė Lietuvos Respublikos aplinkos ministro įsakymo „Dėl Lietuvos Respublikos aplinkos ministro 2016 m. lapkričio 7 d. įsakymo Nr. D1-738 „Dėl statybos techninio reglamento STR 1.04.04:2017 „Statinio projektavimas, projekto ekspertizė“ patvirtinimo“ pakeitimo projektą (toliau – Įsakymo projektas). </w:t>
          </w:r>
        </w:p>
      </w:sdtContent>
    </w:sdt>
    <w:sdt>
      <w:sdtPr>
        <w:alias w:val="pastraipa"/>
        <w:tag w:val="part_6abcbc61e6e44584a11dafeef7e7506f"/>
        <w:lock w:val="sdtLocked"/>
        <w:richText/>
      </w:sdtPr>
      <w:sdtContent>
        <w:p>
          <w:pPr>
            <w:spacing w:line="360" w:lineRule="auto"/>
            <w:ind w:firstLine="567"/>
            <w:jc w:val="both"/>
            <w:rPr>
              <w:rFonts w:eastAsia="Calibri"/>
              <w:szCs w:val="24"/>
              <w:lang w:bidi="en-US"/>
            </w:rPr>
          </w:pPr>
          <w:r>
            <w:rPr>
              <w:rFonts w:eastAsia="Calibri" w:cs="Tahoma"/>
              <w:szCs w:val="24"/>
              <w:lang w:bidi="en-US"/>
            </w:rPr>
            <w:t>Įsakymo projektą rengti paskatinusios priežastys – reikia</w:t>
          </w:r>
          <w:r>
            <w:rPr>
              <w:rFonts w:eastAsia="Calibri"/>
              <w:szCs w:val="24"/>
              <w:lang w:bidi="en-US"/>
            </w:rPr>
            <w:t xml:space="preserve"> pakeisti galiojančio statybos techninio reglamento STR 1.04.04:2017 „Statinio projektavimas, projekto ekspertizė“ (toliau – STR 1.04.04:2017) 120</w:t>
          </w:r>
          <w:r>
            <w:rPr>
              <w:rFonts w:eastAsia="Calibri"/>
              <w:szCs w:val="24"/>
              <w:vertAlign w:val="superscript"/>
              <w:lang w:bidi="en-US"/>
            </w:rPr>
            <w:t>1</w:t>
          </w:r>
          <w:r>
            <w:rPr>
              <w:rFonts w:eastAsia="Calibri"/>
              <w:szCs w:val="24"/>
              <w:lang w:bidi="en-US"/>
            </w:rPr>
            <w:t xml:space="preserve"> ir 120</w:t>
          </w:r>
          <w:r>
            <w:rPr>
              <w:rFonts w:eastAsia="Calibri"/>
              <w:szCs w:val="24"/>
              <w:vertAlign w:val="superscript"/>
              <w:lang w:bidi="en-US"/>
            </w:rPr>
            <w:t>3</w:t>
          </w:r>
          <w:r>
            <w:rPr>
              <w:rFonts w:eastAsia="Calibri"/>
              <w:szCs w:val="24"/>
              <w:lang w:bidi="en-US"/>
            </w:rPr>
            <w:t xml:space="preserve"> punktus patikslinant nustatytą reglamentavimą ir pašalinant praktikoje kylančius taikymo neaiškumus.  Nurodomas subjektas, kuris atsakingas už ekspertizės aktų</w:t>
          </w:r>
          <w:r>
            <w:rPr>
              <w:rFonts w:eastAsia="Andale Sans UI"/>
              <w:szCs w:val="24"/>
              <w:lang w:bidi="en-US"/>
            </w:rPr>
            <w:t xml:space="preserve"> nuasmeninimą, numatant, kad už tinkamą duomenų pateikimą ekspertizės aktuose atsako asmenys, registruojantys ekspertizės aktus IS „Infostatyba“.</w:t>
          </w:r>
          <w:r>
            <w:rPr>
              <w:rFonts w:eastAsia="Calibri"/>
              <w:szCs w:val="24"/>
              <w:lang w:bidi="en-US"/>
            </w:rPr>
            <w:t xml:space="preserve"> Patikslinama, </w:t>
          </w:r>
          <w:r>
            <w:rPr>
              <w:color w:val="000000"/>
              <w:szCs w:val="24"/>
              <w:lang w:eastAsia="en-GB" w:bidi="en-US"/>
            </w:rPr>
            <w:t xml:space="preserve">kokie asmens duomenys turi būti nuasmeninti ekspertizės aktuose. Pagal galiojančią STR </w:t>
          </w:r>
          <w:r>
            <w:rPr>
              <w:rFonts w:eastAsia="Calibri"/>
              <w:szCs w:val="24"/>
              <w:lang w:bidi="en-US"/>
            </w:rPr>
            <w:t>1.04.04:2017</w:t>
          </w:r>
          <w:r>
            <w:rPr>
              <w:color w:val="000000"/>
              <w:szCs w:val="24"/>
              <w:lang w:eastAsia="en-GB" w:bidi="en-US"/>
            </w:rPr>
            <w:t xml:space="preserve"> 120</w:t>
          </w:r>
          <w:r>
            <w:rPr>
              <w:color w:val="000000"/>
              <w:szCs w:val="24"/>
              <w:vertAlign w:val="superscript"/>
              <w:lang w:eastAsia="en-GB" w:bidi="en-US"/>
            </w:rPr>
            <w:t xml:space="preserve">1 </w:t>
          </w:r>
          <w:r>
            <w:rPr>
              <w:color w:val="000000"/>
              <w:szCs w:val="24"/>
              <w:lang w:eastAsia="en-GB" w:bidi="en-US"/>
            </w:rPr>
            <w:t xml:space="preserve">normos formuluotę kyla neaiškumų, kurie ekspertizės akte rašomi asmens duomenys turi būti nuasmeninti. Kyla rizika, kad bus dalis asmens duomenų, kurie turėtų būti nuasmeninti, bus nenuasmeninti. Taip pat kyla rizika, kad nuasmeninus per daug asmens duomenų, ekspertizės rangovai, vykdantys pakartotines ekspertizes, negalės tinkamai įgyvendinti funkcijų. Nuasmeninus visus fizinių asmenų duomenis, praktikoje taptų neįgyvendinamos STR </w:t>
          </w:r>
          <w:r>
            <w:rPr>
              <w:rFonts w:eastAsia="Calibri"/>
              <w:szCs w:val="24"/>
              <w:lang w:bidi="en-US"/>
            </w:rPr>
            <w:t xml:space="preserve">1.04.04:2017 </w:t>
          </w:r>
          <w:r>
            <w:rPr>
              <w:color w:val="000000"/>
              <w:szCs w:val="24"/>
              <w:lang w:eastAsia="en-GB" w:bidi="en-US"/>
            </w:rPr>
            <w:t>120</w:t>
          </w:r>
          <w:r>
            <w:rPr>
              <w:color w:val="000000"/>
              <w:szCs w:val="24"/>
              <w:vertAlign w:val="superscript"/>
              <w:lang w:eastAsia="en-GB" w:bidi="en-US"/>
            </w:rPr>
            <w:t>2</w:t>
          </w:r>
          <w:r>
            <w:rPr>
              <w:color w:val="000000"/>
              <w:szCs w:val="24"/>
              <w:lang w:eastAsia="en-GB" w:bidi="en-US"/>
            </w:rPr>
            <w:t xml:space="preserve"> ir 120</w:t>
          </w:r>
          <w:r>
            <w:rPr>
              <w:color w:val="000000"/>
              <w:szCs w:val="24"/>
              <w:vertAlign w:val="superscript"/>
              <w:lang w:eastAsia="en-GB" w:bidi="en-US"/>
            </w:rPr>
            <w:t>3</w:t>
          </w:r>
          <w:r>
            <w:rPr>
              <w:color w:val="000000"/>
              <w:szCs w:val="24"/>
              <w:lang w:eastAsia="en-GB" w:bidi="en-US"/>
            </w:rPr>
            <w:t>p. nuostatos, numatančios galimybę ekspertizės rangovams IS „Infostatyba“ peržiūrėti savo ar kito ekspertizės rangovo ekspertizės aktus ir juose nurodytas pastabas, kai atliekama pakartotinė tų pačių objektų ekspertizė, nes IS „Infostatyba“ nebūtų galima atlikti paieškos pagal statybos dalyvius (projektuotoją, projekto vadovą ir pan.), kai jie yra fiziniai asmenys, pagal objektų adresus, kai jie susiję su fiziniams asmenims priklausančiais statiniais, jų statybos projektais. Būtų neįgyvendinama Statybos įstatymo 17 straipsnio 6 dalies 9 punkto nuostata, pagal kurią, k</w:t>
          </w:r>
          <w:r>
            <w:rPr>
              <w:rFonts w:eastAsia="Andale Sans UI"/>
              <w:color w:val="000000"/>
              <w:szCs w:val="24"/>
              <w:lang w:bidi="en-US"/>
            </w:rPr>
            <w:t xml:space="preserve">ai statinio projekto ar statinio ekspertizė atliekama pakartotinai, </w:t>
          </w:r>
          <w:r>
            <w:rPr>
              <w:color w:val="000000"/>
              <w:szCs w:val="24"/>
              <w:lang w:eastAsia="en-GB" w:bidi="en-US"/>
            </w:rPr>
            <w:t>statinio ekspertizės rangovas</w:t>
          </w:r>
          <w:r>
            <w:rPr>
              <w:rFonts w:eastAsia="Andale Sans UI"/>
              <w:color w:val="000000"/>
              <w:szCs w:val="24"/>
              <w:lang w:bidi="en-US"/>
            </w:rPr>
            <w:t xml:space="preserve"> privalo išnagrinėti pirminę ekspertizę atlikusio ekspertizės rangovo IS „Infostatyba“ pateiktas pastabas ir į jas atsižvelgti arba atmesti, nurodant argumentus. </w:t>
          </w:r>
          <w:r>
            <w:rPr>
              <w:color w:val="000000"/>
              <w:szCs w:val="24"/>
              <w:lang w:eastAsia="en-GB" w:bidi="en-US"/>
            </w:rPr>
            <w:t>Būtina patikslinti ir sukonkretinti nuasmenintinus duomenis, užtikrinant duomenų, būtinų ekspertizės rangovų funkcijoms vykdyti, nenuasmeninimą.</w:t>
          </w:r>
          <w:r>
            <w:rPr>
              <w:rFonts w:eastAsia="Calibri"/>
              <w:szCs w:val="24"/>
              <w:lang w:bidi="en-US"/>
            </w:rPr>
            <w:t xml:space="preserve"> </w:t>
          </w:r>
          <w:r>
            <w:rPr>
              <w:color w:val="000000"/>
              <w:szCs w:val="24"/>
              <w:lang w:eastAsia="en-GB" w:bidi="en-US"/>
            </w:rPr>
            <w:t xml:space="preserve">Patikslinama ekspertizės rangovų teisės peržiūrėti ankstesnių ekspertizių duomenis apimtis, numatant, kad </w:t>
          </w:r>
          <w:r>
            <w:rPr>
              <w:rFonts w:eastAsia="Andale Sans UI"/>
              <w:szCs w:val="24"/>
              <w:lang w:bidi="en-US"/>
            </w:rPr>
            <w:t>draudžiama peržiūrėti IS „Infostatyba“ duomenis, kurie nesusiję su ekspertizės rangovų teikiamomis paslaugomis.</w:t>
          </w:r>
        </w:p>
      </w:sdtContent>
    </w:sdt>
    <w:sdt>
      <w:sdtPr>
        <w:alias w:val="pastraipa"/>
        <w:tag w:val="part_f78f7c24d5af4fbc8a2c063abef2eb3c"/>
        <w:lock w:val="sdtLocked"/>
        <w:richText/>
      </w:sdtPr>
      <w:sdtContent>
        <w:p>
          <w:pPr>
            <w:spacing w:line="360" w:lineRule="auto"/>
            <w:ind w:firstLine="567"/>
            <w:jc w:val="both"/>
            <w:rPr>
              <w:rFonts w:eastAsia="Calibri" w:cs="Tahoma"/>
              <w:color w:val="000000"/>
              <w:szCs w:val="22"/>
              <w:lang w:bidi="en-US"/>
            </w:rPr>
          </w:pPr>
          <w:r>
            <w:rPr>
              <w:rFonts w:eastAsia="Calibri" w:cs="Tahoma"/>
              <w:szCs w:val="24"/>
              <w:lang w:bidi="en-US"/>
            </w:rPr>
            <w:t>Įsakymo projektu ne</w:t>
          </w:r>
          <w:r>
            <w:rPr>
              <w:rFonts w:eastAsia="Calibri" w:cs="Tahoma"/>
              <w:color w:val="000000"/>
              <w:szCs w:val="22"/>
              <w:lang w:bidi="en-US"/>
            </w:rPr>
            <w:t>perkeliami ir neįgyvendinami Europos Sąjungos teisės aktai.</w:t>
          </w:r>
        </w:p>
      </w:sdtContent>
    </w:sdt>
    <w:sdt>
      <w:sdtPr>
        <w:alias w:val="pastraipa"/>
        <w:tag w:val="part_49cdf043f0844f80b2799b50f3d1c533"/>
        <w:lock w:val="sdtLocked"/>
        <w:richText/>
      </w:sdtPr>
      <w:sdtContent>
        <w:p>
          <w:pPr>
            <w:widowControl w:val="0"/>
            <w:tabs>
              <w:tab w:val="left" w:pos="571"/>
            </w:tabs>
            <w:suppressAutoHyphens/>
            <w:spacing w:line="360" w:lineRule="auto"/>
            <w:ind w:firstLine="571"/>
            <w:jc w:val="both"/>
            <w:rPr>
              <w:rFonts w:eastAsia="Andale Sans UI" w:cs="Tahoma"/>
              <w:color w:val="000000"/>
              <w:szCs w:val="24"/>
              <w:lang w:bidi="en-US"/>
            </w:rPr>
          </w:pPr>
          <w:r>
            <w:rPr>
              <w:rFonts w:eastAsia="Andale Sans UI" w:cs="Tahoma"/>
              <w:color w:val="000000"/>
              <w:szCs w:val="24"/>
              <w:lang w:bidi="en-US"/>
            </w:rPr>
            <w:t xml:space="preserve">Priėmus Įsakymo projektą, keisti galiojančių ar priimti naujų teisės aktų  nereikės.</w:t>
          </w:r>
        </w:p>
      </w:sdtContent>
    </w:sdt>
    <w:sdt>
      <w:sdtPr>
        <w:alias w:val="pastraipa"/>
        <w:tag w:val="part_01260fb7064c414c902231a2146bf070"/>
        <w:lock w:val="sdtLocked"/>
        <w:richText/>
      </w:sdtPr>
      <w:sdtContent>
        <w:p>
          <w:pPr>
            <w:widowControl w:val="0"/>
            <w:tabs>
              <w:tab w:val="left" w:pos="571"/>
            </w:tabs>
            <w:suppressAutoHyphens/>
            <w:spacing w:line="360" w:lineRule="auto"/>
            <w:ind w:firstLine="571"/>
            <w:jc w:val="both"/>
            <w:rPr>
              <w:rFonts w:eastAsia="Andale Sans UI" w:cs="Tahoma"/>
              <w:color w:val="000000"/>
              <w:szCs w:val="24"/>
              <w:lang w:bidi="en-US"/>
            </w:rPr>
          </w:pPr>
          <w:r>
            <w:rPr>
              <w:rFonts w:eastAsia="Andale Sans UI" w:cs="Tahoma"/>
              <w:color w:val="000000"/>
              <w:szCs w:val="24"/>
              <w:lang w:bidi="en-US"/>
            </w:rPr>
            <w:t>Įsakymo projekte nėra naujų sąvokų.</w:t>
          </w:r>
        </w:p>
      </w:sdtContent>
    </w:sdt>
    <w:sdt>
      <w:sdtPr>
        <w:alias w:val="pastraipa"/>
        <w:tag w:val="part_22d2a500f91a4beeb6339fefd8ddef29"/>
        <w:lock w:val="sdtLocked"/>
        <w:richText/>
      </w:sdtPr>
      <w:sdtContent>
        <w:p>
          <w:pPr>
            <w:spacing w:line="360" w:lineRule="auto"/>
            <w:ind w:firstLine="567"/>
            <w:jc w:val="both"/>
            <w:rPr>
              <w:color w:val="000000"/>
              <w:szCs w:val="24"/>
              <w:lang w:eastAsia="lt-LT"/>
            </w:rPr>
          </w:pPr>
          <w:r>
            <w:rPr>
              <w:color w:val="000000"/>
              <w:szCs w:val="24"/>
              <w:lang w:eastAsia="lt-LT"/>
            </w:rPr>
            <w:t xml:space="preserve">Įsakymo projektas derinamas jį paskelbus Lietuvos Respublikos Seimo kanceliarijos teisės aktų informacinėje sistemoje (TAIS). Atsižvelgiant į tai kad Įsakymo projektas rengiamas siekiant užtikrinti tinkamą Statybos įstatymo </w:t>
          </w:r>
          <w:r>
            <w:rPr>
              <w:color w:val="000000"/>
              <w:szCs w:val="24"/>
              <w:lang w:eastAsia="en-GB"/>
            </w:rPr>
            <w:t>įgyvendinimą, patikslina jau galiojančių nuostatų taikymą</w:t>
          </w:r>
          <w:r>
            <w:rPr>
              <w:color w:val="000000"/>
              <w:szCs w:val="24"/>
              <w:lang w:eastAsia="lt-LT"/>
            </w:rPr>
            <w:t xml:space="preserve"> ir turi būti priimtas nedelsiant, prašome pastabas ir pasiūlymus dėl Įsakymo projekto pateikti per 5 darbo dienas.</w:t>
          </w:r>
        </w:p>
      </w:sdtContent>
    </w:sdt>
    <w:sdt>
      <w:sdtPr>
        <w:alias w:val="pastraipa"/>
        <w:tag w:val="part_cf1f1612ed6d4569bc0b455c3759a0fb"/>
        <w:lock w:val="sdtLocked"/>
        <w:richText/>
      </w:sdtPr>
      <w:sdtContent>
        <w:p>
          <w:pPr>
            <w:widowControl w:val="0"/>
            <w:suppressAutoHyphens/>
            <w:spacing w:line="360" w:lineRule="auto"/>
            <w:ind w:firstLine="567"/>
            <w:jc w:val="both"/>
            <w:rPr>
              <w:rFonts w:eastAsia="Andale Sans UI" w:cs="Tahoma"/>
              <w:color w:val="000000"/>
              <w:szCs w:val="24"/>
              <w:lang w:bidi="en-US"/>
            </w:rPr>
          </w:pPr>
          <w:r>
            <w:rPr>
              <w:rFonts w:eastAsia="Andale Sans UI" w:cs="Tahoma"/>
              <w:szCs w:val="24"/>
              <w:lang w:bidi="en-US"/>
            </w:rPr>
            <w:t xml:space="preserve">Įsakymo projektą parengė Aplinkos ministerijos </w:t>
          </w:r>
          <w:r>
            <w:rPr>
              <w:rFonts w:eastAsia="Andale Sans UI" w:cs="Tahoma"/>
              <w:color w:val="000000"/>
              <w:szCs w:val="24"/>
              <w:lang w:bidi="en-US"/>
            </w:rPr>
            <w:t xml:space="preserve">Statybos ir būsto politikos grupės (vadovas – Dainius Čergelis, tel. 8 616 98 137, el. p. </w:t>
          </w:r>
          <w:r>
            <w:rPr>
              <w:rFonts w:eastAsia="Andale Sans UI" w:cs="Tahoma"/>
              <w:szCs w:val="24"/>
              <w:lang w:bidi="en-US"/>
            </w:rPr>
            <w:t>dainius.cergelis@am.lt</w:t>
          </w:r>
          <w:r>
            <w:rPr>
              <w:rFonts w:eastAsia="Andale Sans UI" w:cs="Tahoma"/>
              <w:color w:val="000000"/>
              <w:szCs w:val="24"/>
              <w:lang w:bidi="en-US"/>
            </w:rPr>
            <w:t xml:space="preserve">) vyriausiasis specialistas Emanuelis Mituzas (tel. </w:t>
          </w:r>
          <w:r>
            <w:rPr>
              <w:rFonts w:eastAsia="Andale Sans UI" w:cs="Tahoma"/>
              <w:szCs w:val="24"/>
              <w:lang w:bidi="en-US"/>
            </w:rPr>
            <w:t>8 646 30265, el. p. emanuelis.mituzas@am.lt</w:t>
          </w:r>
          <w:r>
            <w:rPr>
              <w:rFonts w:eastAsia="Andale Sans UI" w:cs="Tahoma"/>
              <w:color w:val="000000"/>
              <w:szCs w:val="24"/>
              <w:lang w:bidi="en-US"/>
            </w:rPr>
            <w:t xml:space="preserve">).      </w:t>
          </w:r>
        </w:p>
      </w:sdtContent>
    </w:sdt>
    <w:sdt>
      <w:sdtPr>
        <w:alias w:val="pastraipa"/>
        <w:tag w:val="part_029362b9784645b08bc7992be7a70b27"/>
        <w:lock w:val="sdtLocked"/>
        <w:richText/>
      </w:sdtPr>
      <w:sdtContent>
        <w:p>
          <w:pPr>
            <w:widowControl w:val="0"/>
            <w:suppressAutoHyphens/>
            <w:spacing w:line="360" w:lineRule="auto"/>
            <w:ind w:firstLine="567"/>
            <w:jc w:val="both"/>
            <w:rPr>
              <w:rFonts w:eastAsia="Andale Sans UI" w:cs="Tahoma"/>
              <w:szCs w:val="24"/>
              <w:lang w:bidi="en-US"/>
            </w:rPr>
          </w:pPr>
          <w:r>
            <w:rPr>
              <w:rFonts w:eastAsia="Andale Sans UI" w:cs="Tahoma"/>
              <w:szCs w:val="24"/>
              <w:lang w:bidi="en-US"/>
            </w:rPr>
            <w:t>PRIDEDAMA:</w:t>
          </w:r>
        </w:p>
        <w:sdt>
          <w:sdtPr>
            <w:alias w:val="1 p."/>
            <w:tag w:val="part_37ae2374c53345f4a6cfd90d093aa6d5"/>
            <w:lock w:val="sdtLocked"/>
            <w:richText/>
          </w:sdtPr>
          <w:sdtContent>
            <w:p>
              <w:pPr>
                <w:widowControl w:val="0"/>
                <w:tabs>
                  <w:tab w:val="left" w:pos="851"/>
                </w:tabs>
                <w:suppressAutoHyphens/>
                <w:spacing w:line="360" w:lineRule="auto"/>
                <w:ind w:firstLine="567"/>
                <w:jc w:val="both"/>
                <w:rPr>
                  <w:rFonts w:eastAsia="Andale Sans UI" w:cs="Tahoma"/>
                  <w:szCs w:val="24"/>
                  <w:lang w:bidi="en-US"/>
                </w:rPr>
              </w:pPr>
              <w:sdt>
                <w:sdtPr>
                  <w:alias w:val="Numeris"/>
                  <w:tag w:val="nr_37ae2374c53345f4a6cfd90d093aa6d5"/>
                  <w:lock w:val="sdtLocked"/>
                  <w:richText/>
                </w:sdtPr>
                <w:sdtContent>
                  <w:r>
                    <w:rPr>
                      <w:rFonts w:eastAsia="Andale Sans UI" w:cs="Tahoma"/>
                      <w:szCs w:val="24"/>
                      <w:lang w:bidi="en-US"/>
                    </w:rPr>
                    <w:t>1</w:t>
                  </w:r>
                </w:sdtContent>
              </w:sdt>
              <w:r>
                <w:rPr>
                  <w:rFonts w:eastAsia="Andale Sans UI" w:cs="Tahoma"/>
                  <w:szCs w:val="24"/>
                  <w:lang w:bidi="en-US"/>
                </w:rPr>
                <w:t>.</w:t>
                <w:tab/>
                <w:t>Lietuvos Respublikos aplinkos ministro įsakymo „Dėl Lietuvos Respublikos aplinkos ministro 2016 m. lapkričio 7 d. įsakymo Nr. D1-738 „Dėl statybos techninio reglamento STR 1.04.04:2017 „Statinio projektavimas, projekto ekspertizė“ patvirtinimo“ pakeitimo projektas, 2 lapai;</w:t>
              </w:r>
            </w:p>
          </w:sdtContent>
        </w:sdt>
        <w:sdt>
          <w:sdtPr>
            <w:alias w:val="2 p."/>
            <w:tag w:val="part_f5bd3388407d46b0a5fdb564639f83ad"/>
            <w:lock w:val="sdtLocked"/>
            <w:richText/>
          </w:sdtPr>
          <w:sdtContent>
            <w:p>
              <w:pPr>
                <w:widowControl w:val="0"/>
                <w:tabs>
                  <w:tab w:val="left" w:pos="851"/>
                </w:tabs>
                <w:suppressAutoHyphens/>
                <w:spacing w:line="360" w:lineRule="auto"/>
                <w:ind w:firstLine="567"/>
                <w:jc w:val="both"/>
                <w:rPr>
                  <w:rFonts w:eastAsia="Andale Sans UI" w:cs="Tahoma"/>
                  <w:szCs w:val="24"/>
                  <w:lang w:bidi="en-US"/>
                </w:rPr>
              </w:pPr>
              <w:sdt>
                <w:sdtPr>
                  <w:alias w:val="Numeris"/>
                  <w:tag w:val="nr_f5bd3388407d46b0a5fdb564639f83ad"/>
                  <w:lock w:val="sdtLocked"/>
                  <w:richText/>
                </w:sdtPr>
                <w:sdtContent>
                  <w:r>
                    <w:rPr>
                      <w:rFonts w:eastAsia="Andale Sans UI" w:cs="Tahoma"/>
                      <w:szCs w:val="24"/>
                      <w:lang w:bidi="en-US"/>
                    </w:rPr>
                    <w:t>2</w:t>
                  </w:r>
                </w:sdtContent>
              </w:sdt>
              <w:r>
                <w:rPr>
                  <w:rFonts w:eastAsia="Andale Sans UI" w:cs="Tahoma"/>
                  <w:szCs w:val="24"/>
                  <w:lang w:bidi="en-US"/>
                </w:rPr>
                <w:t>.</w:t>
                <w:tab/>
                <w:t>Įsakymo projekto lyginamasis variantas, 2 lapai;</w:t>
              </w:r>
            </w:p>
          </w:sdtContent>
        </w:sdt>
        <w:sdt>
          <w:sdtPr>
            <w:alias w:val="3 p."/>
            <w:tag w:val="part_2119f393bb4741ee9630a03010185936"/>
            <w:lock w:val="sdtLocked"/>
            <w:richText/>
          </w:sdtPr>
          <w:sdtContent>
            <w:p>
              <w:pPr>
                <w:spacing w:line="360" w:lineRule="auto"/>
                <w:ind w:left="397" w:firstLine="170"/>
                <w:jc w:val="both"/>
                <w:rPr>
                  <w:rFonts w:eastAsia="Andale Sans UI" w:cs="Tahoma"/>
                  <w:color w:val="000000"/>
                  <w:szCs w:val="24"/>
                  <w:lang w:bidi="en-US"/>
                </w:rPr>
              </w:pPr>
              <w:sdt>
                <w:sdtPr>
                  <w:alias w:val="Numeris"/>
                  <w:tag w:val="nr_2119f393bb4741ee9630a03010185936"/>
                  <w:lock w:val="sdtLocked"/>
                  <w:richText/>
                </w:sdtPr>
                <w:sdtContent>
                  <w:r>
                    <w:rPr>
                      <w:rFonts w:eastAsia="Andale Sans UI" w:cs="Tahoma"/>
                      <w:szCs w:val="24"/>
                      <w:lang w:bidi="en-US"/>
                    </w:rPr>
                    <w:t>3</w:t>
                  </w:r>
                </w:sdtContent>
              </w:sdt>
              <w:r>
                <w:rPr>
                  <w:rFonts w:eastAsia="Andale Sans UI" w:cs="Tahoma"/>
                  <w:szCs w:val="24"/>
                  <w:lang w:bidi="en-US"/>
                </w:rPr>
                <w:t>. N</w:t>
              </w:r>
              <w:r>
                <w:rPr>
                  <w:rFonts w:eastAsia="Andale Sans UI" w:cs="Tahoma"/>
                  <w:color w:val="000000"/>
                  <w:szCs w:val="24"/>
                  <w:lang w:bidi="en-US"/>
                </w:rPr>
                <w:t>umatomo teisinio reguliavimo poveikio vertinimo pažyma, 2 lapai;</w:t>
              </w:r>
            </w:p>
          </w:sdtContent>
        </w:sdt>
        <w:sdt>
          <w:sdtPr>
            <w:alias w:val="4 p."/>
            <w:tag w:val="part_acd8b7a35dc941cbbe7e76ad40423269"/>
            <w:lock w:val="sdtLocked"/>
            <w:richText/>
          </w:sdtPr>
          <w:sdtContent>
            <w:p>
              <w:pPr>
                <w:spacing w:line="360" w:lineRule="auto"/>
                <w:ind w:left="397" w:firstLine="170"/>
                <w:jc w:val="both"/>
                <w:rPr>
                  <w:rFonts w:eastAsia="Andale Sans UI" w:cs="Tahoma"/>
                  <w:color w:val="000000"/>
                  <w:szCs w:val="24"/>
                  <w:lang w:bidi="en-US"/>
                </w:rPr>
              </w:pPr>
              <w:sdt>
                <w:sdtPr>
                  <w:alias w:val="Numeris"/>
                  <w:tag w:val="nr_acd8b7a35dc941cbbe7e76ad40423269"/>
                  <w:lock w:val="sdtLocked"/>
                  <w:richText/>
                </w:sdtPr>
                <w:sdtContent>
                  <w:r>
                    <w:rPr>
                      <w:rFonts w:eastAsia="Andale Sans UI" w:cs="Tahoma"/>
                      <w:color w:val="000000"/>
                      <w:szCs w:val="24"/>
                      <w:lang w:bidi="en-US"/>
                    </w:rPr>
                    <w:t>4</w:t>
                  </w:r>
                </w:sdtContent>
              </w:sdt>
              <w:r>
                <w:rPr>
                  <w:rFonts w:eastAsia="Andale Sans UI" w:cs="Tahoma"/>
                  <w:color w:val="000000"/>
                  <w:szCs w:val="24"/>
                  <w:lang w:bidi="en-US"/>
                </w:rPr>
                <w:t>. Teisės akto projekto antikorupcinio vertinimo pažyma, 7 lapai.</w:t>
              </w:r>
            </w:p>
            <w:p>
              <w:pPr>
                <w:spacing w:line="360" w:lineRule="auto"/>
                <w:ind w:left="397" w:firstLine="170"/>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r>
                <w:rPr>
                  <w:rFonts w:eastAsia="Andale Sans UI" w:cs="Tahoma"/>
                  <w:szCs w:val="24"/>
                  <w:lang w:bidi="en-US"/>
                </w:rPr>
                <w:t xml:space="preserve">Aplinkos viceministrė </w:t>
                <w:tab/>
                <w:tab/>
                <w:tab/>
                <w:tab/>
                <w:tab/>
                <w:tab/>
                <w:tab/>
                <w:tab/>
                <w:tab/>
                <w:tab/>
                <w:t xml:space="preserve">      Daiva Matusevičė</w:t>
              </w: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jc w:val="both"/>
                <w:rPr>
                  <w:rFonts w:eastAsia="Andale Sans UI" w:cs="Tahoma"/>
                  <w:szCs w:val="24"/>
                  <w:lang w:val="en-US" w:bidi="en-US"/>
                </w:rPr>
              </w:pPr>
              <w:r>
                <w:rPr>
                  <w:rFonts w:eastAsia="Andale Sans UI" w:cs="Tahoma"/>
                  <w:szCs w:val="24"/>
                  <w:lang w:bidi="en-US"/>
                </w:rPr>
                <w:t>E. Mituzas, 8 646 30265, el. p. emanuelis.mituzas@am.lt</w:t>
              </w: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center"/>
                <w:rPr>
                  <w:rFonts w:eastAsia="Andale Sans UI" w:cs="Tahoma"/>
                  <w:szCs w:val="24"/>
                  <w:lang w:bidi="en-US"/>
                </w:rPr>
              </w:pPr>
              <w:r>
                <w:rPr>
                  <w:rFonts w:eastAsia="Andale Sans UI" w:cs="Tahoma"/>
                  <w:szCs w:val="24"/>
                  <w:lang w:bidi="en-US"/>
                </w:rPr>
                <w:t>ADRESATŲ SĄRAŠAS:</w:t>
              </w:r>
            </w:p>
            <w:p>
              <w:pPr>
                <w:widowControl w:val="0"/>
                <w:suppressAutoHyphens/>
                <w:ind w:firstLine="567"/>
                <w:jc w:val="center"/>
                <w:rPr>
                  <w:rFonts w:eastAsia="Andale Sans UI" w:cs="Tahoma"/>
                  <w:szCs w:val="24"/>
                  <w:lang w:bidi="en-US"/>
                </w:rPr>
              </w:pPr>
            </w:p>
          </w:sdtContent>
        </w:sdt>
        <w:sdt>
          <w:sdtPr>
            <w:alias w:val="1 p."/>
            <w:tag w:val="part_8ebe9c6e0dd94b17a8fca6b8e16e889b"/>
            <w:lock w:val="sdtLocked"/>
            <w:richText/>
          </w:sdtPr>
          <w:sdtContent>
            <w:p>
              <w:pPr>
                <w:widowControl w:val="0"/>
                <w:suppressAutoHyphens/>
                <w:ind w:left="720" w:hanging="360"/>
                <w:jc w:val="both"/>
                <w:rPr>
                  <w:rFonts w:eastAsia="Andale Sans UI" w:cs="Tahoma"/>
                  <w:szCs w:val="24"/>
                  <w:lang w:bidi="en-US"/>
                </w:rPr>
              </w:pPr>
              <w:sdt>
                <w:sdtPr>
                  <w:alias w:val="Numeris"/>
                  <w:tag w:val="nr_8ebe9c6e0dd94b17a8fca6b8e16e889b"/>
                  <w:lock w:val="sdtLocked"/>
                  <w:richText/>
                </w:sdtPr>
                <w:sdtContent>
                  <w:r>
                    <w:rPr>
                      <w:rFonts w:eastAsia="Andale Sans UI" w:cs="Tahoma"/>
                      <w:szCs w:val="24"/>
                      <w:lang w:bidi="en-US"/>
                    </w:rPr>
                    <w:t>1</w:t>
                  </w:r>
                </w:sdtContent>
              </w:sdt>
              <w:r>
                <w:rPr>
                  <w:rFonts w:eastAsia="Andale Sans UI" w:cs="Tahoma"/>
                  <w:szCs w:val="24"/>
                  <w:lang w:bidi="en-US"/>
                </w:rPr>
                <w:t>.</w:t>
                <w:tab/>
                <w:t xml:space="preserve">Lietuvos nekilnojamojo turto plėtros asociacija, info@lntpa.lt </w:t>
              </w:r>
            </w:p>
          </w:sdtContent>
        </w:sdt>
        <w:sdt>
          <w:sdtPr>
            <w:alias w:val="2 p."/>
            <w:tag w:val="part_b211e90e9e4b494f85ea7fa64608e889"/>
            <w:lock w:val="sdtLocked"/>
            <w:richText/>
          </w:sdtPr>
          <w:sdtContent>
            <w:p>
              <w:pPr>
                <w:widowControl w:val="0"/>
                <w:suppressAutoHyphens/>
                <w:ind w:left="720" w:hanging="360"/>
                <w:jc w:val="both"/>
                <w:rPr>
                  <w:rFonts w:eastAsia="Andale Sans UI" w:cs="Tahoma"/>
                  <w:szCs w:val="24"/>
                  <w:lang w:bidi="en-US"/>
                </w:rPr>
              </w:pPr>
              <w:sdt>
                <w:sdtPr>
                  <w:alias w:val="Numeris"/>
                  <w:tag w:val="nr_b211e90e9e4b494f85ea7fa64608e889"/>
                  <w:lock w:val="sdtLocked"/>
                  <w:richText/>
                </w:sdtPr>
                <w:sdtContent>
                  <w:r>
                    <w:rPr>
                      <w:rFonts w:eastAsia="Andale Sans UI" w:cs="Tahoma"/>
                      <w:szCs w:val="24"/>
                      <w:lang w:bidi="en-US"/>
                    </w:rPr>
                    <w:t>2</w:t>
                  </w:r>
                </w:sdtContent>
              </w:sdt>
              <w:r>
                <w:rPr>
                  <w:rFonts w:eastAsia="Andale Sans UI" w:cs="Tahoma"/>
                  <w:szCs w:val="24"/>
                  <w:lang w:bidi="en-US"/>
                </w:rPr>
                <w:t>.</w:t>
                <w:tab/>
                <w:t xml:space="preserve">Lietuvos projektavimo įmonių asociacija, lpia@lacc.lt </w:t>
              </w:r>
            </w:p>
          </w:sdtContent>
        </w:sdt>
        <w:sdt>
          <w:sdtPr>
            <w:alias w:val="3 p."/>
            <w:tag w:val="part_a90e083504f842e385175c1521570ec8"/>
            <w:lock w:val="sdtLocked"/>
            <w:richText/>
          </w:sdtPr>
          <w:sdtContent>
            <w:p>
              <w:pPr>
                <w:widowControl w:val="0"/>
                <w:suppressAutoHyphens/>
                <w:ind w:left="720" w:hanging="360"/>
                <w:jc w:val="both"/>
                <w:rPr>
                  <w:rFonts w:eastAsia="Andale Sans UI" w:cs="Tahoma"/>
                  <w:szCs w:val="24"/>
                  <w:lang w:bidi="en-US"/>
                </w:rPr>
              </w:pPr>
              <w:sdt>
                <w:sdtPr>
                  <w:alias w:val="Numeris"/>
                  <w:tag w:val="nr_a90e083504f842e385175c1521570ec8"/>
                  <w:lock w:val="sdtLocked"/>
                  <w:richText/>
                </w:sdtPr>
                <w:sdtContent>
                  <w:r>
                    <w:rPr>
                      <w:rFonts w:eastAsia="Andale Sans UI" w:cs="Tahoma"/>
                      <w:szCs w:val="24"/>
                      <w:lang w:bidi="en-US"/>
                    </w:rPr>
                    <w:t>3</w:t>
                  </w:r>
                </w:sdtContent>
              </w:sdt>
              <w:r>
                <w:rPr>
                  <w:rFonts w:eastAsia="Andale Sans UI" w:cs="Tahoma"/>
                  <w:szCs w:val="24"/>
                  <w:lang w:bidi="en-US"/>
                </w:rPr>
                <w:t>.</w:t>
                <w:tab/>
                <w:t xml:space="preserve">Lietuvos statybininkų asociacija, info@statybininkai.lt. </w:t>
              </w:r>
            </w:p>
          </w:sdtContent>
        </w:sdt>
        <w:sdt>
          <w:sdtPr>
            <w:alias w:val="4 p."/>
            <w:tag w:val="part_21e518c43ecd490f91e993d2edf174a5"/>
            <w:lock w:val="sdtLocked"/>
            <w:richText/>
          </w:sdtPr>
          <w:sdtContent>
            <w:p>
              <w:pPr>
                <w:widowControl w:val="0"/>
                <w:suppressAutoHyphens/>
                <w:ind w:left="720" w:hanging="360"/>
                <w:jc w:val="both"/>
                <w:rPr>
                  <w:rFonts w:eastAsia="Andale Sans UI" w:cs="Tahoma"/>
                  <w:szCs w:val="24"/>
                  <w:lang w:bidi="en-US"/>
                </w:rPr>
              </w:pPr>
              <w:sdt>
                <w:sdtPr>
                  <w:alias w:val="Numeris"/>
                  <w:tag w:val="nr_21e518c43ecd490f91e993d2edf174a5"/>
                  <w:lock w:val="sdtLocked"/>
                  <w:richText/>
                </w:sdtPr>
                <w:sdtContent>
                  <w:r>
                    <w:rPr>
                      <w:rFonts w:eastAsia="Andale Sans UI" w:cs="Tahoma"/>
                      <w:szCs w:val="24"/>
                      <w:lang w:bidi="en-US"/>
                    </w:rPr>
                    <w:t>4</w:t>
                  </w:r>
                </w:sdtContent>
              </w:sdt>
              <w:r>
                <w:rPr>
                  <w:rFonts w:eastAsia="Andale Sans UI" w:cs="Tahoma"/>
                  <w:szCs w:val="24"/>
                  <w:lang w:bidi="en-US"/>
                </w:rPr>
                <w:t>.</w:t>
                <w:tab/>
                <w:t xml:space="preserve">Lietuvos statybos inžinierių sąjunga, lsis@lsis.lt </w:t>
              </w:r>
            </w:p>
          </w:sdtContent>
        </w:sdt>
        <w:sdt>
          <w:sdtPr>
            <w:alias w:val="5 p."/>
            <w:tag w:val="part_acc725271d7642698ee879370f697b7b"/>
            <w:lock w:val="sdtLocked"/>
            <w:richText/>
          </w:sdtPr>
          <w:sdtContent>
            <w:p>
              <w:pPr>
                <w:widowControl w:val="0"/>
                <w:suppressAutoHyphens/>
                <w:ind w:left="720" w:hanging="360"/>
                <w:jc w:val="both"/>
                <w:rPr>
                  <w:rFonts w:eastAsia="Andale Sans UI" w:cs="Tahoma"/>
                  <w:szCs w:val="24"/>
                  <w:lang w:bidi="en-US"/>
                </w:rPr>
              </w:pPr>
              <w:sdt>
                <w:sdtPr>
                  <w:alias w:val="Numeris"/>
                  <w:tag w:val="nr_acc725271d7642698ee879370f697b7b"/>
                  <w:lock w:val="sdtLocked"/>
                  <w:richText/>
                </w:sdtPr>
                <w:sdtContent>
                  <w:r>
                    <w:rPr>
                      <w:rFonts w:eastAsia="Andale Sans UI" w:cs="Tahoma"/>
                      <w:szCs w:val="24"/>
                      <w:lang w:bidi="en-US"/>
                    </w:rPr>
                    <w:t>5</w:t>
                  </w:r>
                </w:sdtContent>
              </w:sdt>
              <w:r>
                <w:rPr>
                  <w:rFonts w:eastAsia="Andale Sans UI" w:cs="Tahoma"/>
                  <w:szCs w:val="24"/>
                  <w:lang w:bidi="en-US"/>
                </w:rPr>
                <w:t>.</w:t>
                <w:tab/>
                <w:t>Ekonomikos ir inovacijų ministerija, kanc@eimin.lt</w:t>
              </w:r>
            </w:p>
          </w:sdtContent>
        </w:sdt>
        <w:sdt>
          <w:sdtPr>
            <w:alias w:val="6 p."/>
            <w:tag w:val="part_30ead14a37c849ae9f9f790a8156b8bd"/>
            <w:lock w:val="sdtLocked"/>
            <w:richText/>
          </w:sdtPr>
          <w:sdtContent>
            <w:p>
              <w:pPr>
                <w:widowControl w:val="0"/>
                <w:suppressAutoHyphens/>
                <w:ind w:left="720" w:hanging="360"/>
                <w:jc w:val="both"/>
                <w:rPr>
                  <w:rFonts w:eastAsia="Andale Sans UI" w:cs="Tahoma"/>
                  <w:szCs w:val="24"/>
                  <w:lang w:bidi="en-US"/>
                </w:rPr>
              </w:pPr>
              <w:sdt>
                <w:sdtPr>
                  <w:alias w:val="Numeris"/>
                  <w:tag w:val="nr_30ead14a37c849ae9f9f790a8156b8bd"/>
                  <w:lock w:val="sdtLocked"/>
                  <w:richText/>
                </w:sdtPr>
                <w:sdtContent>
                  <w:r>
                    <w:rPr>
                      <w:rFonts w:eastAsia="Andale Sans UI" w:cs="Tahoma"/>
                      <w:szCs w:val="24"/>
                      <w:lang w:bidi="en-US"/>
                    </w:rPr>
                    <w:t>6</w:t>
                  </w:r>
                </w:sdtContent>
              </w:sdt>
              <w:r>
                <w:rPr>
                  <w:rFonts w:eastAsia="Andale Sans UI" w:cs="Tahoma"/>
                  <w:szCs w:val="24"/>
                  <w:lang w:bidi="en-US"/>
                </w:rPr>
                <w:t>.</w:t>
                <w:tab/>
                <w:t>Projektų ekspertizės ir gaisro saugos įmonių asociacija, prezidentas@ekspertize.com</w:t>
              </w:r>
            </w:p>
          </w:sdtContent>
        </w:sdt>
        <w:sdt>
          <w:sdtPr>
            <w:alias w:val="7 p."/>
            <w:tag w:val="part_5dd87861e74243d7a9c20db567ed61be"/>
            <w:lock w:val="sdtLocked"/>
            <w:richText/>
          </w:sdtPr>
          <w:sdtContent>
            <w:p>
              <w:pPr>
                <w:widowControl w:val="0"/>
                <w:suppressAutoHyphens/>
                <w:ind w:left="720" w:hanging="360"/>
                <w:jc w:val="both"/>
                <w:rPr>
                  <w:rFonts w:eastAsia="Andale Sans UI" w:cs="Tahoma"/>
                  <w:szCs w:val="24"/>
                  <w:lang w:bidi="en-US"/>
                </w:rPr>
              </w:pPr>
              <w:sdt>
                <w:sdtPr>
                  <w:alias w:val="Numeris"/>
                  <w:tag w:val="nr_5dd87861e74243d7a9c20db567ed61be"/>
                  <w:lock w:val="sdtLocked"/>
                  <w:richText/>
                </w:sdtPr>
                <w:sdtContent>
                  <w:r>
                    <w:rPr>
                      <w:rFonts w:eastAsia="Andale Sans UI" w:cs="Tahoma"/>
                      <w:szCs w:val="24"/>
                      <w:lang w:bidi="en-US"/>
                    </w:rPr>
                    <w:t>7</w:t>
                  </w:r>
                </w:sdtContent>
              </w:sdt>
              <w:r>
                <w:rPr>
                  <w:rFonts w:eastAsia="Andale Sans UI" w:cs="Tahoma"/>
                  <w:szCs w:val="24"/>
                  <w:lang w:bidi="en-US"/>
                </w:rPr>
                <w:t>.</w:t>
                <w:tab/>
                <w:t>Valstybinė teritorijų planavimo ir statybos inspekcija info@vtpsi.lt</w:t>
              </w:r>
            </w:p>
          </w:sdtContent>
        </w:sdt>
        <w:sdt>
          <w:sdtPr>
            <w:alias w:val="8 p."/>
            <w:tag w:val="part_4909a8b063dc4011910d856a4faa17d0"/>
            <w:lock w:val="sdtLocked"/>
            <w:richText/>
          </w:sdtPr>
          <w:sdtContent>
            <w:p>
              <w:pPr>
                <w:widowControl w:val="0"/>
                <w:suppressAutoHyphens/>
                <w:ind w:left="720" w:hanging="360"/>
                <w:jc w:val="both"/>
                <w:rPr>
                  <w:rFonts w:eastAsia="Andale Sans UI" w:cs="Tahoma"/>
                  <w:szCs w:val="24"/>
                  <w:lang w:bidi="en-US"/>
                </w:rPr>
              </w:pPr>
              <w:sdt>
                <w:sdtPr>
                  <w:alias w:val="Numeris"/>
                  <w:tag w:val="nr_4909a8b063dc4011910d856a4faa17d0"/>
                  <w:lock w:val="sdtLocked"/>
                  <w:richText/>
                </w:sdtPr>
                <w:sdtContent>
                  <w:r>
                    <w:rPr>
                      <w:rFonts w:eastAsia="Andale Sans UI" w:cs="Tahoma"/>
                      <w:szCs w:val="24"/>
                      <w:lang w:bidi="en-US"/>
                    </w:rPr>
                    <w:t>8</w:t>
                  </w:r>
                </w:sdtContent>
              </w:sdt>
              <w:r>
                <w:rPr>
                  <w:rFonts w:eastAsia="Andale Sans UI" w:cs="Tahoma"/>
                  <w:szCs w:val="24"/>
                  <w:lang w:bidi="en-US"/>
                </w:rPr>
                <w:t>.</w:t>
                <w:tab/>
                <w:t>Valstybinė duomenų apsaugos inspekcija, ada@ada.lt</w:t>
              </w:r>
            </w:p>
          </w:sdtContent>
        </w:sdt>
        <w:sdt>
          <w:sdtPr>
            <w:alias w:val="9 p."/>
            <w:tag w:val="part_13467f8260f34b098a674ef9ae3eb951"/>
            <w:lock w:val="sdtLocked"/>
            <w:richText/>
          </w:sdtPr>
          <w:sdtContent>
            <w:p>
              <w:pPr>
                <w:widowControl w:val="0"/>
                <w:suppressAutoHyphens/>
                <w:ind w:left="720" w:hanging="360"/>
                <w:jc w:val="both"/>
                <w:rPr>
                  <w:rFonts w:eastAsia="Andale Sans UI" w:cs="Tahoma"/>
                  <w:szCs w:val="24"/>
                  <w:lang w:val="en-US" w:bidi="en-US"/>
                </w:rPr>
              </w:pPr>
              <w:sdt>
                <w:sdtPr>
                  <w:alias w:val="Numeris"/>
                  <w:tag w:val="nr_13467f8260f34b098a674ef9ae3eb951"/>
                  <w:lock w:val="sdtLocked"/>
                  <w:richText/>
                </w:sdtPr>
                <w:sdtContent>
                  <w:r>
                    <w:rPr>
                      <w:rFonts w:eastAsia="Andale Sans UI" w:cs="Tahoma"/>
                      <w:szCs w:val="24"/>
                      <w:lang w:val="en-US" w:bidi="en-US"/>
                    </w:rPr>
                    <w:t>9</w:t>
                  </w:r>
                </w:sdtContent>
              </w:sdt>
              <w:r>
                <w:rPr>
                  <w:rFonts w:eastAsia="Andale Sans UI" w:cs="Tahoma"/>
                  <w:szCs w:val="24"/>
                  <w:lang w:val="en-US" w:bidi="en-US"/>
                </w:rPr>
                <w:t>.</w:t>
                <w:tab/>
              </w:r>
              <w:r>
                <w:rPr>
                  <w:rFonts w:eastAsia="Andale Sans UI" w:cs="Tahoma"/>
                  <w:szCs w:val="24"/>
                  <w:lang w:bidi="en-US"/>
                </w:rPr>
                <w:t>Lietuvos Respublikos specialiųjų tyrimų tarnyba, dokumentai</w:t>
              </w:r>
              <w:r>
                <w:rPr>
                  <w:rFonts w:eastAsia="Andale Sans UI" w:cs="Tahoma"/>
                  <w:szCs w:val="24"/>
                  <w:lang w:val="en-US" w:bidi="en-US"/>
                </w:rPr>
                <w:t>@stt.lt</w:t>
              </w:r>
            </w:p>
          </w:sdtContent>
        </w:sdt>
        <w:sdt>
          <w:sdtPr>
            <w:alias w:val="10 p."/>
            <w:tag w:val="part_4bf04ddb070d4e36b67582d0657bf7b2"/>
            <w:lock w:val="sdtLocked"/>
            <w:richText/>
          </w:sdtPr>
          <w:sdtContent>
            <w:p>
              <w:pPr>
                <w:widowControl w:val="0"/>
                <w:suppressAutoHyphens/>
                <w:ind w:left="720" w:hanging="360"/>
                <w:jc w:val="both"/>
                <w:rPr>
                  <w:rFonts w:eastAsia="Andale Sans UI" w:cs="Tahoma"/>
                  <w:szCs w:val="24"/>
                  <w:lang w:bidi="en-US"/>
                </w:rPr>
              </w:pPr>
              <w:sdt>
                <w:sdtPr>
                  <w:alias w:val="Numeris"/>
                  <w:tag w:val="nr_4bf04ddb070d4e36b67582d0657bf7b2"/>
                  <w:lock w:val="sdtLocked"/>
                  <w:richText/>
                </w:sdtPr>
                <w:sdtContent>
                  <w:r>
                    <w:rPr>
                      <w:rFonts w:eastAsia="Andale Sans UI" w:cs="Tahoma"/>
                      <w:szCs w:val="24"/>
                      <w:lang w:bidi="en-US"/>
                    </w:rPr>
                    <w:t>10</w:t>
                  </w:r>
                </w:sdtContent>
              </w:sdt>
              <w:r>
                <w:rPr>
                  <w:rFonts w:eastAsia="Andale Sans UI" w:cs="Tahoma"/>
                  <w:szCs w:val="24"/>
                  <w:lang w:bidi="en-US"/>
                </w:rPr>
                <w:t>.</w:t>
                <w:tab/>
                <w:t>Lietuvos architektų rūmai, info@architekturumai.lt</w:t>
              </w:r>
            </w:p>
          </w:sdtContent>
        </w:sdt>
        <w:sdt>
          <w:sdtPr>
            <w:alias w:val="11 p."/>
            <w:tag w:val="part_b387dccb54d843739b0e504126775818"/>
            <w:lock w:val="sdtLocked"/>
            <w:richText/>
          </w:sdtPr>
          <w:sdtContent>
            <w:p>
              <w:pPr>
                <w:ind w:left="720" w:hanging="360"/>
                <w:jc w:val="both"/>
                <w:textAlignment w:val="baseline"/>
                <w:rPr>
                  <w:rFonts w:eastAsia="Andale Sans UI" w:cs="Calibri"/>
                  <w:color w:val="1F3864"/>
                  <w:sz w:val="22"/>
                  <w:szCs w:val="22"/>
                  <w:lang w:val="en-US" w:eastAsia="lt-LT"/>
                </w:rPr>
              </w:pPr>
              <w:sdt>
                <w:sdtPr>
                  <w:alias w:val="Numeris"/>
                  <w:tag w:val="nr_b387dccb54d843739b0e504126775818"/>
                  <w:lock w:val="sdtLocked"/>
                  <w:richText/>
                </w:sdtPr>
                <w:sdtContent>
                  <w:r>
                    <w:rPr>
                      <w:rFonts w:eastAsia="Andale Sans UI" w:cs="Calibri"/>
                      <w:color w:val="1F3864"/>
                      <w:sz w:val="22"/>
                      <w:szCs w:val="22"/>
                      <w:lang w:val="en-US" w:eastAsia="lt-LT"/>
                    </w:rPr>
                    <w:t>11</w:t>
                  </w:r>
                </w:sdtContent>
              </w:sdt>
              <w:r>
                <w:rPr>
                  <w:rFonts w:eastAsia="Andale Sans UI" w:cs="Calibri"/>
                  <w:color w:val="1F3864"/>
                  <w:sz w:val="22"/>
                  <w:szCs w:val="22"/>
                  <w:lang w:val="en-US" w:eastAsia="lt-LT"/>
                </w:rPr>
                <w:t>.</w:t>
                <w:tab/>
              </w:r>
              <w:r>
                <w:rPr>
                  <w:rFonts w:eastAsia="Andale Sans UI" w:cs="Tahoma"/>
                  <w:szCs w:val="24"/>
                  <w:lang w:val="en-US" w:eastAsia="lt-LT" w:bidi="en-US"/>
                </w:rPr>
                <w:t>Lietuvos architektų sąjunga, el. p. info@architektusajunga.lt</w:t>
              </w:r>
            </w:p>
          </w:sdtContent>
        </w:sdt>
        <w:sdt>
          <w:sdtPr>
            <w:alias w:val="12 p."/>
            <w:tag w:val="part_0fc61ca32f6843a8b92a3d4ad094eed3"/>
            <w:lock w:val="sdtLocked"/>
            <w:richText/>
          </w:sdtPr>
          <w:sdtContent>
            <w:p>
              <w:pPr>
                <w:ind w:left="720" w:hanging="360"/>
                <w:jc w:val="both"/>
                <w:textAlignment w:val="baseline"/>
                <w:rPr>
                  <w:rFonts w:eastAsia="Andale Sans UI"/>
                  <w:szCs w:val="24"/>
                  <w:lang w:val="en-US" w:eastAsia="lt-LT" w:bidi="en-US"/>
                </w:rPr>
              </w:pPr>
              <w:sdt>
                <w:sdtPr>
                  <w:alias w:val="Numeris"/>
                  <w:tag w:val="nr_0fc61ca32f6843a8b92a3d4ad094eed3"/>
                  <w:lock w:val="sdtLocked"/>
                  <w:richText/>
                </w:sdtPr>
                <w:sdtContent>
                  <w:r>
                    <w:rPr>
                      <w:rFonts w:eastAsia="Andale Sans UI"/>
                      <w:szCs w:val="24"/>
                      <w:lang w:val="en-US" w:eastAsia="lt-LT" w:bidi="en-US"/>
                    </w:rPr>
                    <w:t>12</w:t>
                  </w:r>
                </w:sdtContent>
              </w:sdt>
              <w:r>
                <w:rPr>
                  <w:rFonts w:eastAsia="Andale Sans UI"/>
                  <w:szCs w:val="24"/>
                  <w:lang w:val="en-US" w:eastAsia="lt-LT" w:bidi="en-US"/>
                </w:rPr>
                <w:t>.</w:t>
                <w:tab/>
              </w:r>
              <w:r>
                <w:rPr>
                  <w:rFonts w:eastAsia="Andale Sans UI" w:cs="Tahoma"/>
                  <w:szCs w:val="24"/>
                  <w:lang w:val="en-US" w:eastAsia="lt-LT" w:bidi="en-US"/>
                </w:rPr>
                <w:t>Lietuvos pramonininkų konfederacija, el. p. sekretoriatas@lpk.lt</w:t>
              </w:r>
            </w:p>
          </w:sdtContent>
        </w:sdt>
        <w:sdt>
          <w:sdtPr>
            <w:alias w:val="13 p."/>
            <w:tag w:val="part_23cf60808f774ec98264573cbf62a28c"/>
            <w:lock w:val="sdtLocked"/>
            <w:richText/>
          </w:sdtPr>
          <w:sdtContent>
            <w:p>
              <w:pPr>
                <w:ind w:left="720" w:hanging="360"/>
                <w:jc w:val="both"/>
                <w:textAlignment w:val="baseline"/>
                <w:rPr>
                  <w:rFonts w:eastAsia="Andale Sans UI"/>
                  <w:szCs w:val="24"/>
                  <w:lang w:val="en-US" w:eastAsia="lt-LT" w:bidi="en-US"/>
                </w:rPr>
              </w:pPr>
              <w:sdt>
                <w:sdtPr>
                  <w:alias w:val="Numeris"/>
                  <w:tag w:val="nr_23cf60808f774ec98264573cbf62a28c"/>
                  <w:lock w:val="sdtLocked"/>
                  <w:richText/>
                </w:sdtPr>
                <w:sdtContent>
                  <w:r>
                    <w:rPr>
                      <w:rFonts w:eastAsia="Andale Sans UI"/>
                      <w:szCs w:val="24"/>
                      <w:lang w:val="en-US" w:eastAsia="lt-LT" w:bidi="en-US"/>
                    </w:rPr>
                    <w:t>13</w:t>
                  </w:r>
                </w:sdtContent>
              </w:sdt>
              <w:r>
                <w:rPr>
                  <w:rFonts w:eastAsia="Andale Sans UI"/>
                  <w:szCs w:val="24"/>
                  <w:lang w:val="en-US" w:eastAsia="lt-LT" w:bidi="en-US"/>
                </w:rPr>
                <w:t>.</w:t>
                <w:tab/>
              </w:r>
              <w:r>
                <w:rPr>
                  <w:rFonts w:eastAsia="Andale Sans UI" w:cs="Tahoma"/>
                  <w:szCs w:val="24"/>
                  <w:lang w:val="en-US" w:eastAsia="lt-LT" w:bidi="en-US"/>
                </w:rPr>
                <w:t>Statybos sektoriaus vystymo agentūra, el. p. agentura@ssva.lt</w:t>
              </w:r>
            </w:p>
            <w:p>
              <w:pPr>
                <w:widowControl w:val="0"/>
                <w:suppressAutoHyphens/>
                <w:ind w:left="720"/>
                <w:jc w:val="both"/>
                <w:rPr>
                  <w:rFonts w:eastAsia="Andale Sans UI" w:cs="Tahoma"/>
                  <w:szCs w:val="24"/>
                  <w:lang w:bidi="en-US"/>
                </w:rPr>
              </w:pPr>
            </w:p>
            <w:p>
              <w:pPr>
                <w:widowControl w:val="0"/>
                <w:suppressAutoHyphens/>
                <w:ind w:left="720"/>
                <w:jc w:val="both"/>
                <w:rPr>
                  <w:rFonts w:eastAsia="Andale Sans UI" w:cs="Tahoma"/>
                  <w:szCs w:val="24"/>
                  <w:lang w:val="en-US" w:bidi="en-US"/>
                </w:rPr>
              </w:pPr>
            </w:p>
            <w:p>
              <w:pPr>
                <w:widowControl w:val="0"/>
                <w:suppressAutoHyphens/>
                <w:ind w:firstLine="567"/>
                <w:jc w:val="both"/>
                <w:rPr>
                  <w:rFonts w:eastAsia="Andale Sans UI" w:cs="Tahoma"/>
                  <w:szCs w:val="24"/>
                  <w:lang w:val="en-US" w:bidi="en-US"/>
                </w:rPr>
              </w:pPr>
            </w:p>
            <w:p>
              <w:pPr>
                <w:jc w:val="both"/>
                <w:rPr>
                  <w:rFonts w:eastAsia="Andale Sans UI" w:cs="Tahoma"/>
                  <w:szCs w:val="24"/>
                  <w:lang w:bidi="en-US"/>
                </w:rPr>
              </w:pPr>
            </w:p>
            <w:tbl>
              <w:tblPr>
                <w:tblW w:w="9631" w:type="dxa"/>
                <w:tblInd w:w="8" w:type="dxa"/>
                <w:tblLayout w:type="fixed"/>
                <w:tblCellMar>
                  <w:left w:w="0" w:type="dxa"/>
                  <w:right w:w="0" w:type="dxa"/>
                </w:tblCellMar>
                <w:tblLook w:val="0000" w:firstRow="0" w:lastRow="0" w:firstColumn="0" w:lastColumn="0" w:noHBand="0" w:noVBand="0"/>
              </w:tblPr>
              <w:tblGrid>
                <w:gridCol w:w="4817"/>
                <w:gridCol w:w="4814"/>
              </w:tblGrid>
              <w:tr>
                <w:trPr>
                  <w:trHeight w:val="340"/>
                </w:trPr>
                <w:tc>
                  <w:tcPr>
                    <w:tcW w:w="4817" w:type="dxa"/>
                    <w:vAlign w:val="bottom"/>
                  </w:tcPr>
                  <w:p>
                    <w:pPr>
                      <w:suppressLineNumbers/>
                      <w:jc w:val="both"/>
                      <w:rPr>
                        <w:rFonts w:eastAsia="Andale Sans UI" w:cs="Tahoma"/>
                        <w:szCs w:val="24"/>
                        <w:lang w:bidi="en-US"/>
                      </w:rPr>
                    </w:pPr>
                  </w:p>
                </w:tc>
                <w:tc>
                  <w:tcPr>
                    <w:tcW w:w="4814" w:type="dxa"/>
                    <w:vAlign w:val="bottom"/>
                  </w:tcPr>
                  <w:p>
                    <w:pPr>
                      <w:ind w:right="34"/>
                      <w:jc w:val="right"/>
                      <w:rPr>
                        <w:rFonts w:eastAsia="Andale Sans UI" w:cs="Tahoma"/>
                        <w:szCs w:val="24"/>
                        <w:lang w:bidi="en-US"/>
                      </w:rPr>
                    </w:pPr>
                  </w:p>
                </w:tc>
              </w:tr>
              <w:tr>
                <w:trPr>
                  <w:trHeight w:val="340"/>
                </w:trPr>
                <w:tc>
                  <w:tcPr>
                    <w:tcW w:w="4817" w:type="dxa"/>
                    <w:vAlign w:val="bottom"/>
                  </w:tcPr>
                  <w:p>
                    <w:pPr>
                      <w:suppressLineNumbers/>
                      <w:jc w:val="both"/>
                      <w:rPr>
                        <w:rFonts w:eastAsia="Andale Sans UI" w:cs="Tahoma"/>
                        <w:szCs w:val="24"/>
                        <w:lang w:bidi="en-US"/>
                      </w:rPr>
                    </w:pPr>
                  </w:p>
                </w:tc>
                <w:tc>
                  <w:tcPr>
                    <w:tcW w:w="4814" w:type="dxa"/>
                    <w:vAlign w:val="bottom"/>
                  </w:tcPr>
                  <w:p>
                    <w:pPr>
                      <w:ind w:right="34"/>
                      <w:jc w:val="right"/>
                      <w:rPr>
                        <w:rFonts w:eastAsia="Andale Sans UI" w:cs="Tahoma"/>
                        <w:szCs w:val="24"/>
                        <w:lang w:bidi="en-US"/>
                      </w:rPr>
                    </w:pPr>
                  </w:p>
                </w:tc>
              </w:tr>
            </w:tbl>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ind w:left="720"/>
                <w:jc w:val="both"/>
                <w:rPr>
                  <w:rFonts w:eastAsia="Andale Sans UI" w:cs="Tahoma"/>
                  <w:szCs w:val="24"/>
                  <w:lang w:bidi="en-US"/>
                </w:rPr>
              </w:pPr>
            </w:p>
          </w:sdtContent>
        </w:sdt>
      </w:sdtContent>
    </w:sdt>
    <w:sectPr>
      <w:headerReference w:type="even" r:id="rId8"/>
      <w:headerReference w:type="default" r:id="rId9"/>
      <w:footerReference w:type="even" r:id="rId10"/>
      <w:footerReference w:type="default" r:id="rId11"/>
      <w:headerReference w:type="first" r:id="rId12"/>
      <w:footerReference w:type="first" r:id="rId13"/>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69633"/>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2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949781">
      <w:bodyDiv w:val="1"/>
      <w:marLeft w:val="0"/>
      <w:marRight w:val="0"/>
      <w:marTop w:val="0"/>
      <w:marBottom w:val="0"/>
      <w:divBdr>
        <w:top w:val="none" w:sz="0" w:space="0" w:color="auto"/>
        <w:left w:val="none" w:sz="0" w:space="0" w:color="auto"/>
        <w:bottom w:val="none" w:sz="0" w:space="0" w:color="auto"/>
        <w:right w:val="none" w:sz="0" w:space="0" w:color="auto"/>
      </w:divBdr>
    </w:div>
    <w:div w:id="476190738">
      <w:bodyDiv w:val="1"/>
      <w:marLeft w:val="0"/>
      <w:marRight w:val="0"/>
      <w:marTop w:val="0"/>
      <w:marBottom w:val="0"/>
      <w:divBdr>
        <w:top w:val="none" w:sz="0" w:space="0" w:color="auto"/>
        <w:left w:val="none" w:sz="0" w:space="0" w:color="auto"/>
        <w:bottom w:val="none" w:sz="0" w:space="0" w:color="auto"/>
        <w:right w:val="none" w:sz="0" w:space="0" w:color="auto"/>
      </w:divBdr>
      <w:divsChild>
        <w:div w:id="632179457">
          <w:marLeft w:val="0"/>
          <w:marRight w:val="0"/>
          <w:marTop w:val="0"/>
          <w:marBottom w:val="0"/>
          <w:divBdr>
            <w:top w:val="none" w:sz="0" w:space="0" w:color="auto"/>
            <w:left w:val="none" w:sz="0" w:space="0" w:color="auto"/>
            <w:bottom w:val="none" w:sz="0" w:space="0" w:color="auto"/>
            <w:right w:val="none" w:sz="0" w:space="0" w:color="auto"/>
          </w:divBdr>
          <w:divsChild>
            <w:div w:id="235631298">
              <w:marLeft w:val="0"/>
              <w:marRight w:val="0"/>
              <w:marTop w:val="30"/>
              <w:marBottom w:val="30"/>
              <w:divBdr>
                <w:top w:val="none" w:sz="0" w:space="0" w:color="auto"/>
                <w:left w:val="none" w:sz="0" w:space="0" w:color="auto"/>
                <w:bottom w:val="none" w:sz="0" w:space="0" w:color="auto"/>
                <w:right w:val="none" w:sz="0" w:space="0" w:color="auto"/>
              </w:divBdr>
              <w:divsChild>
                <w:div w:id="1025863809">
                  <w:marLeft w:val="0"/>
                  <w:marRight w:val="0"/>
                  <w:marTop w:val="0"/>
                  <w:marBottom w:val="0"/>
                  <w:divBdr>
                    <w:top w:val="none" w:sz="0" w:space="0" w:color="auto"/>
                    <w:left w:val="none" w:sz="0" w:space="0" w:color="auto"/>
                    <w:bottom w:val="none" w:sz="0" w:space="0" w:color="auto"/>
                    <w:right w:val="none" w:sz="0" w:space="0" w:color="auto"/>
                  </w:divBdr>
                  <w:divsChild>
                    <w:div w:id="1407190652">
                      <w:marLeft w:val="0"/>
                      <w:marRight w:val="0"/>
                      <w:marTop w:val="0"/>
                      <w:marBottom w:val="0"/>
                      <w:divBdr>
                        <w:top w:val="none" w:sz="0" w:space="0" w:color="auto"/>
                        <w:left w:val="none" w:sz="0" w:space="0" w:color="auto"/>
                        <w:bottom w:val="none" w:sz="0" w:space="0" w:color="auto"/>
                        <w:right w:val="none" w:sz="0" w:space="0" w:color="auto"/>
                      </w:divBdr>
                    </w:div>
                  </w:divsChild>
                </w:div>
                <w:div w:id="1447776682">
                  <w:marLeft w:val="0"/>
                  <w:marRight w:val="0"/>
                  <w:marTop w:val="0"/>
                  <w:marBottom w:val="0"/>
                  <w:divBdr>
                    <w:top w:val="none" w:sz="0" w:space="0" w:color="auto"/>
                    <w:left w:val="none" w:sz="0" w:space="0" w:color="auto"/>
                    <w:bottom w:val="none" w:sz="0" w:space="0" w:color="auto"/>
                    <w:right w:val="none" w:sz="0" w:space="0" w:color="auto"/>
                  </w:divBdr>
                  <w:divsChild>
                    <w:div w:id="85658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946756">
          <w:marLeft w:val="0"/>
          <w:marRight w:val="0"/>
          <w:marTop w:val="0"/>
          <w:marBottom w:val="0"/>
          <w:divBdr>
            <w:top w:val="none" w:sz="0" w:space="0" w:color="auto"/>
            <w:left w:val="none" w:sz="0" w:space="0" w:color="auto"/>
            <w:bottom w:val="none" w:sz="0" w:space="0" w:color="auto"/>
            <w:right w:val="none" w:sz="0" w:space="0" w:color="auto"/>
          </w:divBdr>
        </w:div>
        <w:div w:id="1464538059">
          <w:marLeft w:val="0"/>
          <w:marRight w:val="0"/>
          <w:marTop w:val="0"/>
          <w:marBottom w:val="0"/>
          <w:divBdr>
            <w:top w:val="none" w:sz="0" w:space="0" w:color="auto"/>
            <w:left w:val="none" w:sz="0" w:space="0" w:color="auto"/>
            <w:bottom w:val="none" w:sz="0" w:space="0" w:color="auto"/>
            <w:right w:val="none" w:sz="0" w:space="0" w:color="auto"/>
          </w:divBdr>
        </w:div>
        <w:div w:id="1901019860">
          <w:marLeft w:val="0"/>
          <w:marRight w:val="0"/>
          <w:marTop w:val="0"/>
          <w:marBottom w:val="0"/>
          <w:divBdr>
            <w:top w:val="none" w:sz="0" w:space="0" w:color="auto"/>
            <w:left w:val="none" w:sz="0" w:space="0" w:color="auto"/>
            <w:bottom w:val="none" w:sz="0" w:space="0" w:color="auto"/>
            <w:right w:val="none" w:sz="0" w:space="0" w:color="auto"/>
          </w:divBdr>
        </w:div>
        <w:div w:id="1433933387">
          <w:marLeft w:val="0"/>
          <w:marRight w:val="0"/>
          <w:marTop w:val="0"/>
          <w:marBottom w:val="0"/>
          <w:divBdr>
            <w:top w:val="none" w:sz="0" w:space="0" w:color="auto"/>
            <w:left w:val="none" w:sz="0" w:space="0" w:color="auto"/>
            <w:bottom w:val="none" w:sz="0" w:space="0" w:color="auto"/>
            <w:right w:val="none" w:sz="0" w:space="0" w:color="auto"/>
          </w:divBdr>
        </w:div>
        <w:div w:id="952592415">
          <w:marLeft w:val="0"/>
          <w:marRight w:val="0"/>
          <w:marTop w:val="0"/>
          <w:marBottom w:val="0"/>
          <w:divBdr>
            <w:top w:val="none" w:sz="0" w:space="0" w:color="auto"/>
            <w:left w:val="none" w:sz="0" w:space="0" w:color="auto"/>
            <w:bottom w:val="none" w:sz="0" w:space="0" w:color="auto"/>
            <w:right w:val="none" w:sz="0" w:space="0" w:color="auto"/>
          </w:divBdr>
        </w:div>
        <w:div w:id="554393146">
          <w:marLeft w:val="0"/>
          <w:marRight w:val="0"/>
          <w:marTop w:val="0"/>
          <w:marBottom w:val="0"/>
          <w:divBdr>
            <w:top w:val="none" w:sz="0" w:space="0" w:color="auto"/>
            <w:left w:val="none" w:sz="0" w:space="0" w:color="auto"/>
            <w:bottom w:val="none" w:sz="0" w:space="0" w:color="auto"/>
            <w:right w:val="none" w:sz="0" w:space="0" w:color="auto"/>
          </w:divBdr>
        </w:div>
        <w:div w:id="1842968921">
          <w:marLeft w:val="0"/>
          <w:marRight w:val="0"/>
          <w:marTop w:val="0"/>
          <w:marBottom w:val="0"/>
          <w:divBdr>
            <w:top w:val="none" w:sz="0" w:space="0" w:color="auto"/>
            <w:left w:val="none" w:sz="0" w:space="0" w:color="auto"/>
            <w:bottom w:val="none" w:sz="0" w:space="0" w:color="auto"/>
            <w:right w:val="none" w:sz="0" w:space="0" w:color="auto"/>
          </w:divBdr>
        </w:div>
        <w:div w:id="21561992">
          <w:marLeft w:val="0"/>
          <w:marRight w:val="0"/>
          <w:marTop w:val="0"/>
          <w:marBottom w:val="0"/>
          <w:divBdr>
            <w:top w:val="none" w:sz="0" w:space="0" w:color="auto"/>
            <w:left w:val="none" w:sz="0" w:space="0" w:color="auto"/>
            <w:bottom w:val="none" w:sz="0" w:space="0" w:color="auto"/>
            <w:right w:val="none" w:sz="0" w:space="0" w:color="auto"/>
          </w:divBdr>
        </w:div>
        <w:div w:id="923564607">
          <w:marLeft w:val="0"/>
          <w:marRight w:val="0"/>
          <w:marTop w:val="0"/>
          <w:marBottom w:val="0"/>
          <w:divBdr>
            <w:top w:val="none" w:sz="0" w:space="0" w:color="auto"/>
            <w:left w:val="none" w:sz="0" w:space="0" w:color="auto"/>
            <w:bottom w:val="none" w:sz="0" w:space="0" w:color="auto"/>
            <w:right w:val="none" w:sz="0" w:space="0" w:color="auto"/>
          </w:divBdr>
        </w:div>
        <w:div w:id="1952472444">
          <w:marLeft w:val="0"/>
          <w:marRight w:val="0"/>
          <w:marTop w:val="0"/>
          <w:marBottom w:val="0"/>
          <w:divBdr>
            <w:top w:val="none" w:sz="0" w:space="0" w:color="auto"/>
            <w:left w:val="none" w:sz="0" w:space="0" w:color="auto"/>
            <w:bottom w:val="none" w:sz="0" w:space="0" w:color="auto"/>
            <w:right w:val="none" w:sz="0" w:space="0" w:color="auto"/>
          </w:divBdr>
        </w:div>
        <w:div w:id="2074421830">
          <w:marLeft w:val="0"/>
          <w:marRight w:val="0"/>
          <w:marTop w:val="0"/>
          <w:marBottom w:val="0"/>
          <w:divBdr>
            <w:top w:val="none" w:sz="0" w:space="0" w:color="auto"/>
            <w:left w:val="none" w:sz="0" w:space="0" w:color="auto"/>
            <w:bottom w:val="none" w:sz="0" w:space="0" w:color="auto"/>
            <w:right w:val="none" w:sz="0" w:space="0" w:color="auto"/>
          </w:divBdr>
        </w:div>
        <w:div w:id="1383867403">
          <w:marLeft w:val="0"/>
          <w:marRight w:val="0"/>
          <w:marTop w:val="0"/>
          <w:marBottom w:val="0"/>
          <w:divBdr>
            <w:top w:val="none" w:sz="0" w:space="0" w:color="auto"/>
            <w:left w:val="none" w:sz="0" w:space="0" w:color="auto"/>
            <w:bottom w:val="none" w:sz="0" w:space="0" w:color="auto"/>
            <w:right w:val="none" w:sz="0" w:space="0" w:color="auto"/>
          </w:divBdr>
        </w:div>
        <w:div w:id="1322655923">
          <w:marLeft w:val="0"/>
          <w:marRight w:val="0"/>
          <w:marTop w:val="0"/>
          <w:marBottom w:val="0"/>
          <w:divBdr>
            <w:top w:val="none" w:sz="0" w:space="0" w:color="auto"/>
            <w:left w:val="none" w:sz="0" w:space="0" w:color="auto"/>
            <w:bottom w:val="none" w:sz="0" w:space="0" w:color="auto"/>
            <w:right w:val="none" w:sz="0" w:space="0" w:color="auto"/>
          </w:divBdr>
        </w:div>
        <w:div w:id="1965237058">
          <w:marLeft w:val="0"/>
          <w:marRight w:val="0"/>
          <w:marTop w:val="0"/>
          <w:marBottom w:val="0"/>
          <w:divBdr>
            <w:top w:val="none" w:sz="0" w:space="0" w:color="auto"/>
            <w:left w:val="none" w:sz="0" w:space="0" w:color="auto"/>
            <w:bottom w:val="none" w:sz="0" w:space="0" w:color="auto"/>
            <w:right w:val="none" w:sz="0" w:space="0" w:color="auto"/>
          </w:divBdr>
        </w:div>
      </w:divsChild>
    </w:div>
    <w:div w:id="528494746">
      <w:bodyDiv w:val="1"/>
      <w:marLeft w:val="0"/>
      <w:marRight w:val="0"/>
      <w:marTop w:val="0"/>
      <w:marBottom w:val="0"/>
      <w:divBdr>
        <w:top w:val="none" w:sz="0" w:space="0" w:color="auto"/>
        <w:left w:val="none" w:sz="0" w:space="0" w:color="auto"/>
        <w:bottom w:val="none" w:sz="0" w:space="0" w:color="auto"/>
        <w:right w:val="none" w:sz="0" w:space="0" w:color="auto"/>
      </w:divBdr>
      <w:divsChild>
        <w:div w:id="1903252911">
          <w:marLeft w:val="864"/>
          <w:marRight w:val="0"/>
          <w:marTop w:val="0"/>
          <w:marBottom w:val="0"/>
          <w:divBdr>
            <w:top w:val="none" w:sz="0" w:space="0" w:color="auto"/>
            <w:left w:val="none" w:sz="0" w:space="0" w:color="auto"/>
            <w:bottom w:val="none" w:sz="0" w:space="0" w:color="auto"/>
            <w:right w:val="none" w:sz="0" w:space="0" w:color="auto"/>
          </w:divBdr>
        </w:div>
        <w:div w:id="266432439">
          <w:marLeft w:val="864"/>
          <w:marRight w:val="0"/>
          <w:marTop w:val="0"/>
          <w:marBottom w:val="0"/>
          <w:divBdr>
            <w:top w:val="none" w:sz="0" w:space="0" w:color="auto"/>
            <w:left w:val="none" w:sz="0" w:space="0" w:color="auto"/>
            <w:bottom w:val="none" w:sz="0" w:space="0" w:color="auto"/>
            <w:right w:val="none" w:sz="0" w:space="0" w:color="auto"/>
          </w:divBdr>
        </w:div>
        <w:div w:id="2099670643">
          <w:marLeft w:val="864"/>
          <w:marRight w:val="0"/>
          <w:marTop w:val="0"/>
          <w:marBottom w:val="0"/>
          <w:divBdr>
            <w:top w:val="none" w:sz="0" w:space="0" w:color="auto"/>
            <w:left w:val="none" w:sz="0" w:space="0" w:color="auto"/>
            <w:bottom w:val="none" w:sz="0" w:space="0" w:color="auto"/>
            <w:right w:val="none" w:sz="0" w:space="0" w:color="auto"/>
          </w:divBdr>
        </w:div>
        <w:div w:id="882058982">
          <w:marLeft w:val="864"/>
          <w:marRight w:val="0"/>
          <w:marTop w:val="0"/>
          <w:marBottom w:val="0"/>
          <w:divBdr>
            <w:top w:val="none" w:sz="0" w:space="0" w:color="auto"/>
            <w:left w:val="none" w:sz="0" w:space="0" w:color="auto"/>
            <w:bottom w:val="none" w:sz="0" w:space="0" w:color="auto"/>
            <w:right w:val="none" w:sz="0" w:space="0" w:color="auto"/>
          </w:divBdr>
        </w:div>
        <w:div w:id="544215977">
          <w:marLeft w:val="864"/>
          <w:marRight w:val="0"/>
          <w:marTop w:val="0"/>
          <w:marBottom w:val="0"/>
          <w:divBdr>
            <w:top w:val="none" w:sz="0" w:space="0" w:color="auto"/>
            <w:left w:val="none" w:sz="0" w:space="0" w:color="auto"/>
            <w:bottom w:val="none" w:sz="0" w:space="0" w:color="auto"/>
            <w:right w:val="none" w:sz="0" w:space="0" w:color="auto"/>
          </w:divBdr>
        </w:div>
        <w:div w:id="1571966869">
          <w:marLeft w:val="864"/>
          <w:marRight w:val="0"/>
          <w:marTop w:val="0"/>
          <w:marBottom w:val="0"/>
          <w:divBdr>
            <w:top w:val="none" w:sz="0" w:space="0" w:color="auto"/>
            <w:left w:val="none" w:sz="0" w:space="0" w:color="auto"/>
            <w:bottom w:val="none" w:sz="0" w:space="0" w:color="auto"/>
            <w:right w:val="none" w:sz="0" w:space="0" w:color="auto"/>
          </w:divBdr>
        </w:div>
      </w:divsChild>
    </w:div>
    <w:div w:id="533620720">
      <w:bodyDiv w:val="1"/>
      <w:marLeft w:val="0"/>
      <w:marRight w:val="0"/>
      <w:marTop w:val="0"/>
      <w:marBottom w:val="0"/>
      <w:divBdr>
        <w:top w:val="none" w:sz="0" w:space="0" w:color="auto"/>
        <w:left w:val="none" w:sz="0" w:space="0" w:color="auto"/>
        <w:bottom w:val="none" w:sz="0" w:space="0" w:color="auto"/>
        <w:right w:val="none" w:sz="0" w:space="0" w:color="auto"/>
      </w:divBdr>
      <w:divsChild>
        <w:div w:id="858857495">
          <w:marLeft w:val="288"/>
          <w:marRight w:val="0"/>
          <w:marTop w:val="0"/>
          <w:marBottom w:val="0"/>
          <w:divBdr>
            <w:top w:val="none" w:sz="0" w:space="0" w:color="auto"/>
            <w:left w:val="none" w:sz="0" w:space="0" w:color="auto"/>
            <w:bottom w:val="none" w:sz="0" w:space="0" w:color="auto"/>
            <w:right w:val="none" w:sz="0" w:space="0" w:color="auto"/>
          </w:divBdr>
        </w:div>
        <w:div w:id="870342182">
          <w:marLeft w:val="288"/>
          <w:marRight w:val="0"/>
          <w:marTop w:val="0"/>
          <w:marBottom w:val="0"/>
          <w:divBdr>
            <w:top w:val="none" w:sz="0" w:space="0" w:color="auto"/>
            <w:left w:val="none" w:sz="0" w:space="0" w:color="auto"/>
            <w:bottom w:val="none" w:sz="0" w:space="0" w:color="auto"/>
            <w:right w:val="none" w:sz="0" w:space="0" w:color="auto"/>
          </w:divBdr>
        </w:div>
        <w:div w:id="449128084">
          <w:marLeft w:val="288"/>
          <w:marRight w:val="0"/>
          <w:marTop w:val="0"/>
          <w:marBottom w:val="0"/>
          <w:divBdr>
            <w:top w:val="none" w:sz="0" w:space="0" w:color="auto"/>
            <w:left w:val="none" w:sz="0" w:space="0" w:color="auto"/>
            <w:bottom w:val="none" w:sz="0" w:space="0" w:color="auto"/>
            <w:right w:val="none" w:sz="0" w:space="0" w:color="auto"/>
          </w:divBdr>
        </w:div>
      </w:divsChild>
    </w:div>
    <w:div w:id="843203367">
      <w:bodyDiv w:val="1"/>
      <w:marLeft w:val="0"/>
      <w:marRight w:val="0"/>
      <w:marTop w:val="0"/>
      <w:marBottom w:val="0"/>
      <w:divBdr>
        <w:top w:val="none" w:sz="0" w:space="0" w:color="auto"/>
        <w:left w:val="none" w:sz="0" w:space="0" w:color="auto"/>
        <w:bottom w:val="none" w:sz="0" w:space="0" w:color="auto"/>
        <w:right w:val="none" w:sz="0" w:space="0" w:color="auto"/>
      </w:divBdr>
    </w:div>
    <w:div w:id="1204557557">
      <w:bodyDiv w:val="1"/>
      <w:marLeft w:val="0"/>
      <w:marRight w:val="0"/>
      <w:marTop w:val="0"/>
      <w:marBottom w:val="0"/>
      <w:divBdr>
        <w:top w:val="none" w:sz="0" w:space="0" w:color="auto"/>
        <w:left w:val="none" w:sz="0" w:space="0" w:color="auto"/>
        <w:bottom w:val="none" w:sz="0" w:space="0" w:color="auto"/>
        <w:right w:val="none" w:sz="0" w:space="0" w:color="auto"/>
      </w:divBdr>
    </w:div>
    <w:div w:id="1672682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4544d11dbb9d4e4198e496ac2bcee2ff" PartId="328184e6c70344eeba81df4f61926c10"/>
  <Part Type="pastraipa" DocPartId="51ea54a46ca14d719f2eab28b9490cd0" PartId="42034f2c41cf4263993f3e05128e2b6e"/>
  <Part Type="pastraipa" DocPartId="8b828fcd464149af9742c49f464b4181" PartId="6abcbc61e6e44584a11dafeef7e7506f"/>
  <Part Type="pastraipa" DocPartId="99f82774c47f47819a4297d54194d598" PartId="f78f7c24d5af4fbc8a2c063abef2eb3c"/>
  <Part Type="pastraipa" DocPartId="5f4ff52295854b5882088da1ce9d5db8" PartId="49cdf043f0844f80b2799b50f3d1c533"/>
  <Part Type="pastraipa" DocPartId="2d76734d95c94c098a0b89f0855baf81" PartId="01260fb7064c414c902231a2146bf070"/>
  <Part Type="pastraipa" DocPartId="ce786694c8fd44458a4bd886b171008c" PartId="22d2a500f91a4beeb6339fefd8ddef29"/>
  <Part Type="pastraipa" DocPartId="78aa11a53f50461a91655642a6145cb9" PartId="cf1f1612ed6d4569bc0b455c3759a0fb"/>
  <Part Type="pastraipa" DocPartId="42366bfec62e452eb0dfe0143442ce1b" PartId="029362b9784645b08bc7992be7a70b27">
    <Part Type="punktas" Nr="1" Abbr="1 p." DocPartId="568f25cffe2b42dd9f4ae7efe374b82f" PartId="37ae2374c53345f4a6cfd90d093aa6d5"/>
    <Part Type="punktas" Nr="2" Abbr="2 p." DocPartId="63b67e27dbca403ca6501b2cdbdacd5c" PartId="f5bd3388407d46b0a5fdb564639f83ad"/>
    <Part Type="punktas" Nr="3" Abbr="3 p." DocPartId="e589b12bb2a1469b83d850a521bb675c" PartId="2119f393bb4741ee9630a03010185936"/>
    <Part Type="punktas" Nr="4" Abbr="4 p." DocPartId="88b6cc85e19d4d798c848436e7eddc78" PartId="acd8b7a35dc941cbbe7e76ad40423269"/>
    <Part Type="punktas" Nr="1" Abbr="1 p." Notes="Numeris ne iš eilės. Trūksta dalių? [DocDalys]" DocPartId="084220096e7a45adae36680f8414d8ce" PartId="8ebe9c6e0dd94b17a8fca6b8e16e889b"/>
    <Part Type="punktas" Nr="2" Abbr="2 p." DocPartId="fd2eefb5024e4223a608b76bd89dffa7" PartId="b211e90e9e4b494f85ea7fa64608e889"/>
    <Part Type="punktas" Nr="3" Abbr="3 p." DocPartId="25f24d089b844e7fa4d2c8843fafec7c" PartId="a90e083504f842e385175c1521570ec8"/>
    <Part Type="punktas" Nr="4" Abbr="4 p." DocPartId="5998204ceb7a4a5d9317670bf5cc6cb9" PartId="21e518c43ecd490f91e993d2edf174a5"/>
    <Part Type="punktas" Nr="5" Abbr="5 p." DocPartId="1602058abac544c880062d9260ae7a90" PartId="acc725271d7642698ee879370f697b7b"/>
    <Part Type="punktas" Nr="6" Abbr="6 p." DocPartId="aabb4fe1c2eb4405aa152e620ae9ac42" PartId="30ead14a37c849ae9f9f790a8156b8bd"/>
    <Part Type="punktas" Nr="7" Abbr="7 p." DocPartId="70b4d99399254013b852db87217d0a8b" PartId="5dd87861e74243d7a9c20db567ed61be"/>
    <Part Type="punktas" Nr="8" Abbr="8 p." DocPartId="d2b4732375bb40a0a9c223050394d4d3" PartId="4909a8b063dc4011910d856a4faa17d0"/>
    <Part Type="punktas" Nr="9" Abbr="9 p." DocPartId="1db56ae9a3fb41db86027abe0cec7a61" PartId="13467f8260f34b098a674ef9ae3eb951"/>
    <Part Type="punktas" Nr="10" Abbr="10 p." DocPartId="0ba1b583d0dd4cfcafb1e884c5ae4052" PartId="4bf04ddb070d4e36b67582d0657bf7b2"/>
    <Part Type="punktas" Nr="11" Abbr="11 p." DocPartId="3843d9e13c734a05a72007fbb65d51dc" PartId="b387dccb54d843739b0e504126775818"/>
    <Part Type="punktas" Nr="12" Abbr="12 p." DocPartId="e9e0041f1acb4f88a577067719f4ac60" PartId="0fc61ca32f6843a8b92a3d4ad094eed3"/>
    <Part Type="punktas" Nr="13" Abbr="13 p." DocPartId="2956b8b149a54ea984d6073d7ae5c99d" PartId="23cf60808f774ec98264573cbf62a28c"/>
  </Part>
</Parts>
</file>

<file path=customXml/itemProps1.xml><?xml version="1.0" encoding="utf-8"?>
<ds:datastoreItem xmlns:ds="http://schemas.openxmlformats.org/officeDocument/2006/customXml" ds:itemID="{5B9DACE7-BFDE-4FF5-85D9-C7C3DE80D85C}">
  <ds:schemaRefs>
    <ds:schemaRef ds:uri="http://schemas.openxmlformats.org/officeDocument/2006/bibliography"/>
  </ds:schemaRefs>
</ds:datastoreItem>
</file>

<file path=customXml/itemProps2.xml><?xml version="1.0" encoding="utf-8"?>
<ds:datastoreItem xmlns:ds="http://schemas.openxmlformats.org/officeDocument/2006/customXml" ds:itemID="{044D6703-08DF-47D7-BC7F-581974A8D8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648</Words>
  <Characters>4841</Characters>
  <Application>Microsoft Office Word</Application>
  <DocSecurity>4</DocSecurity>
  <Lines>138</Lines>
  <Paragraphs>44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5445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2023-12-06T13:39:00Z</dcterms:created>
  <dcterms:modified xsi:type="dcterms:W3CDTF">2023-12-06T13:39:00Z</dcterms:modified>
  <revision>1</revision>
</coreProperties>
</file>