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fef4f9ff0d8459e9b6e98caab8e9711"/>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suppressLineNumbers/>
                  <w:tabs>
                    <w:tab w:val="center" w:pos="4800"/>
                    <w:tab w:val="right" w:pos="9601"/>
                  </w:tabs>
                  <w:jc w:val="both"/>
                  <w:rPr>
                    <w:rFonts w:eastAsia="Andale Sans UI" w:cs="Tahoma"/>
                    <w:szCs w:val="24"/>
                    <w:lang w:bidi="en-US"/>
                  </w:rPr>
                </w:pPr>
              </w:p>
              <w:p>
                <w:pPr>
                  <w:suppressLineNumbers/>
                  <w:spacing w:line="276" w:lineRule="auto"/>
                  <w:ind w:firstLine="62"/>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spacing w:line="276" w:lineRule="auto"/>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spacing w:line="276" w:lineRule="auto"/>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spacing w:line="276" w:lineRule="auto"/>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spacing w:line="276" w:lineRule="auto"/>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spacing w:line="276" w:lineRule="auto"/>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spacing w:line="276" w:lineRule="auto"/>
                  <w:jc w:val="both"/>
                  <w:rPr>
                    <w:rFonts w:eastAsia="Andale Sans UI"/>
                    <w:szCs w:val="24"/>
                    <w:lang w:bidi="en-US"/>
                  </w:rPr>
                </w:pPr>
                <w:r>
                  <w:rPr>
                    <w:rFonts w:eastAsia="Andale Sans UI" w:cs="Tahoma"/>
                    <w:szCs w:val="24"/>
                    <w:lang w:bidi="en-US"/>
                  </w:rPr>
                  <w:t>Pagal adresatų sąrašą</w:t>
                </w:r>
              </w:p>
              <w:p>
                <w:pPr>
                  <w:suppressLineNumbers/>
                  <w:spacing w:line="276" w:lineRule="auto"/>
                  <w:jc w:val="both"/>
                  <w:rPr>
                    <w:rFonts w:eastAsia="Andale Sans UI"/>
                    <w:spacing w:val="10"/>
                    <w:szCs w:val="24"/>
                    <w:lang w:bidi="en-US"/>
                  </w:rPr>
                </w:pPr>
              </w:p>
            </w:tc>
            <w:tc>
              <w:tcPr>
                <w:tcW w:w="282" w:type="dxa"/>
                <w:tcMar>
                  <w:top w:w="0" w:type="dxa"/>
                  <w:left w:w="0" w:type="dxa"/>
                  <w:bottom w:w="0" w:type="dxa"/>
                  <w:right w:w="0" w:type="dxa"/>
                </w:tcMar>
              </w:tcPr>
              <w:p>
                <w:pPr>
                  <w:spacing w:line="276" w:lineRule="auto"/>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spacing w:line="276" w:lineRule="auto"/>
                  <w:ind w:right="67"/>
                  <w:jc w:val="both"/>
                  <w:rPr>
                    <w:rFonts w:eastAsia="Andale Sans UI"/>
                    <w:szCs w:val="24"/>
                    <w:lang w:val="en-GB" w:bidi="en-US"/>
                  </w:rPr>
                </w:pPr>
                <w:r>
                  <w:rPr>
                    <w:rFonts w:eastAsia="Andale Sans UI"/>
                    <w:szCs w:val="24"/>
                    <w:lang w:val="en-GB" w:bidi="en-US"/>
                  </w:rPr>
                  <w:t>2024-08-</w:t>
                </w:r>
              </w:p>
            </w:tc>
            <w:tc>
              <w:tcPr>
                <w:tcW w:w="565" w:type="dxa"/>
              </w:tcPr>
              <w:p>
                <w:pPr>
                  <w:spacing w:line="276" w:lineRule="auto"/>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spacing w:line="276" w:lineRule="auto"/>
                  <w:ind w:right="67"/>
                  <w:jc w:val="both"/>
                  <w:rPr>
                    <w:rFonts w:eastAsia="Andale Sans UI"/>
                    <w:szCs w:val="24"/>
                    <w:lang w:bidi="en-US"/>
                  </w:rPr>
                </w:pPr>
              </w:p>
            </w:tc>
          </w:tr>
          <w:tr>
            <w:trPr>
              <w:cantSplit/>
              <w:trHeight w:val="340"/>
            </w:trPr>
            <w:tc>
              <w:tcPr>
                <w:tcW w:w="4817" w:type="dxa"/>
                <w:vMerge/>
                <w:tcMar>
                  <w:top w:w="0" w:type="dxa"/>
                  <w:left w:w="0" w:type="dxa"/>
                  <w:bottom w:w="0" w:type="dxa"/>
                  <w:right w:w="0" w:type="dxa"/>
                </w:tcMar>
              </w:tcPr>
              <w:p>
                <w:pPr>
                  <w:spacing w:line="276" w:lineRule="auto"/>
                  <w:jc w:val="both"/>
                  <w:rPr>
                    <w:rFonts w:eastAsia="Andale Sans UI"/>
                    <w:szCs w:val="24"/>
                    <w:lang w:bidi="en-US"/>
                  </w:rPr>
                </w:pPr>
              </w:p>
            </w:tc>
            <w:tc>
              <w:tcPr>
                <w:tcW w:w="282" w:type="dxa"/>
                <w:tcMar>
                  <w:top w:w="0" w:type="dxa"/>
                  <w:left w:w="0" w:type="dxa"/>
                  <w:bottom w:w="0" w:type="dxa"/>
                  <w:right w:w="0" w:type="dxa"/>
                </w:tcMar>
              </w:tcPr>
              <w:p>
                <w:pPr>
                  <w:tabs>
                    <w:tab w:val="left" w:pos="2869"/>
                  </w:tabs>
                  <w:spacing w:line="276" w:lineRule="auto"/>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spacing w:line="276" w:lineRule="auto"/>
                  <w:ind w:right="67"/>
                  <w:jc w:val="both"/>
                  <w:rPr>
                    <w:rFonts w:eastAsia="Andale Sans UI"/>
                    <w:szCs w:val="24"/>
                    <w:lang w:bidi="en-US"/>
                  </w:rPr>
                </w:pPr>
              </w:p>
            </w:tc>
            <w:tc>
              <w:tcPr>
                <w:tcW w:w="565" w:type="dxa"/>
              </w:tcPr>
              <w:p>
                <w:pPr>
                  <w:tabs>
                    <w:tab w:val="left" w:pos="2869"/>
                  </w:tabs>
                  <w:spacing w:line="276" w:lineRule="auto"/>
                  <w:ind w:right="67"/>
                  <w:jc w:val="right"/>
                  <w:rPr>
                    <w:rFonts w:eastAsia="Andale Sans UI"/>
                    <w:spacing w:val="10"/>
                    <w:szCs w:val="24"/>
                    <w:lang w:bidi="en-US"/>
                  </w:rPr>
                </w:pPr>
              </w:p>
            </w:tc>
            <w:tc>
              <w:tcPr>
                <w:tcW w:w="2133" w:type="dxa"/>
              </w:tcPr>
              <w:p>
                <w:pPr>
                  <w:suppressLineNumbers/>
                  <w:spacing w:line="276" w:lineRule="auto"/>
                  <w:ind w:right="67"/>
                  <w:jc w:val="both"/>
                  <w:rPr>
                    <w:rFonts w:eastAsia="Andale Sans UI"/>
                    <w:szCs w:val="24"/>
                    <w:lang w:bidi="en-US"/>
                  </w:rPr>
                </w:pPr>
              </w:p>
            </w:tc>
          </w:tr>
          <w:tr>
            <w:trPr>
              <w:cantSplit/>
            </w:trPr>
            <w:tc>
              <w:tcPr>
                <w:tcW w:w="4817" w:type="dxa"/>
                <w:vMerge/>
                <w:tcMar>
                  <w:top w:w="0" w:type="dxa"/>
                  <w:left w:w="0" w:type="dxa"/>
                  <w:bottom w:w="0" w:type="dxa"/>
                  <w:right w:w="0" w:type="dxa"/>
                </w:tcMar>
              </w:tcPr>
              <w:p>
                <w:pPr>
                  <w:spacing w:line="276" w:lineRule="auto"/>
                  <w:jc w:val="both"/>
                  <w:rPr>
                    <w:rFonts w:eastAsia="Andale Sans UI"/>
                    <w:szCs w:val="24"/>
                    <w:lang w:bidi="en-US"/>
                  </w:rPr>
                </w:pPr>
              </w:p>
            </w:tc>
            <w:tc>
              <w:tcPr>
                <w:tcW w:w="4821" w:type="dxa"/>
                <w:gridSpan w:val="4"/>
                <w:tcMar>
                  <w:top w:w="0" w:type="dxa"/>
                  <w:left w:w="0" w:type="dxa"/>
                  <w:bottom w:w="0" w:type="dxa"/>
                  <w:right w:w="0" w:type="dxa"/>
                </w:tcMar>
              </w:tcPr>
              <w:p>
                <w:pPr>
                  <w:tabs>
                    <w:tab w:val="left" w:pos="2869"/>
                  </w:tabs>
                  <w:spacing w:line="276" w:lineRule="auto"/>
                  <w:ind w:right="67"/>
                  <w:jc w:val="both"/>
                  <w:rPr>
                    <w:rFonts w:eastAsia="Andale Sans UI"/>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szCs w:val="24"/>
                    <w:lang w:eastAsia="lt-LT" w:bidi="en-US"/>
                  </w:rPr>
                </w:pPr>
                <w:r>
                  <w:rPr>
                    <w:rFonts w:eastAsia="Andale Sans UI" w:cs="Tahoma"/>
                    <w:b/>
                    <w:caps/>
                    <w:szCs w:val="24"/>
                    <w:lang w:bidi="en-US"/>
                  </w:rPr>
                  <w:t xml:space="preserve">DĖL </w:t>
                </w:r>
                <w:r>
                  <w:rPr>
                    <w:rFonts w:eastAsia="Andale Sans UI" w:cs="Tahoma"/>
                    <w:b/>
                    <w:szCs w:val="24"/>
                    <w:lang w:eastAsia="lt-LT" w:bidi="en-US"/>
                  </w:rPr>
                  <w:t>APLINKOS MINISTRO ĮSAKYMO PROJEKTO</w:t>
                </w:r>
              </w:p>
              <w:p>
                <w:pPr>
                  <w:suppressLineNumbers/>
                  <w:spacing w:line="276" w:lineRule="auto"/>
                  <w:jc w:val="both"/>
                  <w:rPr>
                    <w:rFonts w:eastAsia="Andale Sans UI"/>
                    <w:b/>
                    <w:bCs/>
                    <w:szCs w:val="24"/>
                    <w:lang w:bidi="en-US"/>
                  </w:rPr>
                </w:pPr>
              </w:p>
            </w:tc>
          </w:tr>
        </w:tbl>
        <w:p/>
      </w:sdtContent>
    </w:sdt>
    <w:sdt>
      <w:sdtPr>
        <w:alias w:val="pastraipa"/>
        <w:tag w:val="part_dce5515c2f094df89d52a2e016f7f9d1"/>
        <w:lock w:val="sdtLocked"/>
        <w:richText/>
      </w:sdtPr>
      <w:sdtContent>
        <w:p>
          <w:pPr>
            <w:shd w:val="clear" w:color="auto" w:fill="FFFFFF"/>
            <w:spacing w:line="276" w:lineRule="auto"/>
            <w:ind w:firstLine="567"/>
            <w:jc w:val="both"/>
            <w:textAlignment w:val="center"/>
            <w:rPr>
              <w:rFonts w:eastAsia="Andale Sans UI"/>
              <w:szCs w:val="24"/>
              <w:lang w:bidi="en-US"/>
            </w:rPr>
          </w:pPr>
          <w:r>
            <w:rPr>
              <w:rFonts w:eastAsia="Andale Sans UI"/>
              <w:szCs w:val="24"/>
              <w:lang w:bidi="en-US"/>
            </w:rPr>
            <w:t>Aplinkos ministerija teikia išvadoms gauti Lietuvos Respublikos aplinkos ministro 2012 m. liepos 12 d. įsakymo Nr. D1-589 „Dėl Gamintojų ir importuotojų, kurie Lietuvos Respublikos vidaus rinkai tiekia elektros ir elektroninę įrangą, pakuotes, padangas užimamos rinkos dalies nustatymo tvarkos aprašo patvirtinimo“ pakeitimo projektą (toliau – Projektas).</w:t>
          </w:r>
        </w:p>
        <w:sdt>
          <w:sdtPr>
            <w:alias w:val="1 p."/>
            <w:tag w:val="part_bc172a244414449aa86386f7b2ef5c56"/>
            <w:lock w:val="sdtLocked"/>
            <w:richText/>
          </w:sdtPr>
          <w:sdtContent>
            <w:p>
              <w:pPr>
                <w:shd w:val="clear" w:color="auto" w:fill="FFFFFF"/>
                <w:spacing w:line="276" w:lineRule="auto"/>
                <w:ind w:firstLine="567"/>
                <w:jc w:val="both"/>
                <w:textAlignment w:val="center"/>
                <w:rPr>
                  <w:rFonts w:eastAsia="Andale Sans UI"/>
                  <w:b/>
                  <w:bCs/>
                  <w:szCs w:val="24"/>
                  <w:lang w:bidi="en-US"/>
                </w:rPr>
              </w:pPr>
              <w:sdt>
                <w:sdtPr>
                  <w:alias w:val="Numeris"/>
                  <w:tag w:val="nr_bc172a244414449aa86386f7b2ef5c56"/>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hd w:val="clear" w:color="auto" w:fill="FFFFFF"/>
                <w:spacing w:line="276" w:lineRule="auto"/>
                <w:ind w:firstLine="567"/>
                <w:jc w:val="both"/>
                <w:rPr>
                  <w:rFonts w:eastAsia="Andale Sans UI"/>
                  <w:szCs w:val="24"/>
                  <w:lang w:bidi="en-US"/>
                </w:rPr>
              </w:pPr>
              <w:r>
                <w:rPr>
                  <w:rFonts w:eastAsia="Andale Sans UI"/>
                  <w:szCs w:val="24"/>
                  <w:lang w:bidi="en-US"/>
                </w:rPr>
                <w:t xml:space="preserve">Projektus rengti paskatino Lietuvos Respublikos atliekų tvarkymo įstatymo Nr. VIII-787 (toliau ATĮ) pakeitimo įstatymo (toliau – ATĮ pakeitimo įstatymo projektas) projekto, Mokesčio už aplinkos teršimą įstatymo Nr. VIII-1183 1, 2, 4, 6, 7, 9, 11 straipsnių ir 3, 7, 8 priedų pakeitimo įstatymo projekto (toliau  – MATĮ pakeitimo įstatymo projektas)</w:t>
              </w:r>
              <w:r>
                <w:rPr>
                  <w:rFonts w:eastAsia="Andale Sans UI"/>
                  <w:szCs w:val="24"/>
                  <w:vertAlign w:val="superscript"/>
                  <w:lang w:bidi="en-US"/>
                </w:rPr>
                <w:footnoteReference w:id="2"/>
              </w:r>
              <w:r>
                <w:rPr>
                  <w:rFonts w:eastAsia="Andale Sans UI"/>
                  <w:szCs w:val="24"/>
                  <w:lang w:bidi="en-US"/>
                </w:rPr>
                <w:t xml:space="preserve"> nuostatos. ATĮ pakeitimo įstatymo projekto ir MATĮ pakeitimo įstatymo projekto aiškinamajame rašte nurodyta, kad įgyvendinant šiuos įstatymų projektus turės būti parengtas Projektas. </w:t>
              </w:r>
            </w:p>
          </w:sdtContent>
        </w:sdt>
        <w:sdt>
          <w:sdtPr>
            <w:alias w:val="2 p."/>
            <w:tag w:val="part_9c658563b4874235adceae320cf34381"/>
            <w:lock w:val="sdtLocked"/>
            <w:richText/>
          </w:sdtPr>
          <w:sdtContent>
            <w:p>
              <w:pPr>
                <w:shd w:val="clear" w:color="auto" w:fill="FFFFFF"/>
                <w:spacing w:line="276" w:lineRule="auto"/>
                <w:ind w:firstLine="567"/>
                <w:jc w:val="both"/>
                <w:rPr>
                  <w:rFonts w:eastAsia="Andale Sans UI"/>
                  <w:b/>
                  <w:bCs/>
                  <w:szCs w:val="24"/>
                  <w:lang w:bidi="en-US"/>
                </w:rPr>
              </w:pPr>
              <w:sdt>
                <w:sdtPr>
                  <w:alias w:val="Numeris"/>
                  <w:tag w:val="nr_9c658563b4874235adceae320cf34381"/>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spacing w:line="276" w:lineRule="auto"/>
                <w:ind w:firstLine="567"/>
                <w:jc w:val="both"/>
                <w:rPr>
                  <w:rFonts w:eastAsia="Andale Sans UI" w:cs="Tahoma"/>
                  <w:szCs w:val="24"/>
                  <w:lang w:bidi="en-US"/>
                </w:rPr>
              </w:pPr>
              <w:r>
                <w:rPr>
                  <w:rFonts w:eastAsia="Andale Sans UI" w:cs="Tahoma"/>
                  <w:szCs w:val="24"/>
                  <w:lang w:bidi="en-US"/>
                </w:rPr>
                <w:t>A</w:t>
              </w:r>
              <w:r>
                <w:rPr>
                  <w:rFonts w:cs="Tahoma"/>
                  <w:szCs w:val="24"/>
                  <w:lang w:bidi="en-US"/>
                </w:rPr>
                <w:t xml:space="preserve">tsižvelgiant į </w:t>
              </w:r>
              <w:r>
                <w:rPr>
                  <w:rFonts w:eastAsia="Andale Sans UI" w:cs="Tahoma"/>
                  <w:szCs w:val="24"/>
                  <w:lang w:bidi="en-US"/>
                </w:rPr>
                <w:t>ATĮ pakeitimo įstatymo projekto 26, 36 straipsnio 1 dalies ir 38 straipsnio nuostatas, Projektu siūloma atsisakyti nuostatų dėl užimamos rinkos dalies skaičiavimo individualiai padangų atliekų tvarkymą organizuojantiems padangų gamintojams ir importuotojams, papildyti nuostatomis apie transporto priemonių gamintojų ir importuotojų organizacijos užimamos rinkos dalies skaičiavimo tvarką; pagal ATĮ pakeitimo įstatymo projekto 40 straipsnio 2 ir 3 dalis, kuriomis pakeičiama ATĮ 34</w:t>
              </w:r>
              <w:r>
                <w:rPr>
                  <w:rFonts w:eastAsia="Andale Sans UI" w:cs="Tahoma"/>
                  <w:szCs w:val="24"/>
                  <w:vertAlign w:val="superscript"/>
                  <w:lang w:bidi="en-US"/>
                </w:rPr>
                <w:t>22</w:t>
              </w:r>
              <w:r>
                <w:rPr>
                  <w:rFonts w:eastAsia="Andale Sans UI" w:cs="Tahoma"/>
                  <w:szCs w:val="24"/>
                  <w:lang w:bidi="en-US"/>
                </w:rPr>
                <w:t xml:space="preserve"> straipsnio 8 dalis, Projekte patikslinama, kad padangų atliekų tvarkymo organizavimo atveju rinkos dalis skaičiuojama ir organizacijai, turinčiai apmokestinamųjų gaminių atliekų tvarkymo licenciją. Atsižvelgiant į MATĮ pakeitimo įstatymo projekto 7 straipsnio nuostatas, kuriomis atsisakoma mokesčio už aplinkos teršimą gaminių ir pakuočių atliekomis deklaracijų pildymo ir numatoma, kad pagal mokesčio mokėtojo Vieningoje gaminių, pakuočių ir atliekų apskaitos informacinėje sistemoje (toliau – GPAIS) pateiktus duomenis mokestis už aplinkos teršimą gaminių ir pakuočių atliekomis bus deklaruojamas GPAIS, Projekte patikslinama, kad padangų ir pakuočių atliekų tvarkymo organizavimo atveju skaičiuojant rinkos dalis vertinamas Lietuvos rinkai tiektas padangų ir pakuočių kiekis, kurį gamintojai ir importuotojai GPAIS nurodė patvirtintuose duomenyse mokesčiui už aplinkos teršimą apskaičiuoti, o ne mokesčio deklaracijose. </w:t>
              </w:r>
            </w:p>
          </w:sdtContent>
        </w:sdt>
        <w:sdt>
          <w:sdtPr>
            <w:alias w:val="3 p."/>
            <w:tag w:val="part_b74e4c1ae0ab49cfbe9b88eea5e9df44"/>
            <w:lock w:val="sdtLocked"/>
            <w:richText/>
          </w:sdtPr>
          <w:sdtContent>
            <w:p>
              <w:pPr>
                <w:spacing w:line="276" w:lineRule="auto"/>
                <w:ind w:firstLine="567"/>
                <w:jc w:val="both"/>
                <w:rPr>
                  <w:rFonts w:eastAsia="Andale Sans UI"/>
                  <w:b/>
                  <w:bCs/>
                  <w:szCs w:val="24"/>
                  <w:lang w:bidi="en-US"/>
                </w:rPr>
              </w:pPr>
              <w:sdt>
                <w:sdtPr>
                  <w:alias w:val="Numeris"/>
                  <w:tag w:val="nr_b74e4c1ae0ab49cfbe9b88eea5e9df44"/>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shd w:val="clear" w:color="auto" w:fill="FFFFFF"/>
                <w:spacing w:line="276" w:lineRule="auto"/>
                <w:ind w:firstLine="567"/>
                <w:jc w:val="both"/>
                <w:textAlignment w:val="center"/>
                <w:rPr>
                  <w:rFonts w:eastAsia="Andale Sans UI"/>
                  <w:szCs w:val="24"/>
                  <w:lang w:bidi="en-US"/>
                </w:rPr>
              </w:pPr>
              <w:r>
                <w:rPr>
                  <w:rFonts w:eastAsia="Andale Sans UI"/>
                  <w:szCs w:val="24"/>
                  <w:lang w:bidi="en-US"/>
                </w:rPr>
                <w:t>Aplinkos apsaugos agentūra dalyvaus įgyvendinant Projektą, t. y. naudojant GPAIS skaičiuos eksploatuoti netinkamų transporto priemonių tvarkymo organizavimo licenciją turinčių gamintojų ir importuotojų organizacijų užimamas rinkos dalis. Planuojami papildomi kaštai GPAIS patobulinimui dėl eksploatuoti netinkamų transporto priemonių tvarkymo organizavimo licenciją turinčios gamintojų ir (ar) importuotojų organizacijos užimamos rinkos dalies skaičiavimų.</w:t>
              </w:r>
            </w:p>
          </w:sdtContent>
        </w:sdt>
        <w:sdt>
          <w:sdtPr>
            <w:alias w:val="4 p."/>
            <w:tag w:val="part_b612dcb9430349beb809d0ef183a2e30"/>
            <w:lock w:val="sdtLocked"/>
            <w:richText/>
          </w:sdtPr>
          <w:sdtContent>
            <w:p>
              <w:pPr>
                <w:shd w:val="clear" w:color="auto" w:fill="FFFFFF"/>
                <w:spacing w:line="276" w:lineRule="auto"/>
                <w:ind w:firstLine="567"/>
                <w:jc w:val="both"/>
                <w:textAlignment w:val="center"/>
                <w:rPr>
                  <w:rFonts w:eastAsia="Andale Sans UI"/>
                  <w:b/>
                  <w:bCs/>
                  <w:szCs w:val="24"/>
                  <w:lang w:bidi="en-US"/>
                </w:rPr>
              </w:pPr>
              <w:sdt>
                <w:sdtPr>
                  <w:alias w:val="Numeris"/>
                  <w:tag w:val="nr_b612dcb9430349beb809d0ef183a2e30"/>
                  <w:lock w:val="sdtLocked"/>
                  <w:richText/>
                </w:sdtPr>
                <w:sdtContent>
                  <w:r>
                    <w:rPr>
                      <w:rFonts w:eastAsia="Andale Sans UI"/>
                      <w:b/>
                      <w:bCs/>
                      <w:szCs w:val="24"/>
                      <w:lang w:bidi="en-US"/>
                    </w:rPr>
                    <w:t>4</w:t>
                  </w:r>
                </w:sdtContent>
              </w:sdt>
              <w:r>
                <w:rPr>
                  <w:rFonts w:eastAsia="Andale Sans UI"/>
                  <w:b/>
                  <w:bCs/>
                  <w:szCs w:val="24"/>
                  <w:lang w:bidi="en-US"/>
                </w:rPr>
                <w:t>. Rodikliai, kurie bus stebimi</w:t>
              </w:r>
            </w:p>
            <w:p>
              <w:pPr>
                <w:spacing w:line="276" w:lineRule="auto"/>
                <w:ind w:firstLine="567"/>
                <w:jc w:val="both"/>
                <w:rPr>
                  <w:iCs/>
                  <w:color w:val="000000"/>
                  <w:szCs w:val="24"/>
                  <w:lang w:eastAsia="lt-LT"/>
                </w:rPr>
              </w:pPr>
              <w:r>
                <w:rPr>
                  <w:iCs/>
                  <w:color w:val="000000"/>
                  <w:szCs w:val="24"/>
                  <w:lang w:eastAsia="lt-LT"/>
                </w:rPr>
                <w:t>Rodiklių stebėti nenumatoma.</w:t>
              </w:r>
            </w:p>
          </w:sdtContent>
        </w:sdt>
        <w:sdt>
          <w:sdtPr>
            <w:alias w:val="5 p."/>
            <w:tag w:val="part_e55d6b79ca204553884f26a4070152ff"/>
            <w:lock w:val="sdtLocked"/>
            <w:richText/>
          </w:sdtPr>
          <w:sdtContent>
            <w:p>
              <w:pPr>
                <w:spacing w:line="276" w:lineRule="auto"/>
                <w:ind w:firstLine="567"/>
                <w:jc w:val="both"/>
                <w:rPr>
                  <w:szCs w:val="24"/>
                  <w:lang w:eastAsia="lt-LT" w:bidi="en-US"/>
                </w:rPr>
              </w:pPr>
              <w:sdt>
                <w:sdtPr>
                  <w:alias w:val="Numeris"/>
                  <w:tag w:val="nr_e55d6b79ca204553884f26a4070152ff"/>
                  <w:lock w:val="sdtLocked"/>
                  <w:richText/>
                </w:sdtPr>
                <w:sdtContent>
                  <w:r>
                    <w:rPr>
                      <w:b/>
                      <w:bCs/>
                      <w:szCs w:val="24"/>
                      <w:lang w:eastAsia="lt-LT" w:bidi="en-US"/>
                    </w:rPr>
                    <w:t>5</w:t>
                  </w:r>
                </w:sdtContent>
              </w:sdt>
              <w:r>
                <w:rPr>
                  <w:b/>
                  <w:bCs/>
                  <w:szCs w:val="24"/>
                  <w:lang w:eastAsia="lt-LT" w:bidi="en-US"/>
                </w:rPr>
                <w:t>. Lietuvos Respublikos Vyriausybės programos</w:t>
              </w:r>
              <w:r>
                <w:rPr>
                  <w:b/>
                  <w:bCs/>
                  <w:szCs w:val="24"/>
                  <w:vertAlign w:val="superscript"/>
                  <w:lang w:eastAsia="lt-LT" w:bidi="en-US"/>
                </w:rPr>
                <w:footnoteReference w:id="3"/>
              </w:r>
              <w:r>
                <w:rPr>
                  <w:b/>
                  <w:bCs/>
                  <w:szCs w:val="24"/>
                  <w:lang w:eastAsia="lt-LT" w:bidi="en-US"/>
                </w:rPr>
                <w:t xml:space="preserve"> nuostatų įgyvendinimas </w:t>
              </w:r>
              <w:r>
                <w:rPr>
                  <w:szCs w:val="24"/>
                  <w:lang w:eastAsia="lt-LT" w:bidi="en-US"/>
                </w:rPr>
                <w:t>(pažymimas tinkamas variantas)</w:t>
              </w:r>
            </w:p>
            <w:p>
              <w:pPr>
                <w:spacing w:line="276" w:lineRule="auto"/>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Aštuonioliktosios Lietuvos Respublikos Vyriausybės programai.</w:t>
              </w:r>
            </w:p>
          </w:sdtContent>
        </w:sdt>
        <w:sdt>
          <w:sdtPr>
            <w:alias w:val="6 p."/>
            <w:tag w:val="part_868f8615d59b4245b7ac088d93c04f5b"/>
            <w:lock w:val="sdtLocked"/>
            <w:richText/>
          </w:sdtPr>
          <w:sdtContent>
            <w:p>
              <w:pPr>
                <w:spacing w:line="276" w:lineRule="auto"/>
                <w:ind w:firstLine="567"/>
                <w:jc w:val="both"/>
                <w:rPr>
                  <w:szCs w:val="24"/>
                  <w:lang w:eastAsia="lt-LT" w:bidi="en-US"/>
                </w:rPr>
              </w:pPr>
              <w:sdt>
                <w:sdtPr>
                  <w:alias w:val="Numeris"/>
                  <w:tag w:val="nr_868f8615d59b4245b7ac088d93c04f5b"/>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spacing w:line="276" w:lineRule="auto"/>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ir (ar) įgyvendinamos šios Europos Sąjungos teisės aktų nuostatos.</w:t>
              </w:r>
              <w:r>
                <w:rPr>
                  <w:rFonts w:eastAsia="Andale Sans UI"/>
                  <w:i/>
                  <w:szCs w:val="24"/>
                  <w:lang w:bidi="en-US"/>
                </w:rPr>
                <w:t xml:space="preserve"> </w:t>
              </w:r>
            </w:p>
          </w:sdtContent>
        </w:sdt>
        <w:sdt>
          <w:sdtPr>
            <w:alias w:val="7 p."/>
            <w:tag w:val="part_b1f69ac5d43f4cf09c34041564f9a8a2"/>
            <w:lock w:val="sdtLocked"/>
            <w:richText/>
          </w:sdtPr>
          <w:sdtContent>
            <w:p>
              <w:pPr>
                <w:spacing w:line="276" w:lineRule="auto"/>
                <w:ind w:firstLine="567"/>
                <w:jc w:val="both"/>
                <w:rPr>
                  <w:szCs w:val="24"/>
                  <w:lang w:eastAsia="lt-LT" w:bidi="en-US"/>
                </w:rPr>
              </w:pPr>
              <w:sdt>
                <w:sdtPr>
                  <w:alias w:val="Numeris"/>
                  <w:tag w:val="nr_b1f69ac5d43f4cf09c34041564f9a8a2"/>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4"/>
              </w:r>
              <w:r>
                <w:rPr>
                  <w:rFonts w:eastAsia="Andale Sans UI"/>
                  <w:b/>
                  <w:bCs/>
                  <w:szCs w:val="24"/>
                  <w:lang w:bidi="en-US"/>
                </w:rPr>
                <w:t xml:space="preserve"> Europos Komisijai </w:t>
              </w:r>
              <w:r>
                <w:rPr>
                  <w:szCs w:val="24"/>
                  <w:lang w:eastAsia="lt-LT"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spacing w:line="276" w:lineRule="auto"/>
                <w:ind w:firstLine="567"/>
                <w:jc w:val="both"/>
                <w:rPr>
                  <w:rFonts w:eastAsia="Andale Sans UI"/>
                  <w:b/>
                  <w:bCs/>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w:t>
              </w:r>
            </w:p>
          </w:sdtContent>
        </w:sdt>
        <w:sdt>
          <w:sdtPr>
            <w:alias w:val="8 p."/>
            <w:tag w:val="part_32111a4b506b4f0fb8d13bd074242a73"/>
            <w:lock w:val="sdtLocked"/>
            <w:richText/>
          </w:sdtPr>
          <w:sdtContent>
            <w:p>
              <w:pPr>
                <w:spacing w:line="276" w:lineRule="auto"/>
                <w:ind w:firstLine="567"/>
                <w:jc w:val="both"/>
                <w:rPr>
                  <w:rFonts w:eastAsia="Andale Sans UI"/>
                  <w:b/>
                  <w:bCs/>
                  <w:szCs w:val="24"/>
                  <w:lang w:bidi="en-US"/>
                </w:rPr>
              </w:pPr>
              <w:sdt>
                <w:sdtPr>
                  <w:alias w:val="Numeris"/>
                  <w:tag w:val="nr_32111a4b506b4f0fb8d13bd074242a73"/>
                  <w:lock w:val="sdtLocked"/>
                  <w:richText/>
                </w:sdtPr>
                <w:sdtContent>
                  <w:r>
                    <w:rPr>
                      <w:rFonts w:eastAsia="Andale Sans UI"/>
                      <w:b/>
                      <w:bCs/>
                      <w:szCs w:val="24"/>
                      <w:lang w:bidi="en-US"/>
                    </w:rPr>
                    <w:t>8</w:t>
                  </w:r>
                </w:sdtContent>
              </w:sdt>
              <w:r>
                <w:rPr>
                  <w:rFonts w:eastAsia="Andale Sans UI"/>
                  <w:b/>
                  <w:bCs/>
                  <w:szCs w:val="24"/>
                  <w:lang w:bidi="en-US"/>
                </w:rPr>
                <w:t>. Numatomo teisinio reguliavimo poveikio vertinimas</w:t>
              </w:r>
              <w:r>
                <w:rPr>
                  <w:rFonts w:eastAsia="Andale Sans UI"/>
                  <w:b/>
                  <w:bCs/>
                  <w:szCs w:val="24"/>
                  <w:vertAlign w:val="superscript"/>
                  <w:lang w:bidi="en-US"/>
                </w:rPr>
                <w:footnoteReference w:id="5"/>
              </w:r>
              <w:r>
                <w:rPr>
                  <w:rFonts w:eastAsia="Andale Sans UI"/>
                  <w:b/>
                  <w:bCs/>
                  <w:szCs w:val="24"/>
                  <w:lang w:bidi="en-US"/>
                </w:rPr>
                <w:t xml:space="preserve"> </w:t>
              </w:r>
              <w:r>
                <w:rPr>
                  <w:rFonts w:eastAsia="Andale Sans UI" w:cs="Tahoma"/>
                  <w:color w:val="000000"/>
                  <w:szCs w:val="24"/>
                  <w:bdr w:val="none" w:sz="0" w:space="0" w:color="auto" w:frame="1"/>
                  <w:lang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w:t>
              </w:r>
              <w:r>
                <w:rPr>
                  <w:rFonts w:eastAsia="Andale Sans UI" w:cs="Tahoma"/>
                  <w:szCs w:val="24"/>
                  <w:lang w:bidi="en-US"/>
                </w:rPr>
                <w:t>A</w:t>
              </w:r>
              <w:r>
                <w:rPr>
                  <w:rFonts w:eastAsia="Andale Sans UI"/>
                  <w:szCs w:val="24"/>
                  <w:lang w:bidi="en-US"/>
                </w:rPr>
                <w:t>tliktas Projekto numatomo teisinio reguliavimo poveikio vertinimas.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p>
              <w:pPr>
                <w:shd w:val="clear" w:color="auto" w:fill="FFFFFF"/>
                <w:spacing w:line="276" w:lineRule="auto"/>
                <w:ind w:firstLine="567"/>
                <w:jc w:val="both"/>
                <w:textAlignment w:val="center"/>
                <w:rPr>
                  <w:rFonts w:eastAsia="Andale Sans UI"/>
                  <w:szCs w:val="24"/>
                  <w:lang w:bidi="en-US"/>
                </w:rPr>
              </w:pPr>
              <w:r>
                <w:rPr>
                  <w:rFonts w:eastAsia="Andale Sans UI"/>
                  <w:szCs w:val="24"/>
                  <w:lang w:bidi="en-US"/>
                </w:rPr>
                <w:t>Vadovaujantis Numatomo teisinio reguliavimo poveikio vertinimo metodikos, patvirtintos Lietuvos Respublikos Vyriausybės 2003 m. vasario 26 d. nutarimu Nr. 276 „Dėl Numatomo teisinio reguliavimo poveikio vertinimo metodikos patvirtinimo“, 4 punktu, Projekto numatomo teisinio reguliavimo poveikio vertinimas aplinkai ir klimato kaitai neatliekamas, nes trūksta kiekybinių duomenų.</w:t>
              </w:r>
            </w:p>
          </w:sdtContent>
        </w:sdt>
        <w:sdt>
          <w:sdtPr>
            <w:alias w:val="9 p."/>
            <w:tag w:val="part_f45783516a6d47a588b46fe3b791187f"/>
            <w:lock w:val="sdtLocked"/>
            <w:richText/>
          </w:sdtPr>
          <w:sdtContent>
            <w:p>
              <w:pPr>
                <w:spacing w:line="276" w:lineRule="auto"/>
                <w:ind w:firstLine="567"/>
                <w:jc w:val="both"/>
                <w:rPr>
                  <w:rFonts w:eastAsia="Andale Sans UI"/>
                  <w:b/>
                  <w:bCs/>
                  <w:szCs w:val="24"/>
                  <w:lang w:bidi="en-US"/>
                </w:rPr>
              </w:pPr>
              <w:sdt>
                <w:sdtPr>
                  <w:alias w:val="Numeris"/>
                  <w:tag w:val="nr_f45783516a6d47a588b46fe3b791187f"/>
                  <w:lock w:val="sdtLocked"/>
                  <w:richText/>
                </w:sdtPr>
                <w:sdtContent>
                  <w:r>
                    <w:rPr>
                      <w:rFonts w:eastAsia="Andale Sans UI"/>
                      <w:b/>
                      <w:bCs/>
                      <w:szCs w:val="24"/>
                      <w:lang w:bidi="en-US"/>
                    </w:rPr>
                    <w:t>9</w:t>
                  </w:r>
                </w:sdtContent>
              </w:sdt>
              <w:r>
                <w:rPr>
                  <w:rFonts w:eastAsia="Andale Sans UI"/>
                  <w:b/>
                  <w:bCs/>
                  <w:szCs w:val="24"/>
                  <w:lang w:bidi="en-US"/>
                </w:rPr>
                <w:t xml:space="preserve">. Teisės aktai, kuriuos reikės priimti, pakeisti arba pripažinti netekusiais galios </w:t>
              </w:r>
              <w:r>
                <w:rPr>
                  <w:szCs w:val="24"/>
                  <w:lang w:eastAsia="lt-LT"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spacing w:line="276" w:lineRule="auto"/>
                <w:ind w:firstLine="567"/>
                <w:jc w:val="both"/>
                <w:rPr>
                  <w:rFonts w:eastAsia="Andale Sans UI"/>
                  <w: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w:t>
              </w:r>
            </w:p>
          </w:sdtContent>
        </w:sdt>
        <w:sdt>
          <w:sdtPr>
            <w:alias w:val="10 p."/>
            <w:tag w:val="part_2dd01d1c631641e38f92ce236a8789dd"/>
            <w:lock w:val="sdtLocked"/>
            <w:richText/>
          </w:sdtPr>
          <w:sdtContent>
            <w:p>
              <w:pPr>
                <w:spacing w:line="276" w:lineRule="auto"/>
                <w:ind w:firstLine="567"/>
                <w:jc w:val="both"/>
                <w:rPr>
                  <w:rFonts w:eastAsia="Andale Sans UI"/>
                  <w:b/>
                  <w:bCs/>
                  <w:szCs w:val="24"/>
                  <w:lang w:bidi="en-US"/>
                </w:rPr>
              </w:pPr>
              <w:sdt>
                <w:sdtPr>
                  <w:alias w:val="Numeris"/>
                  <w:tag w:val="nr_2dd01d1c631641e38f92ce236a8789dd"/>
                  <w:lock w:val="sdtLocked"/>
                  <w:richText/>
                </w:sdtPr>
                <w:sdtContent>
                  <w:r>
                    <w:rPr>
                      <w:rFonts w:eastAsia="Andale Sans UI"/>
                      <w:b/>
                      <w:bCs/>
                      <w:szCs w:val="24"/>
                      <w:lang w:bidi="en-US"/>
                    </w:rPr>
                    <w:t>10</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szCs w:val="24"/>
                  <w:lang w:eastAsia="lt-LT" w:bidi="en-US"/>
                </w:rPr>
                <w:t>(pažymimas tinkamas variantas)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spacing w:line="276" w:lineRule="auto"/>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rojekte vartojamos sąvokos aprobuotos Lietuvos Respublikos terminų banko įstatymo ir jo įgyvendinamųjų teisės aktų nustatyta tvarka. </w:t>
              </w:r>
            </w:p>
          </w:sdtContent>
        </w:sdt>
        <w:sdt>
          <w:sdtPr>
            <w:alias w:val="11 p."/>
            <w:tag w:val="part_0b76f9072d9a4b268eb1fbe6fad19cac"/>
            <w:lock w:val="sdtLocked"/>
            <w:richText/>
          </w:sdtPr>
          <w:sdtContent>
            <w:p>
              <w:pPr>
                <w:spacing w:line="276" w:lineRule="auto"/>
                <w:ind w:firstLine="567"/>
                <w:jc w:val="both"/>
                <w:rPr>
                  <w:rFonts w:eastAsia="Andale Sans UI"/>
                  <w:b/>
                  <w:bCs/>
                  <w:color w:val="000000"/>
                  <w:szCs w:val="24"/>
                  <w:lang w:bidi="en-US"/>
                </w:rPr>
              </w:pPr>
              <w:sdt>
                <w:sdtPr>
                  <w:alias w:val="Numeris"/>
                  <w:tag w:val="nr_0b76f9072d9a4b268eb1fbe6fad19cac"/>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spacing w:line="276" w:lineRule="auto"/>
                <w:ind w:firstLine="567"/>
                <w:jc w:val="both"/>
                <w:textAlignment w:val="center"/>
                <w:rPr>
                  <w:rFonts w:eastAsia="Andale Sans UI"/>
                  <w:szCs w:val="24"/>
                  <w:lang w:bidi="en-US"/>
                </w:rPr>
              </w:pPr>
              <w:r>
                <w:rPr>
                  <w:rFonts w:eastAsia="Andale Sans UI"/>
                  <w:szCs w:val="24"/>
                  <w:lang w:bidi="en-US"/>
                </w:rPr>
                <w:t xml:space="preserve">ATĮ pakeitimo įstatymo projekto nuostatos, susijusios su Projektu, nurodo, kad Projektas turi įsigalioti 2025 sausio 1 d. </w:t>
              </w:r>
            </w:p>
          </w:sdtContent>
        </w:sdt>
        <w:sdt>
          <w:sdtPr>
            <w:alias w:val="12 p."/>
            <w:tag w:val="part_9f6b789dbbd9478d85a2e7a4f995606e"/>
            <w:lock w:val="sdtLocked"/>
            <w:richText/>
          </w:sdtPr>
          <w:sdtContent>
            <w:p>
              <w:pPr>
                <w:spacing w:line="276" w:lineRule="auto"/>
                <w:ind w:firstLine="567"/>
                <w:jc w:val="both"/>
                <w:rPr>
                  <w:rFonts w:eastAsia="Andale Sans UI"/>
                  <w:b/>
                  <w:bCs/>
                  <w:i/>
                  <w:color w:val="000000"/>
                  <w:szCs w:val="24"/>
                  <w:lang w:bidi="en-US"/>
                </w:rPr>
              </w:pPr>
              <w:sdt>
                <w:sdtPr>
                  <w:alias w:val="Numeris"/>
                  <w:tag w:val="nr_9f6b789dbbd9478d85a2e7a4f995606e"/>
                  <w:lock w:val="sdtLocked"/>
                  <w:richText/>
                </w:sdtPr>
                <w:sdtContent>
                  <w:r>
                    <w:rPr>
                      <w:rFonts w:eastAsia="Andale Sans UI"/>
                      <w:b/>
                      <w:bCs/>
                      <w:szCs w:val="24"/>
                      <w:lang w:bidi="en-US"/>
                    </w:rPr>
                    <w:t>12</w:t>
                  </w:r>
                </w:sdtContent>
              </w:sdt>
              <w:r>
                <w:rPr>
                  <w:rFonts w:eastAsia="Andale Sans UI"/>
                  <w:b/>
                  <w:bCs/>
                  <w:szCs w:val="24"/>
                  <w:lang w:bidi="en-US"/>
                </w:rPr>
                <w:t>. Konsultavimasis su visuomene portalo</w:t>
              </w:r>
              <w:r>
                <w:rPr>
                  <w:rFonts w:eastAsia="Andale Sans UI"/>
                  <w:i/>
                  <w:color w:val="000000"/>
                  <w:szCs w:val="24"/>
                  <w:lang w:bidi="en-US"/>
                </w:rPr>
                <w:t xml:space="preserve"> </w:t>
              </w:r>
              <w:r>
                <w:rPr>
                  <w:rFonts w:eastAsia="Andale Sans UI"/>
                  <w:b/>
                  <w:bCs/>
                  <w:i/>
                  <w:color w:val="000000"/>
                  <w:szCs w:val="24"/>
                  <w:lang w:bidi="en-US"/>
                </w:rPr>
                <w:t>Mano Vyriausybė</w:t>
              </w:r>
              <w:r>
                <w:rPr>
                  <w:rFonts w:eastAsia="Andale Sans UI"/>
                  <w:b/>
                  <w:bCs/>
                  <w:color w:val="000000"/>
                  <w:szCs w:val="24"/>
                  <w:lang w:bidi="en-US"/>
                </w:rPr>
                <w:t xml:space="preserve"> interneto svetainėje </w:t>
              </w:r>
              <w:r>
                <w:rPr>
                  <w:rFonts w:eastAsia="Andale Sans UI"/>
                  <w:b/>
                  <w:bCs/>
                  <w:i/>
                  <w:color w:val="000000"/>
                  <w:szCs w:val="24"/>
                  <w:lang w:bidi="en-US"/>
                </w:rPr>
                <w:t xml:space="preserve">E. pilietis </w:t>
              </w:r>
              <w:r>
                <w:rPr>
                  <w:szCs w:val="24"/>
                  <w:lang w:eastAsia="lt-LT" w:bidi="en-US"/>
                </w:rPr>
                <w:t>(pažymimas tinkamas variantas)</w:t>
              </w:r>
            </w:p>
            <w:p>
              <w:pPr>
                <w:spacing w:line="276" w:lineRule="auto"/>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rojektas viešosioms konsultacijoms skelbtas portalo </w:t>
              </w:r>
              <w:r>
                <w:rPr>
                  <w:rFonts w:eastAsia="Andale Sans UI"/>
                  <w:i/>
                  <w:color w:val="000000"/>
                  <w:szCs w:val="24"/>
                  <w:lang w:bidi="en-US"/>
                </w:rPr>
                <w:t>Mano Vyriausybė</w:t>
              </w:r>
              <w:r>
                <w:rPr>
                  <w:rFonts w:eastAsia="Andale Sans UI"/>
                  <w:color w:val="000000"/>
                  <w:szCs w:val="24"/>
                  <w:lang w:bidi="en-US"/>
                </w:rPr>
                <w:t xml:space="preserve"> interneto svetainėje </w:t>
              </w:r>
              <w:r>
                <w:rPr>
                  <w:rFonts w:eastAsia="Andale Sans UI"/>
                  <w:i/>
                  <w:color w:val="000000"/>
                  <w:szCs w:val="24"/>
                  <w:lang w:bidi="en-US"/>
                </w:rPr>
                <w:t>E. pilietis</w:t>
              </w:r>
              <w:r>
                <w:rPr>
                  <w:rFonts w:eastAsia="Andale Sans UI"/>
                  <w:color w:val="000000"/>
                  <w:szCs w:val="24"/>
                  <w:lang w:bidi="en-US"/>
                </w:rPr>
                <w:t>, kur pastabas ir pasiūlymus nuo 202.. m. ... ... d. iki 202.. m. ... ... d. galėjo teikti visi suinteresuoti asmenys</w:t>
              </w:r>
              <w:r>
                <w:rPr>
                  <w:i/>
                  <w:iCs/>
                  <w:color w:val="000000"/>
                  <w:szCs w:val="24"/>
                  <w:lang w:eastAsia="lt-LT" w:bidi="en-US"/>
                </w:rPr>
                <w:t xml:space="preserve">. </w:t>
              </w:r>
            </w:p>
            <w:p>
              <w:pPr>
                <w:spacing w:line="276" w:lineRule="auto"/>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portalo </w:t>
              </w:r>
              <w:r>
                <w:rPr>
                  <w:rFonts w:eastAsia="Andale Sans UI"/>
                  <w:i/>
                  <w:color w:val="000000"/>
                  <w:szCs w:val="24"/>
                  <w:lang w:bidi="en-US"/>
                </w:rPr>
                <w:t>Mano Vyriausybė</w:t>
              </w:r>
              <w:r>
                <w:rPr>
                  <w:rFonts w:eastAsia="Andale Sans UI"/>
                  <w:color w:val="000000"/>
                  <w:szCs w:val="24"/>
                  <w:lang w:bidi="en-US"/>
                </w:rPr>
                <w:t xml:space="preserve"> interneto svetainėje </w:t>
              </w:r>
              <w:r>
                <w:rPr>
                  <w:rFonts w:eastAsia="Andale Sans UI"/>
                  <w:i/>
                  <w:color w:val="000000"/>
                  <w:szCs w:val="24"/>
                  <w:lang w:bidi="en-US"/>
                </w:rPr>
                <w:t>E. pilietis</w:t>
              </w:r>
              <w:r>
                <w:rPr>
                  <w:rFonts w:eastAsia="Andale Sans UI"/>
                  <w:szCs w:val="24"/>
                  <w:lang w:bidi="en-US"/>
                </w:rPr>
                <w:t xml:space="preserve"> </w:t>
              </w:r>
              <w:r>
                <w:rPr>
                  <w:color w:val="000000"/>
                  <w:szCs w:val="24"/>
                  <w:lang w:eastAsia="lt-LT" w:bidi="en-US"/>
                </w:rPr>
                <w:t>neplanuojama.</w:t>
              </w:r>
            </w:p>
          </w:sdtContent>
        </w:sdt>
        <w:sdt>
          <w:sdtPr>
            <w:alias w:val="13 p."/>
            <w:tag w:val="part_26fffd5a5e3843bca25d432a95a5010f"/>
            <w:lock w:val="sdtLocked"/>
            <w:richText/>
          </w:sdtPr>
          <w:sdtContent>
            <w:p>
              <w:pPr>
                <w:spacing w:line="276" w:lineRule="auto"/>
                <w:ind w:firstLine="567"/>
                <w:jc w:val="both"/>
                <w:rPr>
                  <w:rFonts w:eastAsia="Andale Sans UI"/>
                  <w:b/>
                  <w:bCs/>
                  <w:color w:val="000000"/>
                  <w:szCs w:val="24"/>
                  <w:lang w:bidi="en-US"/>
                </w:rPr>
              </w:pPr>
              <w:sdt>
                <w:sdtPr>
                  <w:alias w:val="Numeris"/>
                  <w:tag w:val="nr_26fffd5a5e3843bca25d432a95a5010f"/>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visuomene</w:t>
              </w:r>
            </w:p>
            <w:p>
              <w:pPr>
                <w:spacing w:line="276" w:lineRule="auto"/>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spacing w:line="276" w:lineRule="auto"/>
                <w:ind w:firstLine="567"/>
                <w:jc w:val="both"/>
                <w:rPr>
                  <w:rFonts w:eastAsia="Andale Sans UI"/>
                  <w:szCs w:val="24"/>
                  <w:lang w:bidi="en-US"/>
                </w:rPr>
              </w:pPr>
              <w:r>
                <w:rPr>
                  <w:rFonts w:eastAsia="Andale Sans UI"/>
                  <w:szCs w:val="24"/>
                  <w:lang w:bidi="en-US"/>
                </w:rPr>
                <w:t xml:space="preserve">Derinimo terminas </w:t>
              </w:r>
              <w:r>
                <w:rPr>
                  <w:szCs w:val="24"/>
                  <w:lang w:eastAsia="lt-LT" w:bidi="en-US"/>
                </w:rPr>
                <w:t>(pažymimas tinkamas variantas)</w:t>
              </w:r>
              <w:r>
                <w:rPr>
                  <w:rFonts w:eastAsia="Andale Sans UI"/>
                  <w:szCs w:val="24"/>
                  <w:lang w:bidi="en-US"/>
                </w:rPr>
                <w:t>:</w:t>
              </w:r>
            </w:p>
            <w:p>
              <w:pPr>
                <w:spacing w:line="276" w:lineRule="auto"/>
                <w:ind w:firstLine="567"/>
                <w:jc w:val="both"/>
                <w:rPr>
                  <w:rFonts w:eastAsia="Andale Sans UI"/>
                  <w:i/>
                  <w:iCs/>
                  <w:szCs w:val="24"/>
                  <w:lang w:bidi="en-US"/>
                </w:rPr>
              </w:pPr>
              <w:r>
                <w:rPr>
                  <w:rFonts w:ascii="MS Gothic" w:eastAsia="MS Gothic" w:hAnsi="MS Gothic"/>
                  <w:szCs w:val="24"/>
                  <w:lang w:bidi="en-US"/>
                </w:rPr>
                <w:t>☐</w:t>
              </w:r>
              <w:r>
                <w:rPr>
                  <w:rFonts w:eastAsia="Andale Sans UI"/>
                  <w:szCs w:val="24"/>
                  <w:lang w:bidi="en-US"/>
                </w:rPr>
                <w:t xml:space="preserve"> 5 darbo dienos.</w:t>
              </w:r>
            </w:p>
            <w:p>
              <w:pPr>
                <w:spacing w:line="276" w:lineRule="auto"/>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10 darbo dienų.</w:t>
              </w:r>
            </w:p>
          </w:sdtContent>
        </w:sdt>
        <w:sdt>
          <w:sdtPr>
            <w:alias w:val="14 p."/>
            <w:tag w:val="part_9dd1a2a69e3f43fba93921b29f023d23"/>
            <w:lock w:val="sdtLocked"/>
            <w:richText/>
          </w:sdtPr>
          <w:sdtContent>
            <w:p>
              <w:pPr>
                <w:spacing w:line="276" w:lineRule="auto"/>
                <w:ind w:firstLine="567"/>
                <w:jc w:val="both"/>
                <w:rPr>
                  <w:rFonts w:eastAsia="Andale Sans UI"/>
                  <w:szCs w:val="24"/>
                  <w:lang w:bidi="en-US"/>
                </w:rPr>
              </w:pPr>
              <w:sdt>
                <w:sdtPr>
                  <w:alias w:val="Numeris"/>
                  <w:tag w:val="nr_9dd1a2a69e3f43fba93921b29f023d23"/>
                  <w:lock w:val="sdtLocked"/>
                  <w:richText/>
                </w:sdtPr>
                <w:sdtContent>
                  <w:r>
                    <w:rPr>
                      <w:rFonts w:eastAsia="Andale Sans UI"/>
                      <w:b/>
                      <w:bCs/>
                      <w:szCs w:val="24"/>
                      <w:lang w:bidi="en-US"/>
                    </w:rPr>
                    <w:t>14</w:t>
                  </w:r>
                </w:sdtContent>
              </w:sdt>
              <w:r>
                <w:rPr>
                  <w:rFonts w:eastAsia="Andale Sans UI"/>
                  <w:b/>
                  <w:bCs/>
                  <w:szCs w:val="24"/>
                  <w:lang w:bidi="en-US"/>
                </w:rPr>
                <w:t>. Projekto rengėjai</w:t>
              </w:r>
              <w:r>
                <w:rPr>
                  <w:rFonts w:eastAsia="Andale Sans UI"/>
                  <w:szCs w:val="24"/>
                  <w:lang w:bidi="en-US"/>
                </w:rPr>
                <w:t xml:space="preserve"> </w:t>
              </w:r>
            </w:p>
            <w:p>
              <w:pPr>
                <w:spacing w:line="276" w:lineRule="auto"/>
                <w:ind w:firstLine="567"/>
                <w:jc w:val="both"/>
                <w:rPr>
                  <w:rFonts w:eastAsia="Andale Sans UI"/>
                  <w:szCs w:val="24"/>
                  <w:lang w:bidi="en-US"/>
                </w:rPr>
              </w:pPr>
              <w:r>
                <w:rPr>
                  <w:rFonts w:eastAsia="Andale Sans UI"/>
                  <w:szCs w:val="24"/>
                  <w:lang w:bidi="en-US"/>
                </w:rPr>
                <w:t xml:space="preserve">Projektą parengė Aplinkos ministerijos Atliekų politikos grupės (vadovė – Vilma Slavinskienė, tel. +370 698 75 027, el. p. </w:t>
              </w:r>
              <w:r>
                <w:rPr>
                  <w:rFonts w:eastAsia="Andale Sans UI"/>
                  <w:color w:val="000080"/>
                  <w:szCs w:val="24"/>
                  <w:u w:val="single"/>
                  <w:lang w:bidi="en-US"/>
                </w:rPr>
                <w:t>vilma.slavinskiene@am.lt</w:t>
              </w:r>
              <w:r>
                <w:rPr>
                  <w:rFonts w:eastAsia="Andale Sans UI"/>
                  <w:szCs w:val="24"/>
                  <w:lang w:bidi="en-US"/>
                </w:rPr>
                <w:t>) vyriausioji specialistė Kamilė Petrauskienė (tel. +370</w:t>
              </w:r>
              <w:r>
                <w:rPr>
                  <w:rFonts w:eastAsia="Andale Sans UI"/>
                  <w:color w:val="000000"/>
                  <w:szCs w:val="24"/>
                  <w:lang w:bidi="en-US"/>
                </w:rPr>
                <w:t> 620 68 704</w:t>
              </w:r>
              <w:r>
                <w:rPr>
                  <w:rFonts w:eastAsia="Andale Sans UI"/>
                  <w:szCs w:val="24"/>
                  <w:lang w:bidi="en-US"/>
                </w:rPr>
                <w:t xml:space="preserve">, el. p. </w:t>
              </w:r>
              <w:r>
                <w:rPr>
                  <w:rFonts w:eastAsia="Andale Sans UI"/>
                  <w:color w:val="000080"/>
                  <w:szCs w:val="24"/>
                  <w:u w:val="single"/>
                  <w:lang w:bidi="en-US"/>
                </w:rPr>
                <w:t>kamile.petrauskiene@am.lt</w:t>
              </w:r>
              <w:r>
                <w:rPr>
                  <w:rFonts w:eastAsia="Andale Sans UI"/>
                  <w:color w:val="000080"/>
                  <w:szCs w:val="24"/>
                  <w:u w:val="single"/>
                  <w:lang w:bidi="en-US"/>
                </w:rPr>
                <w:t>)</w:t>
              </w:r>
              <w:r>
                <w:rPr>
                  <w:rFonts w:eastAsia="Andale Sans UI"/>
                  <w:szCs w:val="24"/>
                  <w:lang w:bidi="en-US"/>
                </w:rPr>
                <w:t>.</w:t>
              </w:r>
            </w:p>
            <w:p>
              <w:pPr>
                <w:spacing w:line="276" w:lineRule="auto"/>
                <w:ind w:firstLine="567"/>
                <w:jc w:val="both"/>
                <w:rPr>
                  <w:rFonts w:eastAsia="Andale Sans UI"/>
                  <w:szCs w:val="24"/>
                  <w:lang w:bidi="en-US"/>
                </w:rPr>
              </w:pPr>
              <w:r>
                <w:rPr>
                  <w:rFonts w:eastAsia="Andale Sans UI"/>
                  <w:szCs w:val="24"/>
                  <w:lang w:bidi="en-US"/>
                </w:rPr>
                <w:t xml:space="preserve">PRIDEDAMA. </w:t>
              </w:r>
            </w:p>
          </w:sdtContent>
        </w:sdt>
        <w:sdt>
          <w:sdtPr>
            <w:alias w:val="1 p."/>
            <w:tag w:val="part_28e189f1ec654b9c93aeb0641e717ef4"/>
            <w:lock w:val="sdtLocked"/>
            <w:richText/>
          </w:sdtPr>
          <w:sdtContent>
            <w:p>
              <w:pPr>
                <w:spacing w:line="276" w:lineRule="auto"/>
                <w:ind w:firstLine="567"/>
                <w:jc w:val="both"/>
                <w:rPr>
                  <w:color w:val="000000"/>
                  <w:szCs w:val="24"/>
                  <w:lang w:eastAsia="lt-LT" w:bidi="en-US"/>
                </w:rPr>
              </w:pPr>
              <w:sdt>
                <w:sdtPr>
                  <w:alias w:val="Numeris"/>
                  <w:tag w:val="nr_28e189f1ec654b9c93aeb0641e717ef4"/>
                  <w:lock w:val="sdtLocked"/>
                  <w:richText/>
                </w:sdtPr>
                <w:sdtContent>
                  <w:r>
                    <w:rPr>
                      <w:rFonts w:eastAsia="Andale Sans UI"/>
                      <w:szCs w:val="24"/>
                      <w:lang w:bidi="en-US"/>
                    </w:rPr>
                    <w:t>1</w:t>
                  </w:r>
                </w:sdtContent>
              </w:sdt>
              <w:r>
                <w:rPr>
                  <w:rFonts w:eastAsia="Andale Sans UI"/>
                  <w:szCs w:val="24"/>
                  <w:lang w:bidi="en-US"/>
                </w:rPr>
                <w:t>. P</w:t>
              </w:r>
              <w:r>
                <w:rPr>
                  <w:color w:val="000000"/>
                  <w:szCs w:val="24"/>
                  <w:lang w:eastAsia="lt-LT" w:bidi="en-US"/>
                </w:rPr>
                <w:t>rojektas (nauja redakcija), 8 lapai.</w:t>
              </w:r>
            </w:p>
          </w:sdtContent>
        </w:sdt>
        <w:sdt>
          <w:sdtPr>
            <w:alias w:val="2 p."/>
            <w:tag w:val="part_1622e4d52fcc429a99cbfe184973b346"/>
            <w:lock w:val="sdtLocked"/>
            <w:richText/>
          </w:sdtPr>
          <w:sdtContent>
            <w:p>
              <w:pPr>
                <w:spacing w:line="276" w:lineRule="auto"/>
                <w:ind w:firstLine="567"/>
                <w:jc w:val="both"/>
                <w:rPr>
                  <w:color w:val="000000"/>
                  <w:szCs w:val="24"/>
                  <w:lang w:eastAsia="lt-LT" w:bidi="en-US"/>
                </w:rPr>
              </w:pPr>
              <w:sdt>
                <w:sdtPr>
                  <w:alias w:val="Numeris"/>
                  <w:tag w:val="nr_1622e4d52fcc429a99cbfe184973b346"/>
                  <w:lock w:val="sdtLocked"/>
                  <w:richText/>
                </w:sdtPr>
                <w:sdtContent>
                  <w:r>
                    <w:rPr>
                      <w:color w:val="000000"/>
                      <w:szCs w:val="24"/>
                      <w:lang w:eastAsia="lt-LT" w:bidi="en-US"/>
                    </w:rPr>
                    <w:t>2</w:t>
                  </w:r>
                </w:sdtContent>
              </w:sdt>
              <w:r>
                <w:rPr>
                  <w:color w:val="000000"/>
                  <w:szCs w:val="24"/>
                  <w:lang w:eastAsia="lt-LT" w:bidi="en-US"/>
                </w:rPr>
                <w:t>. Projekto antikorupcinė vertinimo pažyma, 5 lapai.</w:t>
              </w:r>
            </w:p>
            <w:p>
              <w:pPr>
                <w:suppressLineNumbers/>
                <w:spacing w:line="276" w:lineRule="auto"/>
                <w:jc w:val="both"/>
                <w:rPr>
                  <w:rFonts w:eastAsia="Andale Sans UI"/>
                  <w:bCs/>
                  <w:szCs w:val="24"/>
                  <w:lang w:bidi="en-US"/>
                </w:rPr>
              </w:pPr>
            </w:p>
            <w:p>
              <w:pPr>
                <w:suppressLineNumbers/>
                <w:spacing w:line="276" w:lineRule="auto"/>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szCs w:val="24"/>
                        <w:lang w:bidi="en-US"/>
                      </w:rPr>
                    </w:pPr>
                    <w:r>
                      <w:rPr>
                        <w:rFonts w:eastAsia="Andale Sans UI" w:cs="Tahoma"/>
                        <w:szCs w:val="24"/>
                        <w:lang w:bidi="en-US"/>
                      </w:rPr>
                      <w:t xml:space="preserve">Aplinkos viceministras </w:t>
                    </w:r>
                  </w:p>
                </w:tc>
                <w:tc>
                  <w:tcPr>
                    <w:tcW w:w="4826" w:type="dxa"/>
                    <w:vAlign w:val="bottom"/>
                  </w:tcPr>
                  <w:p>
                    <w:pPr>
                      <w:spacing w:line="276" w:lineRule="auto"/>
                      <w:ind w:right="34"/>
                      <w:jc w:val="right"/>
                      <w:rPr>
                        <w:rFonts w:eastAsia="Andale Sans UI"/>
                        <w:szCs w:val="24"/>
                        <w:lang w:bidi="en-US"/>
                      </w:rPr>
                    </w:pPr>
                    <w:r>
                      <w:rPr>
                        <w:rFonts w:eastAsia="Andale Sans UI"/>
                        <w:szCs w:val="24"/>
                        <w:lang w:bidi="en-US"/>
                      </w:rPr>
                      <w:t xml:space="preserve">Justas Ruškys   </w:t>
                    </w:r>
                  </w:p>
                </w:tc>
              </w:tr>
              <w:tr>
                <w:trPr>
                  <w:cantSplit/>
                  <w:trHeight w:val="340"/>
                </w:trPr>
                <w:tc>
                  <w:tcPr>
                    <w:tcW w:w="9643" w:type="dxa"/>
                    <w:gridSpan w:val="2"/>
                  </w:tcPr>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szCs w:val="24"/>
                        <w:lang w:bidi="en-US"/>
                      </w:rPr>
                    </w:pPr>
                    <w:r>
                      <w:rPr>
                        <w:rFonts w:eastAsia="Andale Sans UI" w:cs="Tahoma"/>
                        <w:szCs w:val="24"/>
                        <w:lang w:bidi="en-US"/>
                      </w:rPr>
                      <w:t>Kamilė Petrauskienė, tel. +370</w:t>
                    </w:r>
                    <w:r>
                      <w:rPr>
                        <w:rFonts w:eastAsia="Andale Sans UI" w:cs="Tahoma"/>
                        <w:color w:val="000000"/>
                        <w:szCs w:val="24"/>
                        <w:lang w:bidi="en-US"/>
                      </w:rPr>
                      <w:t> 620 68 704</w:t>
                    </w:r>
                    <w:r>
                      <w:rPr>
                        <w:rFonts w:eastAsia="Andale Sans UI" w:cs="Tahoma"/>
                        <w:szCs w:val="24"/>
                        <w:lang w:bidi="en-US"/>
                      </w:rPr>
                      <w:t>, el. p. kamile.petrauskiene@am.lt</w:t>
                    </w:r>
                  </w:p>
                </w:tc>
              </w:tr>
            </w:tbl>
            <w:p>
              <w:pPr>
                <w:spacing w:line="276" w:lineRule="auto"/>
                <w:jc w:val="center"/>
                <w:rPr>
                  <w:rFonts w:ascii="Segoe UI" w:eastAsia="Andale Sans UI" w:hAnsi="Segoe UI" w:cs="Segoe UI"/>
                  <w:sz w:val="18"/>
                  <w:szCs w:val="18"/>
                  <w:lang w:bidi="en-US"/>
                </w:rPr>
              </w:pPr>
              <w:r>
                <w:rPr>
                  <w:rFonts w:eastAsia="Andale Sans UI" w:cs="Tahoma"/>
                  <w:szCs w:val="24"/>
                  <w:lang w:bidi="en-US"/>
                </w:rPr>
                <w:br w:type="page"/>
                <w:t>ADRESATŲ SĄRAŠAS</w:t>
              </w:r>
            </w:p>
            <w:p>
              <w:pPr>
                <w:spacing w:line="276" w:lineRule="auto"/>
                <w:ind w:left="360"/>
                <w:jc w:val="both"/>
                <w:rPr>
                  <w:rFonts w:eastAsia="Andale Sans UI" w:cs="Tahoma"/>
                  <w:szCs w:val="24"/>
                  <w:lang w:bidi="en-US"/>
                </w:rPr>
              </w:pPr>
            </w:p>
            <w:p>
              <w:pPr>
                <w:spacing w:line="276" w:lineRule="auto"/>
                <w:ind w:left="360"/>
                <w:jc w:val="both"/>
                <w:rPr>
                  <w:rFonts w:eastAsia="Andale Sans UI" w:cs="Tahoma"/>
                  <w:szCs w:val="24"/>
                  <w:lang w:bidi="en-US"/>
                </w:rPr>
              </w:pPr>
              <w:r>
                <w:rPr>
                  <w:rFonts w:eastAsia="Andale Sans UI" w:cs="Tahoma"/>
                  <w:szCs w:val="24"/>
                  <w:lang w:bidi="en-US"/>
                </w:rPr>
                <w:t>Ekonomikos ir inovacijų ministerijai</w:t>
              </w:r>
            </w:p>
            <w:p>
              <w:pPr>
                <w:spacing w:line="276" w:lineRule="auto"/>
                <w:ind w:left="360"/>
                <w:jc w:val="both"/>
                <w:rPr>
                  <w:rFonts w:eastAsia="Andale Sans UI" w:cs="Tahoma"/>
                  <w:szCs w:val="24"/>
                  <w:lang w:bidi="en-US"/>
                </w:rPr>
              </w:pPr>
              <w:r>
                <w:rPr>
                  <w:rFonts w:eastAsia="Andale Sans UI" w:cs="Tahoma"/>
                  <w:szCs w:val="24"/>
                  <w:lang w:bidi="en-US"/>
                </w:rPr>
                <w:t>Aplinkos apsaugos agentūrai</w:t>
              </w:r>
            </w:p>
            <w:p>
              <w:pPr>
                <w:spacing w:line="276" w:lineRule="auto"/>
                <w:ind w:left="360"/>
                <w:jc w:val="both"/>
                <w:rPr>
                  <w:rFonts w:eastAsia="Andale Sans UI" w:cs="Tahoma"/>
                  <w:szCs w:val="24"/>
                  <w:lang w:bidi="en-US"/>
                </w:rPr>
              </w:pPr>
              <w:r>
                <w:rPr>
                  <w:rFonts w:eastAsia="Andale Sans UI" w:cs="Tahoma"/>
                  <w:szCs w:val="24"/>
                  <w:lang w:bidi="en-US"/>
                </w:rPr>
                <w:t>Aplinkos apsaugos departamentui prie Aplinkos ministerijos</w:t>
              </w:r>
            </w:p>
            <w:p>
              <w:pPr>
                <w:spacing w:line="276" w:lineRule="auto"/>
                <w:ind w:left="360"/>
                <w:jc w:val="both"/>
                <w:rPr>
                  <w:rFonts w:eastAsia="Andale Sans UI" w:cs="Tahoma"/>
                  <w:szCs w:val="24"/>
                  <w:lang w:bidi="en-US"/>
                </w:rPr>
              </w:pPr>
              <w:r>
                <w:rPr>
                  <w:rFonts w:eastAsia="Andale Sans UI" w:cs="Tahoma"/>
                  <w:szCs w:val="24"/>
                  <w:lang w:bidi="en-US"/>
                </w:rPr>
                <w:t>Autogamintojų ir importuotojų asociacijai</w:t>
              </w:r>
            </w:p>
            <w:p>
              <w:pPr>
                <w:spacing w:line="276" w:lineRule="auto"/>
                <w:ind w:left="360"/>
                <w:jc w:val="both"/>
                <w:rPr>
                  <w:rFonts w:eastAsia="Andale Sans UI" w:cs="Tahoma"/>
                  <w:szCs w:val="24"/>
                  <w:lang w:bidi="en-US"/>
                </w:rPr>
              </w:pPr>
              <w:r>
                <w:rPr>
                  <w:rFonts w:eastAsia="Andale Sans UI" w:cs="Tahoma"/>
                  <w:szCs w:val="24"/>
                  <w:lang w:bidi="en-US"/>
                </w:rPr>
                <w:t>Aplinkosaugos koalicijai</w:t>
              </w:r>
            </w:p>
            <w:p>
              <w:pPr>
                <w:spacing w:line="276" w:lineRule="auto"/>
                <w:ind w:left="360"/>
                <w:jc w:val="both"/>
                <w:rPr>
                  <w:rFonts w:eastAsia="Andale Sans UI" w:cs="Tahoma"/>
                  <w:szCs w:val="24"/>
                  <w:lang w:bidi="en-US"/>
                </w:rPr>
              </w:pPr>
              <w:r>
                <w:rPr>
                  <w:rFonts w:eastAsia="Andale Sans UI" w:cs="Tahoma"/>
                  <w:szCs w:val="24"/>
                  <w:lang w:bidi="en-US"/>
                </w:rPr>
                <w:t>Elektronikos platintojų asociacijai „EEPA“</w:t>
              </w:r>
            </w:p>
            <w:p>
              <w:pPr>
                <w:spacing w:line="276" w:lineRule="auto"/>
                <w:ind w:left="360"/>
                <w:jc w:val="both"/>
                <w:rPr>
                  <w:rFonts w:eastAsia="Andale Sans UI" w:cs="Tahoma"/>
                  <w:szCs w:val="24"/>
                  <w:lang w:bidi="en-US"/>
                </w:rPr>
              </w:pPr>
              <w:r>
                <w:rPr>
                  <w:rFonts w:eastAsia="Andale Sans UI" w:cs="Tahoma"/>
                  <w:szCs w:val="24"/>
                  <w:lang w:bidi="en-US"/>
                </w:rPr>
                <w:t>Gamintojų ir importuotojų asociacijai</w:t>
              </w:r>
            </w:p>
            <w:p>
              <w:pPr>
                <w:spacing w:line="276" w:lineRule="auto"/>
                <w:ind w:left="360"/>
                <w:jc w:val="both"/>
                <w:rPr>
                  <w:rFonts w:eastAsia="Andale Sans UI" w:cs="Tahoma"/>
                  <w:szCs w:val="24"/>
                  <w:lang w:bidi="en-US"/>
                </w:rPr>
              </w:pPr>
              <w:r>
                <w:rPr>
                  <w:rFonts w:eastAsia="Andale Sans UI" w:cs="Tahoma"/>
                  <w:szCs w:val="24"/>
                  <w:lang w:bidi="en-US"/>
                </w:rPr>
                <w:t>Gamintojų ir importuotojų asociacijai „Gamtos ateitis“</w:t>
              </w:r>
            </w:p>
            <w:p>
              <w:pPr>
                <w:spacing w:line="276" w:lineRule="auto"/>
                <w:ind w:left="360"/>
                <w:jc w:val="both"/>
                <w:rPr>
                  <w:rFonts w:eastAsia="Andale Sans UI" w:cs="Tahoma"/>
                  <w:szCs w:val="24"/>
                  <w:lang w:bidi="en-US"/>
                </w:rPr>
              </w:pPr>
              <w:r>
                <w:rPr>
                  <w:rFonts w:eastAsia="Andale Sans UI" w:cs="Tahoma"/>
                  <w:szCs w:val="24"/>
                  <w:lang w:bidi="en-US"/>
                </w:rPr>
                <w:t>Lietuvos autoverslininkų asociacijai</w:t>
              </w:r>
            </w:p>
            <w:p>
              <w:pPr>
                <w:spacing w:line="276" w:lineRule="auto"/>
                <w:ind w:left="360"/>
                <w:jc w:val="both"/>
                <w:rPr>
                  <w:rFonts w:eastAsia="Andale Sans UI" w:cs="Tahoma"/>
                  <w:szCs w:val="24"/>
                  <w:lang w:bidi="en-US"/>
                </w:rPr>
              </w:pPr>
              <w:r>
                <w:rPr>
                  <w:rFonts w:eastAsia="Andale Sans UI" w:cs="Tahoma"/>
                  <w:szCs w:val="24"/>
                  <w:lang w:bidi="en-US"/>
                </w:rPr>
                <w:t>Lietuvos pramonininkų konfederacijai</w:t>
              </w:r>
            </w:p>
            <w:p>
              <w:pPr>
                <w:spacing w:line="276" w:lineRule="auto"/>
                <w:ind w:left="360"/>
                <w:jc w:val="both"/>
                <w:rPr>
                  <w:rFonts w:eastAsia="Andale Sans UI" w:cs="Tahoma"/>
                  <w:szCs w:val="24"/>
                  <w:lang w:bidi="en-US"/>
                </w:rPr>
              </w:pPr>
              <w:r>
                <w:rPr>
                  <w:rFonts w:eastAsia="Andale Sans UI" w:cs="Tahoma"/>
                  <w:szCs w:val="24"/>
                  <w:lang w:bidi="en-US"/>
                </w:rPr>
                <w:t>Lietuvos prekybos, pramonės ir amatų rūmų asociacijai</w:t>
              </w:r>
            </w:p>
            <w:p>
              <w:pPr>
                <w:spacing w:line="276" w:lineRule="auto"/>
                <w:ind w:left="360"/>
                <w:jc w:val="both"/>
                <w:rPr>
                  <w:rFonts w:eastAsia="Andale Sans UI" w:cs="Tahoma"/>
                  <w:szCs w:val="24"/>
                  <w:lang w:bidi="en-US"/>
                </w:rPr>
              </w:pPr>
              <w:r>
                <w:rPr>
                  <w:rFonts w:eastAsia="Andale Sans UI" w:cs="Tahoma"/>
                  <w:szCs w:val="24"/>
                  <w:lang w:bidi="en-US"/>
                </w:rPr>
                <w:t>Lietuvos verslo konfederacijai</w:t>
              </w:r>
            </w:p>
            <w:p>
              <w:pPr>
                <w:spacing w:line="276" w:lineRule="auto"/>
                <w:ind w:left="360"/>
                <w:jc w:val="both"/>
                <w:rPr>
                  <w:rFonts w:eastAsia="Andale Sans UI" w:cs="Tahoma"/>
                  <w:szCs w:val="24"/>
                  <w:lang w:bidi="en-US"/>
                </w:rPr>
              </w:pPr>
              <w:r>
                <w:rPr>
                  <w:rFonts w:eastAsia="Andale Sans UI" w:cs="Tahoma"/>
                  <w:szCs w:val="24"/>
                  <w:lang w:bidi="en-US"/>
                </w:rPr>
                <w:t xml:space="preserve">VšĮ </w:t>
              </w:r>
              <w:r>
                <w:rPr>
                  <w:rFonts w:eastAsia="Andale Sans UI" w:cs="Tahoma"/>
                  <w:szCs w:val="24"/>
                  <w:lang w:val="lt" w:bidi="en-US"/>
                </w:rPr>
                <w:t>„</w:t>
              </w:r>
              <w:r>
                <w:rPr>
                  <w:rFonts w:eastAsia="Andale Sans UI" w:cs="Tahoma"/>
                  <w:szCs w:val="24"/>
                  <w:lang w:bidi="en-US"/>
                </w:rPr>
                <w:t>Aplinkos apsaugos institutui</w:t>
              </w:r>
              <w:r>
                <w:rPr>
                  <w:rFonts w:eastAsia="Andale Sans UI" w:cs="Tahoma"/>
                  <w:szCs w:val="24"/>
                  <w:lang w:val="lt" w:bidi="en-US"/>
                </w:rPr>
                <w:t>“</w:t>
              </w:r>
            </w:p>
            <w:p>
              <w:pPr>
                <w:spacing w:line="276" w:lineRule="auto"/>
                <w:ind w:left="360"/>
                <w:jc w:val="both"/>
                <w:rPr>
                  <w:rFonts w:eastAsia="Andale Sans UI" w:cs="Tahoma"/>
                  <w:szCs w:val="24"/>
                  <w:lang w:val="lt" w:bidi="en-US"/>
                </w:rPr>
              </w:pPr>
              <w:r>
                <w:rPr>
                  <w:rFonts w:eastAsia="Andale Sans UI" w:cs="Tahoma"/>
                  <w:szCs w:val="24"/>
                  <w:lang w:val="lt" w:bidi="en-US"/>
                </w:rPr>
                <w:t>VšĮ „Žiedinė ekonomika“</w:t>
              </w:r>
            </w:p>
            <w:p>
              <w:pPr>
                <w:spacing w:line="276" w:lineRule="auto"/>
                <w:ind w:left="360"/>
                <w:jc w:val="both"/>
                <w:rPr>
                  <w:rFonts w:eastAsia="Andale Sans UI" w:cs="Tahoma"/>
                  <w:szCs w:val="24"/>
                  <w:lang w:bidi="en-US"/>
                </w:rPr>
              </w:pPr>
              <w:r>
                <w:rPr>
                  <w:rFonts w:eastAsia="Andale Sans UI" w:cs="Tahoma"/>
                  <w:szCs w:val="24"/>
                  <w:lang w:bidi="en-US"/>
                </w:rPr>
                <w:t>VšĮ „Elektronikos gamintojų ir importuotojų organizacija“</w:t>
              </w:r>
            </w:p>
            <w:p>
              <w:pPr>
                <w:spacing w:line="276" w:lineRule="auto"/>
                <w:ind w:left="360"/>
                <w:jc w:val="both"/>
                <w:rPr>
                  <w:rFonts w:eastAsia="Andale Sans UI" w:cs="Tahoma"/>
                  <w:szCs w:val="24"/>
                  <w:lang w:bidi="en-US"/>
                </w:rPr>
              </w:pPr>
              <w:r>
                <w:rPr>
                  <w:rFonts w:eastAsia="Andale Sans UI" w:cs="Tahoma"/>
                  <w:szCs w:val="24"/>
                  <w:lang w:bidi="en-US"/>
                </w:rPr>
                <w:t>VšĮ „Padangų importuotojų organizacija“</w:t>
              </w:r>
            </w:p>
            <w:p>
              <w:pPr>
                <w:spacing w:line="276" w:lineRule="auto"/>
                <w:ind w:left="360"/>
                <w:jc w:val="both"/>
                <w:rPr>
                  <w:rFonts w:eastAsia="Andale Sans UI" w:cs="Tahoma"/>
                  <w:szCs w:val="24"/>
                  <w:lang w:bidi="en-US"/>
                </w:rPr>
              </w:pPr>
              <w:r>
                <w:rPr>
                  <w:rFonts w:eastAsia="Andale Sans UI" w:cs="Tahoma"/>
                  <w:szCs w:val="24"/>
                  <w:lang w:bidi="en-US"/>
                </w:rPr>
                <w:t>VšĮ „PATS LT“</w:t>
              </w:r>
            </w:p>
            <w:p>
              <w:pPr>
                <w:spacing w:line="276" w:lineRule="auto"/>
                <w:ind w:left="360"/>
                <w:jc w:val="both"/>
                <w:rPr>
                  <w:rFonts w:eastAsia="Andale Sans UI" w:cs="Tahoma"/>
                  <w:szCs w:val="24"/>
                  <w:lang w:bidi="en-US"/>
                </w:rPr>
              </w:pPr>
              <w:r>
                <w:rPr>
                  <w:rFonts w:eastAsia="Andale Sans UI" w:cs="Tahoma"/>
                  <w:szCs w:val="24"/>
                  <w:lang w:bidi="en-US"/>
                </w:rPr>
                <w:t>VšĮ „Žaliasis taškas“</w:t>
              </w:r>
            </w:p>
            <w:p>
              <w:pPr>
                <w:spacing w:line="276" w:lineRule="auto"/>
                <w:ind w:left="360"/>
                <w:jc w:val="both"/>
                <w:rPr>
                  <w:rFonts w:eastAsia="Andale Sans UI" w:cs="Tahoma"/>
                  <w:szCs w:val="24"/>
                  <w:lang w:bidi="en-US"/>
                </w:rPr>
              </w:pPr>
              <w:r>
                <w:rPr>
                  <w:rFonts w:eastAsia="Andale Sans UI" w:cs="Tahoma"/>
                  <w:szCs w:val="24"/>
                  <w:lang w:bidi="en-US"/>
                </w:rPr>
                <w:t>VšĮ „Užstato sistemos administratorius</w:t>
              </w:r>
              <w:r>
                <w:rPr>
                  <w:rFonts w:eastAsia="Andale Sans UI" w:cs="Tahoma"/>
                  <w:szCs w:val="24"/>
                  <w:lang w:val="lt" w:bidi="en-US"/>
                </w:rPr>
                <w:t>“</w:t>
              </w:r>
            </w:p>
            <w:p>
              <w:pPr>
                <w:spacing w:line="276" w:lineRule="auto"/>
                <w:ind w:left="360"/>
                <w:jc w:val="both"/>
                <w:rPr>
                  <w:rFonts w:eastAsia="Andale Sans UI" w:cs="Tahoma"/>
                  <w:szCs w:val="24"/>
                  <w:lang w:val="lt" w:bidi="en-US"/>
                </w:rPr>
              </w:pPr>
              <w:r>
                <w:rPr>
                  <w:rFonts w:eastAsia="Andale Sans UI" w:cs="Tahoma"/>
                  <w:szCs w:val="24"/>
                  <w:lang w:val="lt" w:bidi="en-US"/>
                </w:rPr>
                <w:t xml:space="preserve">VšĮ </w:t>
              </w:r>
              <w:r>
                <w:rPr>
                  <w:rFonts w:eastAsia="Andale Sans UI" w:cs="Tahoma"/>
                  <w:szCs w:val="24"/>
                  <w:lang w:bidi="en-US"/>
                </w:rPr>
                <w:t>„Užstatas</w:t>
              </w:r>
              <w:r>
                <w:rPr>
                  <w:rFonts w:eastAsia="Andale Sans UI" w:cs="Tahoma"/>
                  <w:szCs w:val="24"/>
                  <w:lang w:val="lt" w:bidi="en-US"/>
                </w:rPr>
                <w:t>“</w:t>
              </w:r>
            </w:p>
            <w:p>
              <w:pPr>
                <w:spacing w:line="276" w:lineRule="auto"/>
                <w:jc w:val="both"/>
                <w:rPr>
                  <w:rFonts w:eastAsia="Andale Sans UI" w:cs="Tahoma"/>
                  <w:szCs w:val="24"/>
                  <w:lang w:bidi="en-US"/>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jc w:val="both"/>
        <w:rPr>
          <w:rFonts w:eastAsia="Andale Sans UI"/>
          <w:sz w:val="20"/>
        </w:rPr>
      </w:pPr>
      <w:r>
        <w:rPr>
          <w:rFonts w:eastAsia="Andale Sans UI"/>
          <w:sz w:val="20"/>
          <w:vertAlign w:val="superscript"/>
        </w:rPr>
        <w:footnoteRef/>
      </w:r>
      <w:r>
        <w:rPr>
          <w:rFonts w:eastAsia="Andale Sans UI"/>
          <w:sz w:val="20"/>
        </w:rPr>
        <w:t xml:space="preserve"> ATĮ pakeitimo įstatymo projektas ir</w:t>
      </w:r>
      <w:r>
        <w:rPr>
          <w:sz w:val="20"/>
        </w:rPr>
        <w:t xml:space="preserve"> MATĮ pakeitimo įstatymo projektas</w:t>
      </w:r>
      <w:r>
        <w:rPr>
          <w:rFonts w:eastAsia="Andale Sans UI"/>
          <w:sz w:val="20"/>
        </w:rPr>
        <w:t xml:space="preserve"> </w:t>
      </w:r>
      <w:r>
        <w:rPr>
          <w:sz w:val="20"/>
        </w:rPr>
        <w:t xml:space="preserve">paskelbti Lietuvos Respublikos Seimo kanceliarijos teisės aktų informacinėje sistemoje (reg. TAIS Nr. </w:t>
      </w:r>
      <w:r>
        <w:rPr>
          <w:rFonts w:eastAsia="Andale Sans UI"/>
          <w:color w:val="000080"/>
          <w:sz w:val="20"/>
          <w:u w:val="single"/>
          <w:shd w:val="clear" w:color="auto" w:fill="FFFFFF"/>
        </w:rPr>
        <w:t>XIVP-4013</w:t>
      </w:r>
      <w:r>
        <w:rPr>
          <w:sz w:val="20"/>
        </w:rPr>
        <w:t xml:space="preserve"> ir </w:t>
      </w:r>
      <w:r>
        <w:rPr>
          <w:rFonts w:eastAsia="Andale Sans UI"/>
          <w:color w:val="000080"/>
          <w:sz w:val="20"/>
          <w:u w:val="single"/>
          <w:shd w:val="clear" w:color="auto" w:fill="FFFFFF"/>
        </w:rPr>
        <w:t>XIVP-4016</w:t>
      </w:r>
      <w:r>
        <w:rPr>
          <w:sz w:val="20"/>
        </w:rPr>
        <w:t>).</w:t>
      </w:r>
    </w:p>
    <w:p>
      <w:pPr>
        <w:rPr>
          <w:rFonts w:eastAsia="Andale Sans UI"/>
          <w:sz w:val="20"/>
        </w:rPr>
      </w:pPr>
    </w:p>
  </w:footnote>
  <w:footnote w:id="3">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4">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5">
    <w:p>
      <w:pPr>
        <w:jc w:val="both"/>
        <w:rPr>
          <w:rFonts w:eastAsia="Andale Sans UI"/>
          <w:sz w:val="20"/>
        </w:rPr>
      </w:pPr>
      <w:r>
        <w:rPr>
          <w:rFonts w:eastAsia="Andale Sans UI"/>
          <w:sz w:val="20"/>
          <w:vertAlign w:val="superscript"/>
        </w:rPr>
        <w:footnoteRef/>
      </w:r>
      <w:r>
        <w:rPr>
          <w:rFonts w:eastAsia="Andale Sans UI"/>
          <w:sz w:val="20"/>
        </w:rPr>
        <w:t xml:space="preserve"> </w:t>
      </w:r>
      <w:hyperlink r:id="rId5"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392C4CA-C555-4368-82B3-AF258BE5F1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040327560">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670673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3" Type="http://schemas.openxmlformats.org/officeDocument/2006/relationships/hyperlink" TargetMode="External" Target="https://www.e-tar.lt/portal/lt/legalAct/ed22bb703bc311eb8d9fe110e148c770"/>
  <Relationship Id="rId4" Type="http://schemas.openxmlformats.org/officeDocument/2006/relationships/hyperlink" TargetMode="External" Target="https://www.e-tar.lt/portal/lt/legalAct/TAR.EDD5FD371B32/asr"/>
  <Relationship Id="rId5" Type="http://schemas.openxmlformats.org/officeDocument/2006/relationships/hyperlink" TargetMode="External" Target="https://www.e-tar.lt/portal/lt/legalAct/TAR.814F485EB18B/as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Skirmantas Kadziauskas</DisplayName>
        <AccountId>118</AccountId>
        <AccountType/>
      </UserInfo>
      <UserInfo>
        <DisplayName>Greta Česnaitytė</DisplayName>
        <AccountId>348</AccountId>
        <AccountType/>
      </UserInfo>
      <UserInfo>
        <DisplayName>Mindaugas Kauzonas</DisplayName>
        <AccountId>358</AccountId>
        <AccountType/>
      </UserInfo>
      <UserInfo>
        <DisplayName>Kamilė Petrauskienė</DisplayName>
        <AccountId>1026</AccountId>
        <AccountType/>
      </UserInfo>
      <UserInfo>
        <DisplayName>Neringa Paškauskaitė</DisplayName>
        <AccountId>28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3" ma:contentTypeDescription="Kurkite naują dokumentą." ma:contentTypeScope="" ma:versionID="f91c944ec141e5b4cf797cc4af36e696">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a3d6eb22ba70123ff6107cb4426811"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fe990543a95847ba861fd5bc5fdee753" PartId="5fef4f9ff0d8459e9b6e98caab8e9711"/>
  <Part Type="pastraipa" DocPartId="8f16c4de5e2d49b28f60744e1e54ab60" PartId="dce5515c2f094df89d52a2e016f7f9d1">
    <Part Type="punktas" Nr="1" Abbr="1 p." DocPartId="4541ae42f9ed4f41a10e62ebdaac0577" PartId="bc172a244414449aa86386f7b2ef5c56"/>
    <Part Type="punktas" Nr="2" Abbr="2 p." DocPartId="038e727efb1842a9bf363abb75d5ed38" PartId="9c658563b4874235adceae320cf34381"/>
    <Part Type="punktas" Nr="3" Abbr="3 p." DocPartId="381de5638fa04556870f4e0737c46a31" PartId="b74e4c1ae0ab49cfbe9b88eea5e9df44"/>
    <Part Type="punktas" Nr="4" Abbr="4 p." DocPartId="d6e3b3044748434db2d80f1540917f88" PartId="b612dcb9430349beb809d0ef183a2e30"/>
    <Part Type="punktas" Nr="5" Abbr="5 p." DocPartId="01435173fcc8448481160c88eb315381" PartId="e55d6b79ca204553884f26a4070152ff"/>
    <Part Type="punktas" Nr="6" Abbr="6 p." DocPartId="e763169bd429450fbdf15c75c4f60b3b" PartId="868f8615d59b4245b7ac088d93c04f5b"/>
    <Part Type="punktas" Nr="7" Abbr="7 p." DocPartId="d593672f147248cc9c3ce4597ae06ec2" PartId="b1f69ac5d43f4cf09c34041564f9a8a2"/>
    <Part Type="punktas" Nr="8" Abbr="8 p." DocPartId="e9ac82bf56f74c83a2bed0c506c4368d" PartId="32111a4b506b4f0fb8d13bd074242a73"/>
    <Part Type="punktas" Nr="9" Abbr="9 p." DocPartId="e0a651826a934a47a60e2896b1aec1c9" PartId="f45783516a6d47a588b46fe3b791187f"/>
    <Part Type="punktas" Nr="10" Abbr="10 p." DocPartId="a355e5c0a53d4a109b6639332efeead9" PartId="2dd01d1c631641e38f92ce236a8789dd"/>
    <Part Type="punktas" Nr="11" Abbr="11 p." DocPartId="50543073cfa94000a6ce9036a7a8bd88" PartId="0b76f9072d9a4b268eb1fbe6fad19cac"/>
    <Part Type="punktas" Nr="12" Abbr="12 p." DocPartId="fbab79cf34884a8db8bceabca978f671" PartId="9f6b789dbbd9478d85a2e7a4f995606e"/>
    <Part Type="punktas" Nr="13" Abbr="13 p." DocPartId="04ff0fc3b6a54b3398aaa2b43e90382f" PartId="26fffd5a5e3843bca25d432a95a5010f"/>
    <Part Type="punktas" Nr="14" Abbr="14 p." DocPartId="76762c171c68401da4cb1c5dc7daf37a" PartId="9dd1a2a69e3f43fba93921b29f023d23"/>
    <Part Type="punktas" Nr="1" Abbr="1 p." Notes="Numeris ne iš eilės. Trūksta dalių? [DocDalys]" DocPartId="b082b745cbb84fb8ab610ec1f5f16b72" PartId="28e189f1ec654b9c93aeb0641e717ef4"/>
    <Part Type="punktas" Nr="2" Abbr="2 p." DocPartId="6610a825c69b4ccab411eea83180b642" PartId="1622e4d52fcc429a99cbfe184973b346"/>
  </Part>
</Parts>
</file>

<file path=customXml/itemProps1.xml><?xml version="1.0" encoding="utf-8"?>
<ds:datastoreItem xmlns:ds="http://schemas.openxmlformats.org/officeDocument/2006/customXml" ds:itemID="{2ECC1323-9F72-4681-9895-5BB6B34E3FBB}">
  <ds:schemaRefs>
    <ds:schemaRef ds:uri="http://schemas.microsoft.com/office/2006/documentManagement/types"/>
    <ds:schemaRef ds:uri="http://schemas.microsoft.com/sharepoint/v3"/>
    <ds:schemaRef ds:uri="19cf09c5-daa1-4028-a0ff-74a0be4ec5cc"/>
    <ds:schemaRef ds:uri="http://purl.org/dc/terms/"/>
    <ds:schemaRef ds:uri="http://purl.org/dc/elements/1.1/"/>
    <ds:schemaRef ds:uri="http://purl.org/dc/dcmitype/"/>
    <ds:schemaRef ds:uri="http://schemas.microsoft.com/office/infopath/2007/PartnerControls"/>
    <ds:schemaRef ds:uri="http://schemas.microsoft.com/office/2006/metadata/properties"/>
    <ds:schemaRef ds:uri="f5aad5d0-9c26-490e-8743-a6c7ceabd501"/>
    <ds:schemaRef ds:uri="http://schemas.openxmlformats.org/package/2006/metadata/core-properties"/>
    <ds:schemaRef ds:uri="http://www.w3.org/XML/1998/namespace"/>
    <ds:schemaRef ds:uri="0379a545-9986-45d7-9e6d-3845025712a0"/>
    <ds:schemaRef ds:uri="47c1ea38-b788-4873-88f4-3b1f34597b9a"/>
  </ds:schemaRefs>
</ds:datastoreItem>
</file>

<file path=customXml/itemProps2.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3.xml><?xml version="1.0" encoding="utf-8"?>
<ds:datastoreItem xmlns:ds="http://schemas.openxmlformats.org/officeDocument/2006/customXml" ds:itemID="{FCE344C1-2CA8-4A23-9674-C4F03C25D0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A557D6C-FA9F-4280-810D-340443170EAD}">
  <ds:schemaRefs>
    <ds:schemaRef ds:uri="http://schemas.openxmlformats.org/officeDocument/2006/bibliography"/>
  </ds:schemaRefs>
</ds:datastoreItem>
</file>

<file path=customXml/itemProps5.xml><?xml version="1.0" encoding="utf-8"?>
<ds:datastoreItem xmlns:ds="http://schemas.openxmlformats.org/officeDocument/2006/customXml" ds:itemID="{101BE856-8C06-4BED-AD0F-4A30E691A3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916</Words>
  <Characters>6679</Characters>
  <Application>Microsoft Office Word</Application>
  <DocSecurity>4</DocSecurity>
  <Lines>159</Lines>
  <Paragraphs>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7509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2024-08-21T13:46:00Z</dcterms:created>
  <dc:creator>Kamilė Petrauskienė</dc:creator>
  <lastModifiedBy>adlibuser</lastModifiedBy>
  <dcterms:modified xsi:type="dcterms:W3CDTF">2024-08-21T13:46:00Z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