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cf37c899c3146cfbac1c8ea46cc1ef2"/>
        <w:lock w:val="sdtLocked"/>
        <w:richText/>
      </w:sdtPr>
      <w:sdtContent>
        <w:p w14:paraId="1A23323F" w14:textId="77777777">
          <w:pPr>
            <w:tabs>
              <w:tab w:val="center" w:pos="4819"/>
              <w:tab w:val="right" w:pos="9638"/>
            </w:tabs>
            <w:rPr>
              <w:sz w:val="22"/>
              <w:szCs w:val="22"/>
            </w:rPr>
          </w:pPr>
        </w:p>
        <w:p w14:paraId="7723F4D4" w14:textId="7AFBE5C3">
          <w:pPr>
            <w:jc w:val="center"/>
            <w:rPr>
              <w:b/>
              <w:sz w:val="22"/>
              <w:szCs w:val="22"/>
            </w:rPr>
          </w:pPr>
          <w:r>
            <w:rPr>
              <w:b/>
              <w:sz w:val="22"/>
              <w:szCs w:val="22"/>
            </w:rPr>
            <w:t>LIETUVOS RESPUBLIKOS SUSISIEKIMO MINISTRO IR LIETUVOS RESPUBLIKOS APLINKOS MINISTRO ĮSAKYMO „DĖL REIKALAVIMŲ TRANSPORTO PRIEMONIŲ TECHNINEI PRIEŽIŪRAI, REMONTUI, TECHNINEI PAGALBAI IR PERDIRBIMUI TVIRTINIMO“</w:t>
          </w:r>
        </w:p>
        <w:p w14:paraId="15F08A77" w14:textId="3CE6A3BA">
          <w:pPr>
            <w:jc w:val="center"/>
            <w:rPr>
              <w:b/>
              <w:sz w:val="22"/>
              <w:szCs w:val="22"/>
            </w:rPr>
          </w:pPr>
          <w:r>
            <w:rPr>
              <w:b/>
              <w:sz w:val="22"/>
              <w:szCs w:val="22"/>
            </w:rPr>
            <w:t>DERINIMO PAŽYMA</w:t>
          </w:r>
        </w:p>
        <w:p w14:paraId="069C57C1" w14:textId="77777777">
          <w:pPr>
            <w:jc w:val="both"/>
            <w:rPr>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
            <w:gridCol w:w="1517"/>
            <w:gridCol w:w="1694"/>
            <w:gridCol w:w="1886"/>
            <w:gridCol w:w="3078"/>
            <w:gridCol w:w="1694"/>
            <w:gridCol w:w="3624"/>
          </w:tblGrid>
          <w:tr w14:paraId="61177B8F" w14:textId="77777777">
            <w:tc>
              <w:tcPr>
                <w:tcW w:w="179" w:type="pct"/>
                <w:shd w:val="clear" w:color="auto" w:fill="auto"/>
              </w:tcPr>
              <w:p w14:paraId="3F09DE82" w14:textId="728B74E8">
                <w:pPr>
                  <w:jc w:val="both"/>
                  <w:rPr>
                    <w:sz w:val="20"/>
                  </w:rPr>
                </w:pPr>
                <w:r>
                  <w:rPr>
                    <w:sz w:val="20"/>
                  </w:rPr>
                  <w:t>Eil. Nr.</w:t>
                </w:r>
              </w:p>
            </w:tc>
            <w:tc>
              <w:tcPr>
                <w:tcW w:w="542" w:type="pct"/>
                <w:shd w:val="clear" w:color="auto" w:fill="auto"/>
              </w:tcPr>
              <w:p w14:paraId="78A9F1EC" w14:textId="58AAA533">
                <w:pPr>
                  <w:jc w:val="both"/>
                  <w:rPr>
                    <w:b/>
                    <w:bCs/>
                    <w:sz w:val="20"/>
                  </w:rPr>
                </w:pPr>
                <w:r>
                  <w:rPr>
                    <w:b/>
                    <w:bCs/>
                    <w:sz w:val="20"/>
                  </w:rPr>
                  <w:t>Institucijos pavadinimas, rašto data ir numeris</w:t>
                </w:r>
              </w:p>
            </w:tc>
            <w:tc>
              <w:tcPr>
                <w:tcW w:w="2984" w:type="pct"/>
                <w:gridSpan w:val="4"/>
                <w:shd w:val="clear" w:color="auto" w:fill="auto"/>
              </w:tcPr>
              <w:p w14:paraId="2AB2DCA1" w14:textId="33D92D8F">
                <w:pPr>
                  <w:jc w:val="both"/>
                  <w:rPr>
                    <w:b/>
                    <w:bCs/>
                    <w:sz w:val="20"/>
                  </w:rPr>
                </w:pPr>
                <w:r>
                  <w:rPr>
                    <w:b/>
                    <w:bCs/>
                    <w:sz w:val="20"/>
                  </w:rPr>
                  <w:t>Pastabos ir pasiūlymai</w:t>
                </w:r>
              </w:p>
            </w:tc>
            <w:tc>
              <w:tcPr>
                <w:tcW w:w="1295" w:type="pct"/>
                <w:shd w:val="clear" w:color="auto" w:fill="auto"/>
              </w:tcPr>
              <w:p w14:paraId="26493232" w14:textId="7FCB678B">
                <w:pPr>
                  <w:jc w:val="both"/>
                  <w:rPr>
                    <w:b/>
                    <w:bCs/>
                    <w:sz w:val="20"/>
                  </w:rPr>
                </w:pPr>
                <w:r>
                  <w:rPr>
                    <w:b/>
                    <w:bCs/>
                    <w:sz w:val="20"/>
                  </w:rPr>
                  <w:t>Pastabų ir pasiūlymų įvertinimas</w:t>
                </w:r>
              </w:p>
            </w:tc>
          </w:tr>
          <w:tr w14:paraId="6B069021" w14:textId="77777777">
            <w:trPr>
              <w:trHeight w:val="286"/>
            </w:trPr>
            <w:tc>
              <w:tcPr>
                <w:tcW w:w="179" w:type="pct"/>
                <w:vMerge w:val="restart"/>
                <w:shd w:val="clear" w:color="auto" w:fill="auto"/>
              </w:tcPr>
              <w:p w14:paraId="01665C82" w14:textId="4E9AC6FF">
                <w:pPr>
                  <w:tabs>
                    <w:tab w:val="left" w:pos="360"/>
                  </w:tabs>
                  <w:ind w:left="357" w:hanging="357"/>
                  <w:jc w:val="both"/>
                  <w:rPr>
                    <w:sz w:val="20"/>
                  </w:rPr>
                </w:pPr>
                <w:r>
                  <w:rPr>
                    <w:sz w:val="20"/>
                  </w:rPr>
                  <w:t>1.</w:t>
                  <w:tab/>
                </w:r>
              </w:p>
            </w:tc>
            <w:tc>
              <w:tcPr>
                <w:tcW w:w="542" w:type="pct"/>
                <w:vMerge w:val="restart"/>
                <w:shd w:val="clear" w:color="auto" w:fill="auto"/>
              </w:tcPr>
              <w:p w14:paraId="4EF78FE9" w14:textId="1662C4EA">
                <w:pPr>
                  <w:jc w:val="both"/>
                  <w:rPr>
                    <w:sz w:val="20"/>
                  </w:rPr>
                </w:pPr>
                <w:r>
                  <w:rPr>
                    <w:sz w:val="20"/>
                  </w:rPr>
                  <w:t>TAIS pateiktas Lietuvos Autoverslininkų Asociacijos (kaip visuomenės) pasiūlymas (2022-08-04)</w:t>
                </w:r>
              </w:p>
            </w:tc>
            <w:tc>
              <w:tcPr>
                <w:tcW w:w="605" w:type="pct"/>
                <w:shd w:val="clear" w:color="auto" w:fill="auto"/>
              </w:tcPr>
              <w:p w14:paraId="0A58CFB1" w14:textId="1F1B7D4C">
                <w:pPr>
                  <w:ind w:left="104" w:hanging="104"/>
                  <w:jc w:val="both"/>
                  <w:rPr>
                    <w:b/>
                    <w:bCs/>
                    <w:sz w:val="20"/>
                  </w:rPr>
                </w:pPr>
                <w:r>
                  <w:rPr>
                    <w:b/>
                    <w:bCs/>
                    <w:sz w:val="20"/>
                  </w:rPr>
                  <w:t>Punktas</w:t>
                </w:r>
              </w:p>
            </w:tc>
            <w:tc>
              <w:tcPr>
                <w:tcW w:w="674" w:type="pct"/>
                <w:shd w:val="clear" w:color="auto" w:fill="auto"/>
              </w:tcPr>
              <w:p w14:paraId="3BA44050" w14:textId="7CA2907E">
                <w:pPr>
                  <w:jc w:val="both"/>
                  <w:rPr>
                    <w:b/>
                    <w:bCs/>
                    <w:sz w:val="20"/>
                  </w:rPr>
                </w:pPr>
                <w:r>
                  <w:rPr>
                    <w:b/>
                    <w:bCs/>
                    <w:sz w:val="20"/>
                  </w:rPr>
                  <w:t>Esama formuluotė</w:t>
                </w:r>
              </w:p>
            </w:tc>
            <w:tc>
              <w:tcPr>
                <w:tcW w:w="1100" w:type="pct"/>
                <w:shd w:val="clear" w:color="auto" w:fill="auto"/>
              </w:tcPr>
              <w:p w14:paraId="10FA8AF2" w14:textId="038E2158">
                <w:pPr>
                  <w:jc w:val="both"/>
                  <w:rPr>
                    <w:b/>
                    <w:bCs/>
                    <w:sz w:val="20"/>
                  </w:rPr>
                </w:pPr>
                <w:r>
                  <w:rPr>
                    <w:b/>
                    <w:bCs/>
                    <w:sz w:val="20"/>
                  </w:rPr>
                  <w:t>Siūlomi pakeitimai</w:t>
                </w:r>
              </w:p>
            </w:tc>
            <w:tc>
              <w:tcPr>
                <w:tcW w:w="605" w:type="pct"/>
                <w:shd w:val="clear" w:color="auto" w:fill="auto"/>
              </w:tcPr>
              <w:p w14:paraId="7F50A79E" w14:textId="7EA1F246">
                <w:pPr>
                  <w:jc w:val="both"/>
                  <w:rPr>
                    <w:b/>
                    <w:bCs/>
                    <w:sz w:val="20"/>
                  </w:rPr>
                </w:pPr>
                <w:r>
                  <w:rPr>
                    <w:b/>
                    <w:bCs/>
                    <w:sz w:val="20"/>
                  </w:rPr>
                  <w:t>Komentaras</w:t>
                </w:r>
              </w:p>
            </w:tc>
            <w:tc>
              <w:tcPr>
                <w:tcW w:w="1295" w:type="pct"/>
                <w:vMerge w:val="restart"/>
                <w:shd w:val="clear" w:color="auto" w:fill="auto"/>
              </w:tcPr>
              <w:p w14:paraId="6CE4B670" w14:textId="77777777">
                <w:pPr>
                  <w:spacing w:line="259" w:lineRule="auto"/>
                  <w:jc w:val="both"/>
                  <w:rPr>
                    <w:b/>
                    <w:bCs/>
                    <w:sz w:val="20"/>
                  </w:rPr>
                </w:pPr>
                <w:r>
                  <w:rPr>
                    <w:b/>
                    <w:bCs/>
                    <w:sz w:val="20"/>
                  </w:rPr>
                  <w:t>Neatsižvelgta.</w:t>
                </w:r>
              </w:p>
              <w:p w14:paraId="0C24636A" w14:textId="73CBE84B">
                <w:pPr>
                  <w:tabs>
                    <w:tab w:val="left" w:pos="993"/>
                  </w:tabs>
                  <w:jc w:val="both"/>
                  <w:rPr>
                    <w:bCs/>
                    <w:sz w:val="20"/>
                  </w:rPr>
                </w:pPr>
                <w:r>
                  <w:rPr>
                    <w:sz w:val="20"/>
                  </w:rPr>
                  <w:t xml:space="preserve">Fizinių asmenų valdomų transporto priemonių (toliau – tp) savarankiškai atliekami darbai nėra ūkinė veikla, ir jai netaikomi ūkinės veiklos aplinkosauginiai reikalavimai, nustatyti LR Aplinkos apsaugos įstatyme (toliau – AAĮ) ir jo įgyvendinamuosiuose teisės aktuose. Visi fiziniai asmenys privalo saugoti aplinką, kaip nustatyta AAĮ 9 str., ir laikytis bendrųjų aplinkos apsaugos teisės aktų, reikalavimų. Bendrieji aplinkos apsaugos reikalavimai aktualūs fizinių asmenų savarankiškai atliekamų savo valdomų tp darbų metu galimai sukeliamai aplinkos taršai valdyti nurodyti Projekto 27 p. Dėl šios priežasties, Projekto </w:t>
                </w:r>
                <w:r>
                  <w:rPr>
                    <w:bCs/>
                    <w:sz w:val="20"/>
                  </w:rPr>
                  <w:t>III skyriaus „DARBŲ VIETAI TAIKOMI APLINKOS APSAUGOS REIKALAVIMAI“ reikalavimai šiems fiziniams asmenims netaikomi.</w:t>
                </w:r>
              </w:p>
            </w:tc>
          </w:tr>
          <w:tr w14:paraId="0C571245" w14:textId="77777777">
            <w:trPr>
              <w:trHeight w:val="3697"/>
            </w:trPr>
            <w:tc>
              <w:tcPr>
                <w:tcW w:w="179" w:type="pct"/>
                <w:vMerge/>
                <w:shd w:val="clear" w:color="auto" w:fill="auto"/>
              </w:tcPr>
              <w:p w14:paraId="79467575" w14:textId="3035716C">
                <w:pPr>
                  <w:ind w:left="720" w:hanging="360"/>
                  <w:jc w:val="both"/>
                  <w:rPr>
                    <w:bCs/>
                    <w:sz w:val="20"/>
                  </w:rPr>
                </w:pPr>
                <w:r>
                  <w:rPr>
                    <w:bCs/>
                    <w:sz w:val="20"/>
                  </w:rPr>
                  <w:t>1.</w:t>
                  <w:tab/>
                </w:r>
              </w:p>
            </w:tc>
            <w:tc>
              <w:tcPr>
                <w:tcW w:w="542" w:type="pct"/>
                <w:vMerge/>
                <w:shd w:val="clear" w:color="auto" w:fill="auto"/>
              </w:tcPr>
              <w:p w14:paraId="1F15055D" w14:textId="77777777">
                <w:pPr>
                  <w:jc w:val="both"/>
                  <w:rPr>
                    <w:bCs/>
                    <w:sz w:val="20"/>
                  </w:rPr>
                </w:pPr>
              </w:p>
            </w:tc>
            <w:tc>
              <w:tcPr>
                <w:tcW w:w="605" w:type="pct"/>
                <w:shd w:val="clear" w:color="auto" w:fill="auto"/>
              </w:tcPr>
              <w:p w14:paraId="047B7E01" w14:textId="46669A06">
                <w:pPr>
                  <w:jc w:val="both"/>
                  <w:rPr>
                    <w:b/>
                    <w:bCs/>
                    <w:sz w:val="20"/>
                  </w:rPr>
                </w:pPr>
                <w:r>
                  <w:rPr>
                    <w:sz w:val="20"/>
                  </w:rPr>
                  <w:t>1.2</w:t>
                </w:r>
              </w:p>
            </w:tc>
            <w:tc>
              <w:tcPr>
                <w:tcW w:w="674" w:type="pct"/>
                <w:shd w:val="clear" w:color="auto" w:fill="auto"/>
              </w:tcPr>
              <w:p w14:paraId="3FBF20DB" w14:textId="692FC460">
                <w:pPr>
                  <w:jc w:val="both"/>
                  <w:rPr>
                    <w:b/>
                    <w:bCs/>
                    <w:sz w:val="20"/>
                  </w:rPr>
                </w:pPr>
                <w:r>
                  <w:rPr>
                    <w:sz w:val="20"/>
                  </w:rPr>
                  <w:t>aplinkos apsaugos reikalavimus</w:t>
                </w:r>
                <w:r>
                  <w:rPr>
                    <w:b/>
                    <w:bCs/>
                    <w:sz w:val="20"/>
                  </w:rPr>
                  <w:t xml:space="preserve"> </w:t>
                </w:r>
                <w:r>
                  <w:rPr>
                    <w:sz w:val="20"/>
                  </w:rPr>
                  <w:t>paslaugų teikėjų ir</w:t>
                </w:r>
                <w:r>
                  <w:rPr>
                    <w:b/>
                    <w:bCs/>
                    <w:sz w:val="20"/>
                  </w:rPr>
                  <w:t xml:space="preserve"> </w:t>
                </w:r>
                <w:r>
                  <w:rPr>
                    <w:sz w:val="20"/>
                  </w:rPr>
                  <w:t>savarankiškai juridinių asmenų – transporto priemonių valdytojų – vykdomų transporto priemonių techninės priežiūros, remonto, techninės pagalbos ir (ar) perdirbimo (toliau – darbai) vietai</w:t>
                </w:r>
              </w:p>
            </w:tc>
            <w:tc>
              <w:tcPr>
                <w:tcW w:w="1100" w:type="pct"/>
                <w:shd w:val="clear" w:color="auto" w:fill="auto"/>
              </w:tcPr>
              <w:p w14:paraId="516C9A6E" w14:textId="688D7BCD">
                <w:pPr>
                  <w:jc w:val="both"/>
                  <w:rPr>
                    <w:b/>
                    <w:bCs/>
                    <w:sz w:val="20"/>
                  </w:rPr>
                </w:pPr>
                <w:r>
                  <w:rPr>
                    <w:sz w:val="20"/>
                  </w:rPr>
                  <w:t>aplinkos apsaugos reikalavimus</w:t>
                </w:r>
                <w:r>
                  <w:rPr>
                    <w:b/>
                    <w:bCs/>
                    <w:sz w:val="20"/>
                  </w:rPr>
                  <w:t xml:space="preserve"> </w:t>
                </w:r>
                <w:r>
                  <w:rPr>
                    <w:sz w:val="20"/>
                  </w:rPr>
                  <w:t>paslaugų teikėjų ir</w:t>
                </w:r>
                <w:r>
                  <w:rPr>
                    <w:b/>
                    <w:bCs/>
                    <w:sz w:val="20"/>
                  </w:rPr>
                  <w:t xml:space="preserve"> </w:t>
                </w:r>
                <w:r>
                  <w:rPr>
                    <w:sz w:val="20"/>
                  </w:rPr>
                  <w:t xml:space="preserve">savarankiškai juridinių ir </w:t>
                </w:r>
                <w:r>
                  <w:rPr>
                    <w:b/>
                    <w:bCs/>
                    <w:sz w:val="20"/>
                  </w:rPr>
                  <w:t>fizinių</w:t>
                </w:r>
                <w:r>
                  <w:rPr>
                    <w:sz w:val="20"/>
                  </w:rPr>
                  <w:t xml:space="preserve"> asmenų – transporto priemonių valdytojų – vykdomų transporto priemonių techninės priežiūros, remonto, techninės pagalbos ir (ar) perdirbimo (toliau – darbai) vietai</w:t>
                </w:r>
              </w:p>
            </w:tc>
            <w:tc>
              <w:tcPr>
                <w:tcW w:w="605" w:type="pct"/>
                <w:shd w:val="clear" w:color="auto" w:fill="auto"/>
              </w:tcPr>
              <w:p w14:paraId="5248132D" w14:textId="16D35B04">
                <w:pPr>
                  <w:jc w:val="both"/>
                  <w:rPr>
                    <w:b/>
                    <w:bCs/>
                    <w:sz w:val="20"/>
                  </w:rPr>
                </w:pPr>
                <w:r>
                  <w:rPr>
                    <w:sz w:val="20"/>
                  </w:rPr>
                  <w:t>Reikalavimai neturėtų priklausyti nuo asmens statuso. Dėl to naikintinas ir p 1.4</w:t>
                </w:r>
              </w:p>
            </w:tc>
            <w:tc>
              <w:tcPr>
                <w:tcW w:w="1295" w:type="pct"/>
                <w:vMerge/>
                <w:shd w:val="clear" w:color="auto" w:fill="auto"/>
              </w:tcPr>
              <w:p w14:paraId="109DAF34" w14:textId="6A15681D">
                <w:pPr>
                  <w:jc w:val="both"/>
                  <w:rPr>
                    <w:b/>
                    <w:sz w:val="20"/>
                  </w:rPr>
                </w:pPr>
              </w:p>
            </w:tc>
          </w:tr>
          <w:tr w14:paraId="4CB563A3" w14:textId="77777777">
            <w:tc>
              <w:tcPr>
                <w:tcW w:w="179" w:type="pct"/>
                <w:shd w:val="clear" w:color="auto" w:fill="auto"/>
              </w:tcPr>
              <w:p w14:paraId="21D67CF8" w14:textId="5BA32350">
                <w:pPr>
                  <w:ind w:left="340" w:hanging="360"/>
                  <w:jc w:val="both"/>
                  <w:rPr>
                    <w:sz w:val="20"/>
                  </w:rPr>
                </w:pPr>
                <w:r>
                  <w:rPr>
                    <w:sz w:val="20"/>
                  </w:rPr>
                  <w:t>2.</w:t>
                  <w:tab/>
                </w:r>
              </w:p>
            </w:tc>
            <w:tc>
              <w:tcPr>
                <w:tcW w:w="542" w:type="pct"/>
                <w:vMerge/>
                <w:shd w:val="clear" w:color="auto" w:fill="auto"/>
              </w:tcPr>
              <w:p w14:paraId="3C85043F" w14:textId="77777777">
                <w:pPr>
                  <w:jc w:val="both"/>
                  <w:rPr>
                    <w:b/>
                    <w:bCs/>
                    <w:sz w:val="20"/>
                  </w:rPr>
                </w:pPr>
              </w:p>
            </w:tc>
            <w:tc>
              <w:tcPr>
                <w:tcW w:w="605" w:type="pct"/>
                <w:shd w:val="clear" w:color="auto" w:fill="auto"/>
              </w:tcPr>
              <w:p w14:paraId="5600A9AB" w14:textId="3D6B9CF3">
                <w:pPr>
                  <w:jc w:val="both"/>
                  <w:rPr>
                    <w:b/>
                    <w:bCs/>
                    <w:sz w:val="20"/>
                  </w:rPr>
                </w:pPr>
                <w:r>
                  <w:rPr>
                    <w:sz w:val="20"/>
                  </w:rPr>
                  <w:t>3</w:t>
                </w:r>
              </w:p>
            </w:tc>
            <w:tc>
              <w:tcPr>
                <w:tcW w:w="674" w:type="pct"/>
                <w:shd w:val="clear" w:color="auto" w:fill="auto"/>
              </w:tcPr>
              <w:p w14:paraId="2BA46756" w14:textId="6470F43C">
                <w:pPr>
                  <w:jc w:val="both"/>
                  <w:rPr>
                    <w:b/>
                    <w:bCs/>
                    <w:sz w:val="20"/>
                  </w:rPr>
                </w:pPr>
                <w:r>
                  <w:rPr>
                    <w:sz w:val="20"/>
                  </w:rPr>
                  <w:t>Apraše nustatyti paslaugų reikalavimai taikomi fiziniams ir juridiniams asmenims, kurie atlikdami darbus siekia gauti ir (ar) gauna pajamų ar kitokios naudos. Apraše nustatyti darbų reikalavimai taikomi paslaugų teikėjams ir fiziniams ir juridiniams asmenims, kurie savarankiškai atlieka su savo valdoma transporto priemone susijusius darbus</w:t>
                </w:r>
              </w:p>
            </w:tc>
            <w:tc>
              <w:tcPr>
                <w:tcW w:w="1100" w:type="pct"/>
                <w:shd w:val="clear" w:color="auto" w:fill="auto"/>
              </w:tcPr>
              <w:p w14:paraId="1A765596" w14:textId="5C569975">
                <w:pPr>
                  <w:jc w:val="both"/>
                  <w:rPr>
                    <w:b/>
                    <w:bCs/>
                    <w:sz w:val="20"/>
                  </w:rPr>
                </w:pPr>
                <w:r>
                  <w:rPr>
                    <w:sz w:val="20"/>
                  </w:rPr>
                  <w:t>Apraše nustatyti paslaugų reikalavimai taikomi fiziniams ir juridiniams asmenims, kurie atlikdami darbus siekia gauti ir (ar) gauna pajamų ar kitokios naudos. Taip pat fiziniams ir juridiniams asmenims, kurie savarankiškai atlieka su savo valdoma transporto priemone susijusius darbus.</w:t>
                </w:r>
              </w:p>
            </w:tc>
            <w:tc>
              <w:tcPr>
                <w:tcW w:w="605" w:type="pct"/>
                <w:shd w:val="clear" w:color="auto" w:fill="auto"/>
              </w:tcPr>
              <w:p w14:paraId="60174919" w14:textId="0149FA6B">
                <w:pPr>
                  <w:jc w:val="both"/>
                  <w:rPr>
                    <w:b/>
                    <w:bCs/>
                    <w:sz w:val="20"/>
                  </w:rPr>
                </w:pPr>
                <w:r>
                  <w:rPr>
                    <w:sz w:val="20"/>
                  </w:rPr>
                  <w:t>Naikinti „paslaugų teikėjams“, nes gali būti TP remontuojamas nesiekiant naudos ir siaurina aprašo reikalavimų taikymo apimtį, eliminuojant remontus, kurie vykdomi ne kaip paslauga.</w:t>
                </w:r>
              </w:p>
            </w:tc>
            <w:tc>
              <w:tcPr>
                <w:tcW w:w="1295" w:type="pct"/>
                <w:shd w:val="clear" w:color="auto" w:fill="auto"/>
              </w:tcPr>
              <w:p w14:paraId="1B9592B2" w14:textId="71233F0F">
                <w:pPr>
                  <w:spacing w:line="259" w:lineRule="auto"/>
                  <w:jc w:val="both"/>
                  <w:rPr>
                    <w:b/>
                    <w:bCs/>
                    <w:sz w:val="20"/>
                  </w:rPr>
                </w:pPr>
                <w:r>
                  <w:rPr>
                    <w:b/>
                    <w:bCs/>
                    <w:sz w:val="20"/>
                  </w:rPr>
                  <w:t xml:space="preserve">Atsižvelgta iš dalies. </w:t>
                </w:r>
              </w:p>
              <w:p w14:paraId="7279FB94" w14:textId="7DC93E36">
                <w:pPr>
                  <w:spacing w:line="259" w:lineRule="auto"/>
                  <w:jc w:val="both"/>
                  <w:rPr>
                    <w:sz w:val="20"/>
                  </w:rPr>
                </w:pPr>
                <w:r>
                  <w:rPr>
                    <w:sz w:val="20"/>
                  </w:rPr>
                  <w:t xml:space="preserve">Patikslinta 3 p. nuostatų formuluotė. Pažymėtina, kad šiuo punktu siekiama paaiškinti kam taikomos 2 atskiros reikalavimų kategorijos – reikalavimai darbams ir reikalavimai paslaugoms. Reikalavimai darbams taikomi </w:t>
                </w:r>
                <w:r>
                  <w:rPr>
                    <w:sz w:val="20"/>
                    <w:u w:val="single"/>
                  </w:rPr>
                  <w:t>visiems</w:t>
                </w:r>
                <w:r>
                  <w:rPr>
                    <w:sz w:val="20"/>
                  </w:rPr>
                  <w:t xml:space="preserve"> darbus vykdantiems subjektams (įskaitant paslaugų teikėjus),  reikalavimai paslaugoms yra papildomi reikalavimai subjektams, kurie teikia paslaugas.</w:t>
                </w:r>
              </w:p>
            </w:tc>
          </w:tr>
          <w:tr w14:paraId="36B39EE8" w14:textId="77777777">
            <w:tc>
              <w:tcPr>
                <w:tcW w:w="179" w:type="pct"/>
                <w:shd w:val="clear" w:color="auto" w:fill="auto"/>
              </w:tcPr>
              <w:p w14:paraId="65A674CF" w14:textId="2D9086E2">
                <w:pPr>
                  <w:ind w:left="340" w:hanging="360"/>
                  <w:jc w:val="both"/>
                  <w:rPr>
                    <w:sz w:val="20"/>
                  </w:rPr>
                </w:pPr>
                <w:r>
                  <w:rPr>
                    <w:sz w:val="20"/>
                  </w:rPr>
                  <w:t>3.</w:t>
                  <w:tab/>
                </w:r>
              </w:p>
            </w:tc>
            <w:tc>
              <w:tcPr>
                <w:tcW w:w="542" w:type="pct"/>
                <w:vMerge/>
                <w:shd w:val="clear" w:color="auto" w:fill="auto"/>
              </w:tcPr>
              <w:p w14:paraId="3DDC164C" w14:textId="77777777">
                <w:pPr>
                  <w:jc w:val="both"/>
                  <w:rPr>
                    <w:b/>
                    <w:bCs/>
                    <w:sz w:val="20"/>
                  </w:rPr>
                </w:pPr>
              </w:p>
            </w:tc>
            <w:tc>
              <w:tcPr>
                <w:tcW w:w="605" w:type="pct"/>
                <w:tcBorders>
                  <w:bottom w:val="single" w:sz="4" w:space="0" w:color="auto"/>
                </w:tcBorders>
                <w:shd w:val="clear" w:color="auto" w:fill="auto"/>
              </w:tcPr>
              <w:p w14:paraId="3F502711" w14:textId="39014DA1">
                <w:pPr>
                  <w:jc w:val="both"/>
                  <w:rPr>
                    <w:b/>
                    <w:bCs/>
                    <w:sz w:val="20"/>
                  </w:rPr>
                </w:pPr>
                <w:r>
                  <w:rPr>
                    <w:sz w:val="20"/>
                  </w:rPr>
                  <w:t>5.1</w:t>
                </w:r>
              </w:p>
            </w:tc>
            <w:tc>
              <w:tcPr>
                <w:tcW w:w="674" w:type="pct"/>
                <w:tcBorders>
                  <w:bottom w:val="single" w:sz="4" w:space="0" w:color="auto"/>
                </w:tcBorders>
                <w:shd w:val="clear" w:color="auto" w:fill="auto"/>
              </w:tcPr>
              <w:p w14:paraId="109BE029" w14:textId="020BDFDA">
                <w:pPr>
                  <w:jc w:val="both"/>
                  <w:rPr>
                    <w:b/>
                    <w:bCs/>
                    <w:sz w:val="20"/>
                  </w:rPr>
                </w:pPr>
                <w:r>
                  <w:rPr>
                    <w:b/>
                    <w:bCs/>
                    <w:sz w:val="20"/>
                  </w:rPr>
                  <w:t xml:space="preserve">Atkuriamasis remontas </w:t>
                </w:r>
                <w:r>
                  <w:rPr>
                    <w:sz w:val="20"/>
                  </w:rPr>
                  <w:t>– eismo ar kitokio įvykio metu sugadintos transporto priemonės, kuriai reikalinga techninė ekspertizė, remontas</w:t>
                </w:r>
              </w:p>
            </w:tc>
            <w:tc>
              <w:tcPr>
                <w:tcW w:w="1100" w:type="pct"/>
                <w:tcBorders>
                  <w:bottom w:val="single" w:sz="4" w:space="0" w:color="auto"/>
                </w:tcBorders>
                <w:shd w:val="clear" w:color="auto" w:fill="auto"/>
              </w:tcPr>
              <w:p w14:paraId="1C9750D1" w14:textId="77777777">
                <w:pPr>
                  <w:jc w:val="both"/>
                  <w:rPr>
                    <w:sz w:val="20"/>
                  </w:rPr>
                </w:pPr>
                <w:r>
                  <w:rPr>
                    <w:b/>
                    <w:bCs/>
                    <w:sz w:val="20"/>
                  </w:rPr>
                  <w:t xml:space="preserve">Atkuriamasis remontas </w:t>
                </w:r>
                <w:r>
                  <w:rPr>
                    <w:sz w:val="20"/>
                  </w:rPr>
                  <w:t>– eismo ar kitokio įvykio metu sugadintos transporto priemonės, remontas.</w:t>
                </w:r>
              </w:p>
              <w:p w14:paraId="039A84A8" w14:textId="77777777">
                <w:pPr>
                  <w:jc w:val="both"/>
                  <w:rPr>
                    <w:b/>
                    <w:bCs/>
                    <w:sz w:val="20"/>
                  </w:rPr>
                </w:pPr>
              </w:p>
            </w:tc>
            <w:tc>
              <w:tcPr>
                <w:tcW w:w="605" w:type="pct"/>
                <w:tcBorders>
                  <w:bottom w:val="single" w:sz="4" w:space="0" w:color="auto"/>
                </w:tcBorders>
                <w:shd w:val="clear" w:color="auto" w:fill="auto"/>
              </w:tcPr>
              <w:p w14:paraId="05EC8B32" w14:textId="74041241">
                <w:pPr>
                  <w:jc w:val="both"/>
                  <w:rPr>
                    <w:b/>
                    <w:bCs/>
                    <w:sz w:val="20"/>
                  </w:rPr>
                </w:pPr>
                <w:r>
                  <w:rPr>
                    <w:sz w:val="20"/>
                  </w:rPr>
                  <w:t>Ekspertizės atliekamos tik panaikinus TA. &gt;60</w:t>
                </w:r>
                <w:r>
                  <w:rPr>
                    <w:sz w:val="20"/>
                    <w:lang w:val="en-US"/>
                  </w:rPr>
                  <w:t>%</w:t>
                </w:r>
                <w:r>
                  <w:rPr>
                    <w:sz w:val="20"/>
                  </w:rPr>
                  <w:t xml:space="preserve"> eismo metu apgadintų TP yra remontuojamos be ekspertizės.</w:t>
                </w:r>
              </w:p>
            </w:tc>
            <w:tc>
              <w:tcPr>
                <w:tcW w:w="1295" w:type="pct"/>
                <w:shd w:val="clear" w:color="auto" w:fill="auto"/>
              </w:tcPr>
              <w:p w14:paraId="727F464C" w14:textId="1D6D4148">
                <w:pPr>
                  <w:jc w:val="both"/>
                  <w:rPr>
                    <w:b/>
                    <w:bCs/>
                    <w:sz w:val="20"/>
                  </w:rPr>
                </w:pPr>
                <w:r>
                  <w:rPr>
                    <w:b/>
                    <w:bCs/>
                    <w:sz w:val="20"/>
                  </w:rPr>
                  <w:t>Neatsižvelgta.</w:t>
                </w:r>
              </w:p>
              <w:p w14:paraId="19EF6F0D" w14:textId="45398F6E">
                <w:pPr>
                  <w:jc w:val="both"/>
                  <w:rPr>
                    <w:sz w:val="20"/>
                  </w:rPr>
                </w:pPr>
                <w:r>
                  <w:rPr>
                    <w:sz w:val="20"/>
                  </w:rPr>
                  <w:t xml:space="preserve">Vadovaujantis SEAKĮ atkuriamasis remontas siejamas su technine ekspertize. </w:t>
                </w:r>
              </w:p>
              <w:p w14:paraId="4DDBE51E" w14:textId="31C64844">
                <w:pPr>
                  <w:jc w:val="both"/>
                  <w:rPr>
                    <w:sz w:val="20"/>
                  </w:rPr>
                </w:pPr>
                <w:r>
                  <w:rPr>
                    <w:sz w:val="20"/>
                  </w:rPr>
                  <w:t>SEKĮ 2 str. 87 d.:</w:t>
                </w:r>
              </w:p>
              <w:p w14:paraId="60D161E9" w14:textId="349B07E5">
                <w:pPr>
                  <w:jc w:val="both"/>
                  <w:rPr>
                    <w:sz w:val="20"/>
                  </w:rPr>
                </w:pPr>
                <w:r>
                  <w:rPr>
                    <w:b/>
                    <w:bCs/>
                    <w:color w:val="000000"/>
                    <w:sz w:val="20"/>
                    <w:lang w:val="lt"/>
                  </w:rPr>
                  <w:t>Transporto priemonių techninė ekspertizė</w:t>
                </w:r>
                <w:r>
                  <w:rPr>
                    <w:color w:val="000000"/>
                    <w:sz w:val="20"/>
                    <w:lang w:val="lt"/>
                  </w:rPr>
                  <w:t xml:space="preserve"> (toliau – techninė ekspertizė) –</w:t>
                </w:r>
                <w:r>
                  <w:rPr>
                    <w:b/>
                    <w:bCs/>
                    <w:color w:val="000000"/>
                    <w:sz w:val="20"/>
                    <w:lang w:val="lt"/>
                  </w:rPr>
                  <w:t xml:space="preserve"> </w:t>
                </w:r>
                <w:r>
                  <w:rPr>
                    <w:color w:val="000000"/>
                    <w:sz w:val="20"/>
                    <w:lang w:val="lt"/>
                  </w:rPr>
                  <w:t>pagamintų ar perdirbtų motorinių transporto priemonių ar jų priekabų konstrukcijos atitikties nustatytiems reikalavimams įvertinimas, eismo ar kito įvykio metu sugadintų motorinių transporto priemonių ar jų priekabų atkuriamojo remonto įvertinimas.</w:t>
                </w:r>
              </w:p>
              <w:p w14:paraId="3C64FF10" w14:textId="7C6C4856">
                <w:pPr>
                  <w:jc w:val="both"/>
                  <w:rPr>
                    <w:color w:val="000000"/>
                    <w:sz w:val="20"/>
                    <w:lang w:val="lt"/>
                  </w:rPr>
                </w:pPr>
                <w:r>
                  <w:rPr>
                    <w:color w:val="000000"/>
                    <w:sz w:val="20"/>
                    <w:lang w:val="lt"/>
                  </w:rPr>
                  <w:t>SEAKĮ 25 str. 6 d.:</w:t>
                </w:r>
              </w:p>
              <w:p w14:paraId="00F79FA1" w14:textId="4E9E314C">
                <w:pPr>
                  <w:jc w:val="both"/>
                  <w:rPr>
                    <w:sz w:val="20"/>
                    <w:lang w:val="lt"/>
                  </w:rPr>
                </w:pPr>
                <w:r>
                  <w:rPr>
                    <w:color w:val="000000"/>
                    <w:sz w:val="20"/>
                    <w:lang w:val="lt"/>
                  </w:rPr>
                  <w:t>6. Motorinėms transporto priemonėms ir (ar) priekaboms, sugadintoms eismo ar kitokio įvykio metu, kai motorinės transporto priemonės neatitinka techninių reikalavimų (deformuotas statramstis ar lonžeronas, ar rėmas, vairo ar stabdžių sistemos, ar pakaba ir (ar) kai suveikė oro pagalvių sistema), o priekabos negali būti tempiamos, nustatyta tvarka panaikinamas privalomosios techninės apžiūros dokumentų galiojimas. Po atkuriamojo motorinės transporto priemonės ir (ar) priekabos remonto patvirtinus, kad transporto priemonė yra tinkamai suremontuota ir yra žmonių sveikatai bei saugumui nepavojinga, ji vėl gali dalyvauti viešajame eisme tik nustatyta tvarka panaikinus draudimą dalyvauti viešajame eisme.</w:t>
                </w:r>
              </w:p>
            </w:tc>
          </w:tr>
          <w:tr w14:paraId="0D0B2966" w14:textId="77777777">
            <w:tc>
              <w:tcPr>
                <w:tcW w:w="179" w:type="pct"/>
                <w:shd w:val="clear" w:color="auto" w:fill="auto"/>
              </w:tcPr>
              <w:p w14:paraId="5E8B0900" w14:textId="3895E0E4">
                <w:pPr>
                  <w:ind w:left="340" w:hanging="360"/>
                  <w:jc w:val="both"/>
                  <w:rPr>
                    <w:sz w:val="20"/>
                  </w:rPr>
                </w:pPr>
                <w:r>
                  <w:rPr>
                    <w:sz w:val="20"/>
                  </w:rPr>
                  <w:t>4.</w:t>
                  <w:tab/>
                </w:r>
              </w:p>
            </w:tc>
            <w:tc>
              <w:tcPr>
                <w:tcW w:w="542" w:type="pct"/>
                <w:vMerge/>
                <w:shd w:val="clear" w:color="auto" w:fill="auto"/>
              </w:tcPr>
              <w:p w14:paraId="16E52EF4" w14:textId="77777777">
                <w:pPr>
                  <w:jc w:val="both"/>
                  <w:rPr>
                    <w:b/>
                    <w:bCs/>
                    <w:sz w:val="20"/>
                  </w:rPr>
                </w:pPr>
              </w:p>
            </w:tc>
            <w:tc>
              <w:tcPr>
                <w:tcW w:w="605" w:type="pct"/>
                <w:tcBorders>
                  <w:top w:val="single" w:sz="4" w:space="0" w:color="auto"/>
                </w:tcBorders>
                <w:shd w:val="clear" w:color="auto" w:fill="auto"/>
              </w:tcPr>
              <w:p w14:paraId="7146F3F8" w14:textId="164FC7C6">
                <w:pPr>
                  <w:jc w:val="both"/>
                  <w:rPr>
                    <w:b/>
                    <w:bCs/>
                    <w:sz w:val="20"/>
                  </w:rPr>
                </w:pPr>
                <w:r>
                  <w:rPr>
                    <w:sz w:val="20"/>
                  </w:rPr>
                  <w:t>5.6</w:t>
                </w:r>
              </w:p>
            </w:tc>
            <w:tc>
              <w:tcPr>
                <w:tcW w:w="674" w:type="pct"/>
                <w:tcBorders>
                  <w:top w:val="single" w:sz="4" w:space="0" w:color="auto"/>
                </w:tcBorders>
                <w:shd w:val="clear" w:color="auto" w:fill="auto"/>
              </w:tcPr>
              <w:p w14:paraId="3E28419E" w14:textId="0DAFA6D0">
                <w:pPr>
                  <w:jc w:val="both"/>
                  <w:rPr>
                    <w:b/>
                    <w:bCs/>
                    <w:sz w:val="20"/>
                  </w:rPr>
                </w:pPr>
                <w:r>
                  <w:rPr>
                    <w:b/>
                    <w:bCs/>
                    <w:sz w:val="20"/>
                  </w:rPr>
                  <w:t>Paslauga –</w:t>
                </w:r>
                <w:r>
                  <w:rPr>
                    <w:sz w:val="20"/>
                  </w:rPr>
                  <w:t xml:space="preserve"> techninė priežiūra, remontas ir (ar) techninė pagalba,</w:t>
                </w:r>
              </w:p>
            </w:tc>
            <w:tc>
              <w:tcPr>
                <w:tcW w:w="1100" w:type="pct"/>
                <w:tcBorders>
                  <w:top w:val="single" w:sz="4" w:space="0" w:color="auto"/>
                </w:tcBorders>
                <w:shd w:val="clear" w:color="auto" w:fill="auto"/>
              </w:tcPr>
              <w:p w14:paraId="70D6FA52" w14:textId="269F2FAA">
                <w:pPr>
                  <w:jc w:val="both"/>
                  <w:rPr>
                    <w:b/>
                    <w:bCs/>
                    <w:sz w:val="20"/>
                  </w:rPr>
                </w:pPr>
                <w:r>
                  <w:rPr>
                    <w:b/>
                    <w:bCs/>
                    <w:sz w:val="20"/>
                  </w:rPr>
                  <w:t xml:space="preserve">Paslauga – </w:t>
                </w:r>
                <w:r>
                  <w:rPr>
                    <w:sz w:val="20"/>
                  </w:rPr>
                  <w:t>atkuriamasis remontas, diagnostika, techninė priežiūra, remontas ir (ar) techninė pagalba,</w:t>
                </w:r>
              </w:p>
            </w:tc>
            <w:tc>
              <w:tcPr>
                <w:tcW w:w="605" w:type="pct"/>
                <w:tcBorders>
                  <w:top w:val="single" w:sz="4" w:space="0" w:color="auto"/>
                </w:tcBorders>
                <w:shd w:val="clear" w:color="auto" w:fill="auto"/>
              </w:tcPr>
              <w:p w14:paraId="1707B5AA" w14:textId="43F445C7">
                <w:pPr>
                  <w:jc w:val="both"/>
                  <w:rPr>
                    <w:b/>
                    <w:bCs/>
                    <w:sz w:val="20"/>
                  </w:rPr>
                </w:pPr>
                <w:r>
                  <w:rPr>
                    <w:sz w:val="20"/>
                  </w:rPr>
                  <w:t>Vardijami visi remonto tipai apibrėžti auksčiau.</w:t>
                </w:r>
              </w:p>
            </w:tc>
            <w:tc>
              <w:tcPr>
                <w:tcW w:w="1295" w:type="pct"/>
                <w:tcBorders>
                  <w:top w:val="single" w:sz="4" w:space="0" w:color="auto"/>
                </w:tcBorders>
                <w:shd w:val="clear" w:color="auto" w:fill="auto"/>
              </w:tcPr>
              <w:p w14:paraId="6FC797FB" w14:textId="7525ACCE">
                <w:pPr>
                  <w:spacing w:line="259" w:lineRule="auto"/>
                  <w:jc w:val="both"/>
                  <w:rPr>
                    <w:b/>
                    <w:bCs/>
                    <w:sz w:val="20"/>
                  </w:rPr>
                </w:pPr>
                <w:r>
                  <w:rPr>
                    <w:b/>
                    <w:bCs/>
                    <w:sz w:val="20"/>
                  </w:rPr>
                  <w:t>Atsižvelgta iš dalies.</w:t>
                </w:r>
              </w:p>
              <w:p w14:paraId="4A0A6D2D" w14:textId="53DA814A">
                <w:pPr>
                  <w:spacing w:line="259" w:lineRule="auto"/>
                  <w:jc w:val="both"/>
                  <w:rPr>
                    <w:sz w:val="20"/>
                  </w:rPr>
                </w:pPr>
                <w:r>
                  <w:rPr>
                    <w:sz w:val="20"/>
                  </w:rPr>
                  <w:t>Atsisakoma atskiros sąvokos “paslauga”, pakeista sąvoka „</w:t>
                </w:r>
                <w:r>
                  <w:rPr>
                    <w:b/>
                    <w:bCs/>
                    <w:sz w:val="20"/>
                  </w:rPr>
                  <w:t>diagnostika</w:t>
                </w:r>
                <w:r>
                  <w:rPr>
                    <w:sz w:val="20"/>
                  </w:rPr>
                  <w:t xml:space="preserve">“ nurodant, kad tai tp </w:t>
                </w:r>
                <w:r>
                  <w:rPr>
                    <w:b/>
                    <w:bCs/>
                    <w:sz w:val="20"/>
                  </w:rPr>
                  <w:t>techninės priežiūros ar remonto</w:t>
                </w:r>
                <w:r>
                  <w:rPr>
                    <w:sz w:val="20"/>
                  </w:rPr>
                  <w:t xml:space="preserve"> </w:t>
                </w:r>
                <w:r>
                  <w:rPr>
                    <w:b/>
                    <w:bCs/>
                    <w:sz w:val="20"/>
                  </w:rPr>
                  <w:t>procedūra</w:t>
                </w:r>
                <w:r>
                  <w:rPr>
                    <w:sz w:val="20"/>
                  </w:rPr>
                  <w:t xml:space="preserve">, todėl vadovaujantis aprašo nuostatoms yra taip pat priskiriama paslaugoms. Atkuriamasis remontas pagal savo apibrėžimą (projekto 5.1 p.) yra remontas (jau priskirtas paslaugoms), prieš kurį reikia atlikti techninę ekspertizę, todėl jis papildomai nėra priskiriamas paslaugoms. </w:t>
                </w:r>
              </w:p>
            </w:tc>
          </w:tr>
          <w:tr w14:paraId="0240D4A3" w14:textId="77777777">
            <w:tc>
              <w:tcPr>
                <w:tcW w:w="179" w:type="pct"/>
                <w:shd w:val="clear" w:color="auto" w:fill="auto"/>
              </w:tcPr>
              <w:p w14:paraId="08C7EC64" w14:textId="40F57AFB">
                <w:pPr>
                  <w:ind w:left="340" w:hanging="360"/>
                  <w:jc w:val="both"/>
                  <w:rPr>
                    <w:sz w:val="20"/>
                  </w:rPr>
                </w:pPr>
                <w:r>
                  <w:rPr>
                    <w:sz w:val="20"/>
                  </w:rPr>
                  <w:t>5.</w:t>
                  <w:tab/>
                </w:r>
              </w:p>
            </w:tc>
            <w:tc>
              <w:tcPr>
                <w:tcW w:w="542" w:type="pct"/>
                <w:vMerge/>
                <w:shd w:val="clear" w:color="auto" w:fill="auto"/>
              </w:tcPr>
              <w:p w14:paraId="78C45F4A" w14:textId="77777777">
                <w:pPr>
                  <w:jc w:val="both"/>
                  <w:rPr>
                    <w:b/>
                    <w:bCs/>
                    <w:sz w:val="20"/>
                  </w:rPr>
                </w:pPr>
              </w:p>
            </w:tc>
            <w:tc>
              <w:tcPr>
                <w:tcW w:w="605" w:type="pct"/>
                <w:shd w:val="clear" w:color="auto" w:fill="auto"/>
              </w:tcPr>
              <w:p w14:paraId="2088851C" w14:textId="54E4FCA1">
                <w:pPr>
                  <w:jc w:val="both"/>
                  <w:rPr>
                    <w:b/>
                    <w:bCs/>
                    <w:sz w:val="20"/>
                  </w:rPr>
                </w:pPr>
                <w:r>
                  <w:rPr>
                    <w:sz w:val="20"/>
                  </w:rPr>
                  <w:t>6</w:t>
                </w:r>
              </w:p>
            </w:tc>
            <w:tc>
              <w:tcPr>
                <w:tcW w:w="674" w:type="pct"/>
                <w:shd w:val="clear" w:color="auto" w:fill="auto"/>
              </w:tcPr>
              <w:p w14:paraId="6A702396" w14:textId="6FBC7EFB">
                <w:pPr>
                  <w:jc w:val="both"/>
                  <w:rPr>
                    <w:b/>
                    <w:bCs/>
                    <w:sz w:val="20"/>
                  </w:rPr>
                </w:pPr>
                <w:r>
                  <w:rPr>
                    <w:sz w:val="20"/>
                  </w:rPr>
                  <w:t>Darbai turi būti atliekami taip, kad neprieštarautų transporto priemonės remonto ir priežiūros informacijai ....</w:t>
                </w:r>
              </w:p>
            </w:tc>
            <w:tc>
              <w:tcPr>
                <w:tcW w:w="1100" w:type="pct"/>
                <w:shd w:val="clear" w:color="auto" w:fill="auto"/>
              </w:tcPr>
              <w:p w14:paraId="22CABF23" w14:textId="2D6062DD">
                <w:pPr>
                  <w:jc w:val="both"/>
                  <w:rPr>
                    <w:b/>
                    <w:bCs/>
                    <w:sz w:val="20"/>
                  </w:rPr>
                </w:pPr>
                <w:r>
                  <w:rPr>
                    <w:sz w:val="20"/>
                  </w:rPr>
                  <w:t xml:space="preserve">Darbai turi būti atliekami taip, kad neprieštarautų transporto priemonės </w:t>
                </w:r>
                <w:r>
                  <w:rPr>
                    <w:b/>
                    <w:bCs/>
                    <w:sz w:val="20"/>
                  </w:rPr>
                  <w:t>gamintojo pateikta</w:t>
                </w:r>
                <w:r>
                  <w:rPr>
                    <w:sz w:val="20"/>
                  </w:rPr>
                  <w:t>i remonto ir priežiūros informacijai ....</w:t>
                </w:r>
              </w:p>
            </w:tc>
            <w:tc>
              <w:tcPr>
                <w:tcW w:w="605" w:type="pct"/>
                <w:shd w:val="clear" w:color="auto" w:fill="auto"/>
              </w:tcPr>
              <w:p w14:paraId="6EC7A8EA" w14:textId="77777777">
                <w:pPr>
                  <w:jc w:val="both"/>
                  <w:rPr>
                    <w:b/>
                    <w:bCs/>
                    <w:sz w:val="20"/>
                  </w:rPr>
                </w:pPr>
              </w:p>
            </w:tc>
            <w:tc>
              <w:tcPr>
                <w:tcW w:w="1295" w:type="pct"/>
                <w:shd w:val="clear" w:color="auto" w:fill="auto"/>
              </w:tcPr>
              <w:p w14:paraId="16029617" w14:textId="66B8ACE6">
                <w:pPr>
                  <w:jc w:val="both"/>
                  <w:rPr>
                    <w:b/>
                    <w:bCs/>
                    <w:sz w:val="20"/>
                  </w:rPr>
                </w:pPr>
                <w:r>
                  <w:rPr>
                    <w:b/>
                    <w:bCs/>
                    <w:sz w:val="20"/>
                  </w:rPr>
                  <w:t>Neatsižvelgta</w:t>
                </w:r>
              </w:p>
              <w:p w14:paraId="62F7DADE" w14:textId="50B24427">
                <w:pPr>
                  <w:jc w:val="both"/>
                  <w:rPr>
                    <w:sz w:val="20"/>
                  </w:rPr>
                </w:pPr>
                <w:r>
                  <w:rPr>
                    <w:sz w:val="20"/>
                  </w:rPr>
                  <w:t xml:space="preserve">Transporto priemonės remonto ir priežiūros informacijos apibrėžimas yra nustatytas </w:t>
                </w:r>
                <w:r>
                  <w:rPr>
                    <w:color w:val="000000"/>
                    <w:sz w:val="20"/>
                  </w:rPr>
                  <w:t xml:space="preserve">2018 m. gegužės 30 d. Europos Parlamento ir Tarybos reglamente </w:t>
                </w:r>
                <w:fldSimple w:instr="HYPERLINK http://eur-lex.europa.eu/legal-content/LIT/TXT/?uri=CELEX:3858R2018&amp;locale=lt \t _blank">
                  <w:r>
                    <w:rPr>
                      <w:color w:val="0000FF" w:themeColor="hyperlink"/>
                      <w:sz w:val="20"/>
                      <w:u w:val="single"/>
                    </w:rPr>
                    <w:t>(ES) 2018/858</w:t>
                  </w:r>
                </w:fldSimple>
                <w:r>
                  <w:rPr>
                    <w:color w:val="000000"/>
                    <w:sz w:val="20"/>
                  </w:rPr>
                  <w:t xml:space="preserve"> dėl motorinių transporto priemonių ir jų priekabų bei tokioms transporto priemonėms skirtų sistemų, komponentų ir atskirų techninių mazgų patvirtinimo ir rinkos priežiūros, kuriuo iš dalies keičiami reglamentai </w:t>
                </w:r>
                <w:fldSimple w:instr="HYPERLINK http://eur-lex.europa.eu/legal-content/LIT/TXT/?uri=CELEX:32007R0715&amp;locale=lt \t _blank">
                  <w:r>
                    <w:rPr>
                      <w:color w:val="0000FF" w:themeColor="hyperlink"/>
                      <w:sz w:val="20"/>
                      <w:u w:val="single"/>
                    </w:rPr>
                    <w:t>(EB) Nr. 715/2007</w:t>
                  </w:r>
                </w:fldSimple>
                <w:r>
                  <w:rPr>
                    <w:color w:val="000000"/>
                    <w:sz w:val="20"/>
                  </w:rPr>
                  <w:t xml:space="preserve"> ir </w:t>
                </w:r>
                <w:fldSimple w:instr="HYPERLINK http://eur-lex.europa.eu/legal-content/LIT/TXT/?uri=CELEX:32009R0595&amp;locale=lt \t _blank">
                  <w:r>
                    <w:rPr>
                      <w:color w:val="0000FF" w:themeColor="hyperlink"/>
                      <w:sz w:val="20"/>
                      <w:u w:val="single"/>
                    </w:rPr>
                    <w:t>(EB) Nr. 595/2009</w:t>
                  </w:r>
                </w:fldSimple>
                <w:r>
                  <w:rPr>
                    <w:color w:val="000000"/>
                    <w:sz w:val="20"/>
                  </w:rPr>
                  <w:t xml:space="preserve"> bei panaikinama Direktyva </w:t>
                </w:r>
                <w:fldSimple w:instr="HYPERLINK http://eur-lex.europa.eu/legal-content/LIT/TXT/?uri=CELEX:32007L0046&amp;locale=lt \t _blank">
                  <w:r>
                    <w:rPr>
                      <w:color w:val="0000FF" w:themeColor="hyperlink"/>
                      <w:sz w:val="20"/>
                      <w:u w:val="single"/>
                    </w:rPr>
                    <w:t>2007/46/EB</w:t>
                  </w:r>
                </w:fldSimple>
                <w:r>
                  <w:rPr>
                    <w:color w:val="000000"/>
                    <w:sz w:val="20"/>
                  </w:rPr>
                  <w:t>:</w:t>
                </w:r>
              </w:p>
              <w:p w14:paraId="40AB43A9" w14:textId="7243DC0B">
                <w:pPr>
                  <w:ind w:firstLine="53"/>
                  <w:jc w:val="both"/>
                  <w:rPr>
                    <w:sz w:val="20"/>
                  </w:rPr>
                </w:pPr>
                <w:r>
                  <w:rPr>
                    <w:color w:val="333333"/>
                    <w:sz w:val="20"/>
                  </w:rPr>
                  <w:t xml:space="preserve">48.   </w:t>
                </w:r>
                <w:r>
                  <w:rPr>
                    <w:b/>
                    <w:bCs/>
                    <w:color w:val="333333"/>
                    <w:sz w:val="20"/>
                  </w:rPr>
                  <w:t>transporto priemonės remonto ir priežiūros informacija</w:t>
                </w:r>
                <w:r>
                  <w:rPr>
                    <w:color w:val="333333"/>
                    <w:sz w:val="20"/>
                  </w:rPr>
                  <w:t xml:space="preserve">– visa transporto priemonės diagnostikai, techninei priežiūrai ir patikrinimui, jos parengimui techninei apžiūrai, transporto priemonės remontui, perprogramavimui ar perkalibravimui, arba kurios reikia transporto priemonės nuotolinei diagnostinei priežiūrai, taip pat dalių ir įrangos montavimui transporto priemonėje reikalinga informacija, įskaitant visus vėlesnius tos informacijos pakeitimus ir papildymus, </w:t>
                </w:r>
                <w:r>
                  <w:rPr>
                    <w:b/>
                    <w:bCs/>
                    <w:color w:val="333333"/>
                    <w:sz w:val="20"/>
                  </w:rPr>
                  <w:t xml:space="preserve">kurią gamintojas pateikia savo įgaliotiesiems partneriams, </w:t>
                </w:r>
                <w:r>
                  <w:rPr>
                    <w:color w:val="333333"/>
                    <w:sz w:val="20"/>
                  </w:rPr>
                  <w:t>prekiautojams ir remonto paslaugų teikėjams arba kurią gamintojas naudoja remonto ir priežiūros tikslais;</w:t>
                </w:r>
              </w:p>
              <w:p w14:paraId="306733F4" w14:textId="4B6B3C60">
                <w:pPr>
                  <w:jc w:val="both"/>
                  <w:rPr>
                    <w:color w:val="333333"/>
                    <w:sz w:val="20"/>
                  </w:rPr>
                </w:pPr>
                <w:r>
                  <w:rPr>
                    <w:color w:val="333333"/>
                    <w:sz w:val="20"/>
                  </w:rPr>
                  <w:t>Nuoroda į reglamentą projekto 6.10 papunktyje.</w:t>
                </w:r>
              </w:p>
            </w:tc>
          </w:tr>
          <w:tr w14:paraId="6C69D38E" w14:textId="77777777">
            <w:tc>
              <w:tcPr>
                <w:tcW w:w="179" w:type="pct"/>
                <w:shd w:val="clear" w:color="auto" w:fill="auto"/>
              </w:tcPr>
              <w:p w14:paraId="7C07ED1C" w14:textId="766F46FC">
                <w:pPr>
                  <w:ind w:left="340" w:hanging="360"/>
                  <w:jc w:val="both"/>
                  <w:rPr>
                    <w:sz w:val="20"/>
                  </w:rPr>
                </w:pPr>
                <w:r>
                  <w:rPr>
                    <w:sz w:val="20"/>
                  </w:rPr>
                  <w:t>6.</w:t>
                  <w:tab/>
                </w:r>
              </w:p>
            </w:tc>
            <w:tc>
              <w:tcPr>
                <w:tcW w:w="542" w:type="pct"/>
                <w:vMerge/>
                <w:shd w:val="clear" w:color="auto" w:fill="auto"/>
              </w:tcPr>
              <w:p w14:paraId="57203DD0" w14:textId="77777777">
                <w:pPr>
                  <w:jc w:val="both"/>
                  <w:rPr>
                    <w:b/>
                    <w:bCs/>
                    <w:sz w:val="20"/>
                  </w:rPr>
                </w:pPr>
              </w:p>
            </w:tc>
            <w:tc>
              <w:tcPr>
                <w:tcW w:w="605" w:type="pct"/>
                <w:shd w:val="clear" w:color="auto" w:fill="auto"/>
              </w:tcPr>
              <w:p w14:paraId="6D7CF0BB" w14:textId="77777777">
                <w:pPr>
                  <w:jc w:val="both"/>
                  <w:rPr>
                    <w:sz w:val="20"/>
                  </w:rPr>
                </w:pPr>
                <w:r>
                  <w:rPr>
                    <w:sz w:val="20"/>
                  </w:rPr>
                  <w:t>IV SKYRIUS</w:t>
                </w:r>
              </w:p>
              <w:p w14:paraId="6D2C33F6" w14:textId="77777777">
                <w:pPr>
                  <w:jc w:val="both"/>
                  <w:rPr>
                    <w:sz w:val="20"/>
                  </w:rPr>
                </w:pPr>
                <w:r>
                  <w:rPr>
                    <w:sz w:val="20"/>
                  </w:rPr>
                  <w:t>ATLIEKŲ TVARKYMO REIKALAVIMAI</w:t>
                </w:r>
              </w:p>
              <w:p w14:paraId="0AF02B1C" w14:textId="77777777">
                <w:pPr>
                  <w:jc w:val="both"/>
                  <w:rPr>
                    <w:b/>
                    <w:bCs/>
                    <w:sz w:val="20"/>
                  </w:rPr>
                </w:pPr>
              </w:p>
            </w:tc>
            <w:tc>
              <w:tcPr>
                <w:tcW w:w="674" w:type="pct"/>
                <w:shd w:val="clear" w:color="auto" w:fill="auto"/>
              </w:tcPr>
              <w:p w14:paraId="76C23A4C" w14:textId="53D25249">
                <w:pPr>
                  <w:jc w:val="both"/>
                  <w:rPr>
                    <w:b/>
                    <w:bCs/>
                    <w:sz w:val="20"/>
                  </w:rPr>
                </w:pPr>
                <w:r>
                  <w:rPr>
                    <w:sz w:val="20"/>
                  </w:rPr>
                  <w:t>Naujas punktas</w:t>
                </w:r>
              </w:p>
            </w:tc>
            <w:tc>
              <w:tcPr>
                <w:tcW w:w="1100" w:type="pct"/>
                <w:shd w:val="clear" w:color="auto" w:fill="auto"/>
              </w:tcPr>
              <w:p w14:paraId="46ABA657" w14:textId="77777777">
                <w:pPr>
                  <w:jc w:val="both"/>
                  <w:rPr>
                    <w:sz w:val="20"/>
                  </w:rPr>
                </w:pPr>
                <w:r>
                  <w:rPr>
                    <w:sz w:val="20"/>
                  </w:rPr>
                  <w:t>Jeigu išmontuotos dalys yra perduodamos ne tos priemonės valdytojui, paslaugos tiekėjas privalo gauti TP valdytojo sutikimą bei įregistruoti šių dalių perdavimą finansinėje apskaitoje taip, kaip apskaitomos kitos materialinės vertybės bei prekės.</w:t>
                </w:r>
              </w:p>
              <w:p w14:paraId="04E2A223" w14:textId="77777777">
                <w:pPr>
                  <w:jc w:val="both"/>
                  <w:rPr>
                    <w:b/>
                    <w:bCs/>
                    <w:sz w:val="20"/>
                  </w:rPr>
                </w:pPr>
              </w:p>
            </w:tc>
            <w:tc>
              <w:tcPr>
                <w:tcW w:w="605" w:type="pct"/>
                <w:shd w:val="clear" w:color="auto" w:fill="auto"/>
              </w:tcPr>
              <w:p w14:paraId="31515A60" w14:textId="77777777">
                <w:pPr>
                  <w:jc w:val="both"/>
                  <w:rPr>
                    <w:b/>
                    <w:bCs/>
                    <w:sz w:val="20"/>
                  </w:rPr>
                </w:pPr>
              </w:p>
            </w:tc>
            <w:tc>
              <w:tcPr>
                <w:tcW w:w="1295" w:type="pct"/>
                <w:shd w:val="clear" w:color="auto" w:fill="auto"/>
              </w:tcPr>
              <w:p w14:paraId="7B8FA21F" w14:textId="4DDE6785">
                <w:pPr>
                  <w:spacing w:line="259" w:lineRule="auto"/>
                  <w:jc w:val="both"/>
                  <w:rPr>
                    <w:b/>
                    <w:bCs/>
                    <w:sz w:val="20"/>
                  </w:rPr>
                </w:pPr>
                <w:r>
                  <w:rPr>
                    <w:b/>
                    <w:bCs/>
                    <w:sz w:val="20"/>
                  </w:rPr>
                  <w:t>Neatsižvelgta.</w:t>
                </w:r>
              </w:p>
              <w:p w14:paraId="3AB27CC8" w14:textId="15101FC7">
                <w:pPr>
                  <w:jc w:val="both"/>
                  <w:rPr>
                    <w:b/>
                    <w:bCs/>
                    <w:sz w:val="20"/>
                  </w:rPr>
                </w:pPr>
                <w:r>
                  <w:rPr>
                    <w:sz w:val="20"/>
                  </w:rPr>
                  <w:t>Atliekų tvarkymo įstatymas</w:t>
                </w:r>
                <w:r>
                  <w:rPr>
                    <w:sz w:val="20"/>
                    <w:vertAlign w:val="superscript"/>
                  </w:rPr>
                  <w:footnoteReference w:id="2"/>
                </w:r>
                <w:r>
                  <w:rPr>
                    <w:sz w:val="20"/>
                  </w:rPr>
                  <w:t xml:space="preserve"> nustato, kad atlieka yra medžiaga ar daiktas, kurių </w:t>
                </w:r>
                <w:r>
                  <w:rPr>
                    <w:sz w:val="20"/>
                    <w:u w:val="single"/>
                  </w:rPr>
                  <w:t>turėtojas</w:t>
                </w:r>
                <w:r>
                  <w:rPr>
                    <w:sz w:val="20"/>
                  </w:rPr>
                  <w:t xml:space="preserve"> atsikrato, ketina ar privalo atsikratyti. Todėl darytina išvada, kad sprendimą dėl transporto priemonės dalies priskyrimo atliekai ar tinkamai pakartotinai naudoti transporto priemonės daliai gali priimti tik jos savininkas – ne remonto veiklos vykdytojas. Tinkamą pakartotiniam naudojimui transporto priemonės dalį remonto veiklos vykdytojas gali perduoti tik transporto priemonės valdytojui, jo prašymu. Jei transporto priemonės valdytojas atsisako priimti išmontuotą transporto priemonės dalį, ji priskiriama atliekomis</w:t>
                </w:r>
                <w:r>
                  <w:rPr>
                    <w:b/>
                    <w:bCs/>
                    <w:sz w:val="20"/>
                  </w:rPr>
                  <w:t xml:space="preserve"> </w:t>
                </w:r>
                <w:r>
                  <w:rPr>
                    <w:sz w:val="20"/>
                  </w:rPr>
                  <w:t xml:space="preserve"> ir į rinką kaip produktas gali grįžti tik po paruošimo naudoti pakartotinai (viena iš atliekų naudojimo veiklų), taip užtikrinant jų tinkamumą naudoti saugiai. Atliekų paruošimo pakartotinai naudoti veiklą gali vykdyti tik atliekų tvarkytojas, kuris atitinka teisės aktuose nustatytus reikalavimus, įskaitant prievolę turėti taršos ar TIPK leidimus. Tokioms atliekoms taikomi atliekų apskaitos reikalavimai.   </w:t>
                </w:r>
              </w:p>
            </w:tc>
          </w:tr>
          <w:tr w14:paraId="3C45C347" w14:textId="77777777">
            <w:tc>
              <w:tcPr>
                <w:tcW w:w="179" w:type="pct"/>
                <w:shd w:val="clear" w:color="auto" w:fill="auto"/>
              </w:tcPr>
              <w:p w14:paraId="29C40C3D" w14:textId="7AC5DBA0">
                <w:pPr>
                  <w:ind w:left="340" w:hanging="360"/>
                  <w:jc w:val="both"/>
                  <w:rPr>
                    <w:sz w:val="20"/>
                  </w:rPr>
                </w:pPr>
                <w:r>
                  <w:rPr>
                    <w:sz w:val="20"/>
                  </w:rPr>
                  <w:t>7.</w:t>
                  <w:tab/>
                </w:r>
              </w:p>
            </w:tc>
            <w:tc>
              <w:tcPr>
                <w:tcW w:w="542" w:type="pct"/>
                <w:vMerge/>
                <w:shd w:val="clear" w:color="auto" w:fill="auto"/>
              </w:tcPr>
              <w:p w14:paraId="61165C18" w14:textId="77777777">
                <w:pPr>
                  <w:jc w:val="both"/>
                  <w:rPr>
                    <w:b/>
                    <w:bCs/>
                    <w:sz w:val="20"/>
                  </w:rPr>
                </w:pPr>
              </w:p>
            </w:tc>
            <w:tc>
              <w:tcPr>
                <w:tcW w:w="605" w:type="pct"/>
                <w:shd w:val="clear" w:color="auto" w:fill="auto"/>
              </w:tcPr>
              <w:p w14:paraId="31D8000D" w14:textId="77777777">
                <w:pPr>
                  <w:jc w:val="both"/>
                  <w:rPr>
                    <w:b/>
                    <w:bCs/>
                    <w:sz w:val="20"/>
                  </w:rPr>
                </w:pPr>
              </w:p>
            </w:tc>
            <w:tc>
              <w:tcPr>
                <w:tcW w:w="674" w:type="pct"/>
                <w:shd w:val="clear" w:color="auto" w:fill="auto"/>
              </w:tcPr>
              <w:p w14:paraId="3BE56330" w14:textId="58ED3F44">
                <w:pPr>
                  <w:jc w:val="both"/>
                  <w:rPr>
                    <w:b/>
                    <w:bCs/>
                    <w:sz w:val="20"/>
                  </w:rPr>
                </w:pPr>
                <w:r>
                  <w:rPr>
                    <w:sz w:val="20"/>
                  </w:rPr>
                  <w:t>Naujas punktas</w:t>
                </w:r>
              </w:p>
            </w:tc>
            <w:tc>
              <w:tcPr>
                <w:tcW w:w="1100" w:type="pct"/>
                <w:shd w:val="clear" w:color="auto" w:fill="auto"/>
              </w:tcPr>
              <w:p w14:paraId="641C9D5C" w14:textId="20A10453">
                <w:pPr>
                  <w:jc w:val="both"/>
                  <w:rPr>
                    <w:b/>
                    <w:bCs/>
                    <w:sz w:val="20"/>
                  </w:rPr>
                </w:pPr>
                <w:r>
                  <w:rPr>
                    <w:sz w:val="20"/>
                  </w:rPr>
                  <w:t>Tos išmontuotos dalys, kurios lieka pas paslaugos teikėją, turi būti identifikuotos kaip utilizavimui paruoštos atliekos arba kaip apskaitomos prekės, jeigu planuojama jas panaudoti arba parduoti ateityje.</w:t>
                </w:r>
              </w:p>
            </w:tc>
            <w:tc>
              <w:tcPr>
                <w:tcW w:w="605" w:type="pct"/>
                <w:shd w:val="clear" w:color="auto" w:fill="auto"/>
              </w:tcPr>
              <w:p w14:paraId="54A801FA" w14:textId="5C2F97DA">
                <w:pPr>
                  <w:jc w:val="both"/>
                  <w:rPr>
                    <w:b/>
                    <w:bCs/>
                    <w:sz w:val="20"/>
                  </w:rPr>
                </w:pPr>
                <w:r>
                  <w:rPr>
                    <w:sz w:val="20"/>
                  </w:rPr>
                  <w:t>Naujas punktas</w:t>
                </w:r>
              </w:p>
            </w:tc>
            <w:tc>
              <w:tcPr>
                <w:tcW w:w="1295" w:type="pct"/>
                <w:shd w:val="clear" w:color="auto" w:fill="auto"/>
              </w:tcPr>
              <w:p w14:paraId="4686CBD0" w14:textId="436C4C83">
                <w:pPr>
                  <w:spacing w:line="259" w:lineRule="auto"/>
                  <w:jc w:val="both"/>
                  <w:rPr>
                    <w:sz w:val="20"/>
                  </w:rPr>
                </w:pPr>
                <w:r>
                  <w:rPr>
                    <w:sz w:val="20"/>
                  </w:rPr>
                  <w:t>Žr. 6 pastabą.</w:t>
                </w:r>
              </w:p>
            </w:tc>
          </w:tr>
          <w:tr w14:paraId="036B3497" w14:textId="77777777">
            <w:tc>
              <w:tcPr>
                <w:tcW w:w="179" w:type="pct"/>
                <w:shd w:val="clear" w:color="auto" w:fill="auto"/>
              </w:tcPr>
              <w:p w14:paraId="71D4C5CE" w14:textId="2BC6D895">
                <w:pPr>
                  <w:ind w:left="340" w:hanging="360"/>
                  <w:jc w:val="both"/>
                  <w:rPr>
                    <w:sz w:val="20"/>
                  </w:rPr>
                </w:pPr>
                <w:r>
                  <w:rPr>
                    <w:sz w:val="20"/>
                  </w:rPr>
                  <w:t>8.</w:t>
                  <w:tab/>
                </w:r>
              </w:p>
            </w:tc>
            <w:tc>
              <w:tcPr>
                <w:tcW w:w="542" w:type="pct"/>
                <w:vMerge/>
                <w:shd w:val="clear" w:color="auto" w:fill="auto"/>
              </w:tcPr>
              <w:p w14:paraId="0AB55CDC" w14:textId="77777777">
                <w:pPr>
                  <w:jc w:val="both"/>
                  <w:rPr>
                    <w:b/>
                    <w:bCs/>
                    <w:sz w:val="20"/>
                  </w:rPr>
                </w:pPr>
              </w:p>
            </w:tc>
            <w:tc>
              <w:tcPr>
                <w:tcW w:w="605" w:type="pct"/>
                <w:shd w:val="clear" w:color="auto" w:fill="auto"/>
              </w:tcPr>
              <w:p w14:paraId="6E2D3E8C" w14:textId="77777777">
                <w:pPr>
                  <w:jc w:val="both"/>
                  <w:rPr>
                    <w:sz w:val="20"/>
                  </w:rPr>
                </w:pPr>
                <w:r>
                  <w:rPr>
                    <w:sz w:val="20"/>
                  </w:rPr>
                  <w:t>V SKYRIUS</w:t>
                </w:r>
              </w:p>
              <w:p w14:paraId="6AB8227C" w14:textId="58C5627D">
                <w:pPr>
                  <w:jc w:val="both"/>
                  <w:rPr>
                    <w:b/>
                    <w:bCs/>
                    <w:sz w:val="20"/>
                  </w:rPr>
                </w:pPr>
                <w:r>
                  <w:rPr>
                    <w:sz w:val="20"/>
                  </w:rPr>
                  <w:t>NUOTEKŲ TVARKYMO REIKALAVIMAI</w:t>
                </w:r>
              </w:p>
            </w:tc>
            <w:tc>
              <w:tcPr>
                <w:tcW w:w="674" w:type="pct"/>
                <w:shd w:val="clear" w:color="auto" w:fill="auto"/>
              </w:tcPr>
              <w:p w14:paraId="350FE296" w14:textId="27604953">
                <w:pPr>
                  <w:jc w:val="both"/>
                  <w:rPr>
                    <w:b/>
                    <w:bCs/>
                    <w:sz w:val="20"/>
                  </w:rPr>
                </w:pPr>
                <w:r>
                  <w:rPr>
                    <w:sz w:val="20"/>
                  </w:rPr>
                  <w:t>Naujas punktas</w:t>
                </w:r>
              </w:p>
            </w:tc>
            <w:tc>
              <w:tcPr>
                <w:tcW w:w="1100" w:type="pct"/>
                <w:shd w:val="clear" w:color="auto" w:fill="auto"/>
              </w:tcPr>
              <w:p w14:paraId="3D7471C7" w14:textId="33E9CEEB">
                <w:pPr>
                  <w:jc w:val="both"/>
                  <w:rPr>
                    <w:b/>
                    <w:bCs/>
                    <w:sz w:val="20"/>
                  </w:rPr>
                </w:pPr>
                <w:r>
                  <w:rPr>
                    <w:sz w:val="20"/>
                  </w:rPr>
                  <w:t>Atliekos, susidariusios dėl vandens pagrindo dažų purkštuvų plovimo, privalo būti išvalomos atskiriant sausą dažų liekaną nuo vandens, naudojant tam skirtus kooguliantus. Tik taip išvalytas vanduo gali būti leidžiamas į nuotekas.</w:t>
                </w:r>
              </w:p>
            </w:tc>
            <w:tc>
              <w:tcPr>
                <w:tcW w:w="605" w:type="pct"/>
                <w:shd w:val="clear" w:color="auto" w:fill="auto"/>
              </w:tcPr>
              <w:p w14:paraId="2BB3D813" w14:textId="77777777">
                <w:pPr>
                  <w:jc w:val="both"/>
                  <w:rPr>
                    <w:sz w:val="20"/>
                  </w:rPr>
                </w:pPr>
                <w:r>
                  <w:rPr>
                    <w:sz w:val="20"/>
                  </w:rPr>
                  <w:t>V SKYRIUS</w:t>
                </w:r>
              </w:p>
              <w:p w14:paraId="373DBE9A" w14:textId="2D752E6A">
                <w:pPr>
                  <w:jc w:val="both"/>
                  <w:rPr>
                    <w:b/>
                    <w:bCs/>
                    <w:sz w:val="20"/>
                  </w:rPr>
                </w:pPr>
                <w:r>
                  <w:rPr>
                    <w:sz w:val="20"/>
                  </w:rPr>
                  <w:t>NUOTEKŲ TVARKYMO REIKALAVIMAI</w:t>
                </w:r>
              </w:p>
            </w:tc>
            <w:tc>
              <w:tcPr>
                <w:tcW w:w="1295" w:type="pct"/>
                <w:shd w:val="clear" w:color="auto" w:fill="auto"/>
              </w:tcPr>
              <w:p w14:paraId="3AE9FDDA" w14:textId="6534A5CA">
                <w:pPr>
                  <w:jc w:val="both"/>
                  <w:rPr>
                    <w:b/>
                    <w:bCs/>
                    <w:sz w:val="20"/>
                  </w:rPr>
                </w:pPr>
                <w:r>
                  <w:rPr>
                    <w:b/>
                    <w:bCs/>
                    <w:sz w:val="20"/>
                  </w:rPr>
                  <w:t>Neatsižvelgta.</w:t>
                </w:r>
              </w:p>
              <w:p w14:paraId="3CFC95F3" w14:textId="7D0A6691">
                <w:pPr>
                  <w:jc w:val="both"/>
                  <w:rPr>
                    <w:sz w:val="20"/>
                  </w:rPr>
                </w:pPr>
                <w:r>
                  <w:rPr>
                    <w:sz w:val="20"/>
                  </w:rPr>
                  <w:t xml:space="preserve">Tokiems skysčiams (skystoms atliekoms) taikomi Aprašo 9 p. reikalavimai. </w:t>
                </w:r>
              </w:p>
              <w:p w14:paraId="56C5F595" w14:textId="119D16F5">
                <w:pPr>
                  <w:jc w:val="both"/>
                  <w:rPr>
                    <w:sz w:val="20"/>
                  </w:rPr>
                </w:pPr>
                <w:r>
                  <w:rPr>
                    <w:sz w:val="20"/>
                  </w:rPr>
                  <w:t xml:space="preserve">Teisės akte neturėtų būti išskiriamas tik vienos konkrečios  veiklos (pvz., dažų purkštuvų plovimas) metu susidariusių skysčių tvarkymo reglamentavimas.</w:t>
                </w:r>
              </w:p>
            </w:tc>
          </w:tr>
          <w:tr w14:paraId="4C6F0779" w14:textId="77777777">
            <w:tc>
              <w:tcPr>
                <w:tcW w:w="179" w:type="pct"/>
                <w:shd w:val="clear" w:color="auto" w:fill="auto"/>
              </w:tcPr>
              <w:p w14:paraId="0A1C81A4" w14:textId="3B3703B2">
                <w:pPr>
                  <w:ind w:left="340" w:hanging="360"/>
                  <w:jc w:val="both"/>
                  <w:rPr>
                    <w:sz w:val="20"/>
                  </w:rPr>
                </w:pPr>
                <w:r>
                  <w:rPr>
                    <w:sz w:val="20"/>
                  </w:rPr>
                  <w:t>9.</w:t>
                  <w:tab/>
                </w:r>
              </w:p>
            </w:tc>
            <w:tc>
              <w:tcPr>
                <w:tcW w:w="542" w:type="pct"/>
                <w:vMerge/>
                <w:shd w:val="clear" w:color="auto" w:fill="auto"/>
              </w:tcPr>
              <w:p w14:paraId="02A61A2B" w14:textId="77777777">
                <w:pPr>
                  <w:jc w:val="both"/>
                  <w:rPr>
                    <w:b/>
                    <w:bCs/>
                    <w:sz w:val="20"/>
                  </w:rPr>
                </w:pPr>
              </w:p>
            </w:tc>
            <w:tc>
              <w:tcPr>
                <w:tcW w:w="605" w:type="pct"/>
                <w:shd w:val="clear" w:color="auto" w:fill="auto"/>
              </w:tcPr>
              <w:p w14:paraId="39468FD4" w14:textId="5DAFE155">
                <w:pPr>
                  <w:jc w:val="both"/>
                  <w:rPr>
                    <w:b/>
                    <w:bCs/>
                    <w:sz w:val="20"/>
                  </w:rPr>
                </w:pPr>
                <w:r>
                  <w:rPr>
                    <w:sz w:val="20"/>
                  </w:rPr>
                  <w:t>25</w:t>
                </w:r>
              </w:p>
            </w:tc>
            <w:tc>
              <w:tcPr>
                <w:tcW w:w="674" w:type="pct"/>
                <w:shd w:val="clear" w:color="auto" w:fill="auto"/>
              </w:tcPr>
              <w:p w14:paraId="6308984D" w14:textId="3F6467B9">
                <w:pPr>
                  <w:jc w:val="both"/>
                  <w:rPr>
                    <w:b/>
                    <w:bCs/>
                    <w:sz w:val="20"/>
                  </w:rPr>
                </w:pPr>
                <w:r>
                  <w:rPr>
                    <w:sz w:val="20"/>
                  </w:rPr>
                  <w:t>Transporto priemonę ar jos dalis padengiant pakartotinės apdailos produktais ne jos gamybos metu (toliau – pakartotinė apdaila) privaloma</w:t>
                </w:r>
              </w:p>
            </w:tc>
            <w:tc>
              <w:tcPr>
                <w:tcW w:w="1100" w:type="pct"/>
                <w:shd w:val="clear" w:color="auto" w:fill="auto"/>
              </w:tcPr>
              <w:p w14:paraId="5BC79C1C" w14:textId="09EC08FD">
                <w:pPr>
                  <w:jc w:val="both"/>
                  <w:rPr>
                    <w:b/>
                    <w:bCs/>
                    <w:sz w:val="20"/>
                  </w:rPr>
                </w:pPr>
                <w:r>
                  <w:rPr>
                    <w:sz w:val="20"/>
                  </w:rPr>
                  <w:t xml:space="preserve">Transporto priemonę ar jos dalis padengiant pakartotinės apdailos produktais ne jos gamybos metu arba </w:t>
                </w:r>
                <w:r>
                  <w:rPr>
                    <w:b/>
                    <w:bCs/>
                    <w:sz w:val="20"/>
                  </w:rPr>
                  <w:t>atliekant atkuriamąjį remontą</w:t>
                </w:r>
                <w:r>
                  <w:rPr>
                    <w:sz w:val="20"/>
                  </w:rPr>
                  <w:t xml:space="preserve"> (toliau – pakartotinė apdaila) privaloma</w:t>
                </w:r>
              </w:p>
            </w:tc>
            <w:tc>
              <w:tcPr>
                <w:tcW w:w="605" w:type="pct"/>
                <w:shd w:val="clear" w:color="auto" w:fill="auto"/>
              </w:tcPr>
              <w:p w14:paraId="13BCCBB8" w14:textId="3F219126">
                <w:pPr>
                  <w:jc w:val="both"/>
                  <w:rPr>
                    <w:b/>
                    <w:bCs/>
                    <w:sz w:val="20"/>
                  </w:rPr>
                </w:pPr>
                <w:r>
                  <w:rPr>
                    <w:sz w:val="20"/>
                  </w:rPr>
                  <w:t>25</w:t>
                </w:r>
              </w:p>
            </w:tc>
            <w:tc>
              <w:tcPr>
                <w:tcW w:w="1295" w:type="pct"/>
                <w:shd w:val="clear" w:color="auto" w:fill="auto"/>
              </w:tcPr>
              <w:p w14:paraId="34FC4E0E" w14:textId="2635DB10">
                <w:pPr>
                  <w:jc w:val="both"/>
                  <w:rPr>
                    <w:sz w:val="20"/>
                  </w:rPr>
                </w:pPr>
                <w:r>
                  <w:rPr>
                    <w:b/>
                    <w:bCs/>
                    <w:sz w:val="20"/>
                  </w:rPr>
                  <w:t xml:space="preserve">Neatsižvelgta. </w:t>
                </w:r>
              </w:p>
              <w:p w14:paraId="4CE01AC0" w14:textId="61B61133">
                <w:pPr>
                  <w:jc w:val="both"/>
                  <w:rPr>
                    <w:sz w:val="20"/>
                  </w:rPr>
                </w:pPr>
                <w:r>
                  <w:rPr>
                    <w:sz w:val="20"/>
                  </w:rPr>
                  <w:t xml:space="preserve">Visos aprašu reguliuojamos veiklos yra vykdomos </w:t>
                </w:r>
                <w:r>
                  <w:rPr>
                    <w:b/>
                    <w:bCs/>
                    <w:sz w:val="20"/>
                  </w:rPr>
                  <w:t xml:space="preserve">ne transporto priemonių gamybos metu, </w:t>
                </w:r>
                <w:r>
                  <w:rPr>
                    <w:sz w:val="20"/>
                  </w:rPr>
                  <w:t>todėl siūlymas perteklinis.</w:t>
                </w:r>
              </w:p>
            </w:tc>
          </w:tr>
          <w:tr w14:paraId="0C61B057" w14:textId="77777777">
            <w:tc>
              <w:tcPr>
                <w:tcW w:w="179" w:type="pct"/>
                <w:shd w:val="clear" w:color="auto" w:fill="auto"/>
              </w:tcPr>
              <w:p w14:paraId="443E0DC2" w14:textId="7E1C7FE6">
                <w:pPr>
                  <w:ind w:left="340" w:hanging="360"/>
                  <w:jc w:val="both"/>
                  <w:rPr>
                    <w:sz w:val="20"/>
                  </w:rPr>
                </w:pPr>
                <w:r>
                  <w:rPr>
                    <w:sz w:val="20"/>
                  </w:rPr>
                  <w:t>10.</w:t>
                  <w:tab/>
                </w:r>
              </w:p>
            </w:tc>
            <w:tc>
              <w:tcPr>
                <w:tcW w:w="542" w:type="pct"/>
                <w:vMerge/>
                <w:shd w:val="clear" w:color="auto" w:fill="auto"/>
              </w:tcPr>
              <w:p w14:paraId="1BA29F19" w14:textId="77777777">
                <w:pPr>
                  <w:jc w:val="both"/>
                  <w:rPr>
                    <w:b/>
                    <w:bCs/>
                    <w:sz w:val="20"/>
                  </w:rPr>
                </w:pPr>
              </w:p>
            </w:tc>
            <w:tc>
              <w:tcPr>
                <w:tcW w:w="605" w:type="pct"/>
                <w:shd w:val="clear" w:color="auto" w:fill="auto"/>
              </w:tcPr>
              <w:p w14:paraId="42B88AEF" w14:textId="77777777">
                <w:pPr>
                  <w:jc w:val="both"/>
                  <w:rPr>
                    <w:sz w:val="20"/>
                  </w:rPr>
                </w:pPr>
                <w:r>
                  <w:rPr>
                    <w:sz w:val="20"/>
                  </w:rPr>
                  <w:t>VI SKYRIUS</w:t>
                </w:r>
              </w:p>
              <w:p w14:paraId="3CB6C060" w14:textId="77777777">
                <w:pPr>
                  <w:jc w:val="both"/>
                  <w:rPr>
                    <w:sz w:val="20"/>
                  </w:rPr>
                </w:pPr>
                <w:r>
                  <w:rPr>
                    <w:sz w:val="20"/>
                  </w:rPr>
                  <w:t>APLINKOS ORO APSAUGOS REIKALAVIMAI</w:t>
                </w:r>
              </w:p>
              <w:p w14:paraId="48BE50D5" w14:textId="77777777">
                <w:pPr>
                  <w:jc w:val="both"/>
                  <w:rPr>
                    <w:b/>
                    <w:bCs/>
                    <w:sz w:val="20"/>
                  </w:rPr>
                </w:pPr>
              </w:p>
            </w:tc>
            <w:tc>
              <w:tcPr>
                <w:tcW w:w="674" w:type="pct"/>
                <w:shd w:val="clear" w:color="auto" w:fill="auto"/>
              </w:tcPr>
              <w:p w14:paraId="482FD18C" w14:textId="49FEFCA4">
                <w:pPr>
                  <w:jc w:val="both"/>
                  <w:rPr>
                    <w:b/>
                    <w:bCs/>
                    <w:sz w:val="20"/>
                  </w:rPr>
                </w:pPr>
                <w:r>
                  <w:rPr>
                    <w:sz w:val="20"/>
                  </w:rPr>
                  <w:t>Naujas punktas</w:t>
                </w:r>
              </w:p>
            </w:tc>
            <w:tc>
              <w:tcPr>
                <w:tcW w:w="1100" w:type="pct"/>
                <w:shd w:val="clear" w:color="auto" w:fill="auto"/>
              </w:tcPr>
              <w:p w14:paraId="562EEA48" w14:textId="77777777">
                <w:pPr>
                  <w:jc w:val="both"/>
                  <w:rPr>
                    <w:sz w:val="20"/>
                  </w:rPr>
                </w:pPr>
                <w:r>
                  <w:rPr>
                    <w:sz w:val="20"/>
                  </w:rPr>
                  <w:t xml:space="preserve">Dažymo kameros turi atitikti ES direktyvų </w:t>
                </w:r>
                <w:r>
                  <w:rPr>
                    <w:color w:val="0563C1"/>
                    <w:sz w:val="20"/>
                    <w:u w:val="single"/>
                  </w:rPr>
                  <w:t>2006/42/EU</w:t>
                </w:r>
                <w:r>
                  <w:rPr>
                    <w:sz w:val="20"/>
                  </w:rPr>
                  <w:t xml:space="preserve"> bei </w:t>
                </w:r>
                <w:r>
                  <w:rPr>
                    <w:color w:val="0563C1"/>
                    <w:sz w:val="20"/>
                    <w:u w:val="single"/>
                  </w:rPr>
                  <w:t>2014/34/EU</w:t>
                </w:r>
              </w:p>
              <w:p w14:paraId="6D86BD5A" w14:textId="60DEA9AA">
                <w:pPr>
                  <w:ind w:firstLine="53"/>
                  <w:jc w:val="both"/>
                  <w:rPr>
                    <w:b/>
                    <w:bCs/>
                    <w:sz w:val="20"/>
                  </w:rPr>
                </w:pPr>
                <w:r>
                  <w:rPr>
                    <w:sz w:val="20"/>
                  </w:rPr>
                  <w:t xml:space="preserve">keliamus reikalavimus ir, jei naudojamos dujos, reglamentą </w:t>
                </w:r>
                <w:r>
                  <w:rPr>
                    <w:color w:val="0563C1"/>
                    <w:sz w:val="20"/>
                    <w:u w:val="single"/>
                  </w:rPr>
                  <w:t>2016/426</w:t>
                </w:r>
                <w:r>
                  <w:rPr>
                    <w:sz w:val="20"/>
                  </w:rPr>
                  <w:t>.</w:t>
                </w:r>
              </w:p>
            </w:tc>
            <w:tc>
              <w:tcPr>
                <w:tcW w:w="605" w:type="pct"/>
                <w:shd w:val="clear" w:color="auto" w:fill="auto"/>
              </w:tcPr>
              <w:p w14:paraId="591FD2F8" w14:textId="43F053E2">
                <w:pPr>
                  <w:jc w:val="both"/>
                  <w:rPr>
                    <w:sz w:val="20"/>
                  </w:rPr>
                </w:pPr>
                <w:r>
                  <w:rPr>
                    <w:sz w:val="20"/>
                  </w:rPr>
                  <w:t xml:space="preserve">VI SKYRIUS </w:t>
                </w:r>
              </w:p>
              <w:p w14:paraId="34ED69BB" w14:textId="77777777">
                <w:pPr>
                  <w:jc w:val="both"/>
                  <w:rPr>
                    <w:sz w:val="20"/>
                  </w:rPr>
                </w:pPr>
                <w:r>
                  <w:rPr>
                    <w:sz w:val="20"/>
                  </w:rPr>
                  <w:t>APLINKOS ORO APSAUGOS REIKALAVIMAI</w:t>
                </w:r>
              </w:p>
              <w:p w14:paraId="651B0933" w14:textId="77777777">
                <w:pPr>
                  <w:jc w:val="both"/>
                  <w:rPr>
                    <w:b/>
                    <w:bCs/>
                    <w:sz w:val="20"/>
                  </w:rPr>
                </w:pPr>
              </w:p>
            </w:tc>
            <w:tc>
              <w:tcPr>
                <w:tcW w:w="1295" w:type="pct"/>
                <w:shd w:val="clear" w:color="auto" w:fill="auto"/>
              </w:tcPr>
              <w:p w14:paraId="1F6F9BFB" w14:textId="6C86D9AA">
                <w:pPr>
                  <w:jc w:val="both"/>
                  <w:rPr>
                    <w:b/>
                    <w:bCs/>
                    <w:sz w:val="20"/>
                  </w:rPr>
                </w:pPr>
                <w:r>
                  <w:rPr>
                    <w:b/>
                    <w:bCs/>
                    <w:sz w:val="20"/>
                  </w:rPr>
                  <w:t>Neatsižvelgta.</w:t>
                </w:r>
              </w:p>
              <w:p w14:paraId="593CCBC2" w14:textId="7E3F0EE8">
                <w:pPr>
                  <w:jc w:val="both"/>
                  <w:rPr>
                    <w:sz w:val="20"/>
                  </w:rPr>
                </w:pPr>
                <w:r>
                  <w:rPr>
                    <w:sz w:val="20"/>
                  </w:rPr>
                  <w:t xml:space="preserve">2006-05-17 EP ir Tarybos direktyva </w:t>
                </w:r>
                <w:fldSimple w:instr="HYPERLINK http://eur-lex.europa.eu/legal-content/LIT/TXT/?uri=CELEX:32006L0042&amp;locale=lt \t _blank">
                  <w:r>
                    <w:rPr>
                      <w:sz w:val="20"/>
                      <w:u w:val="single"/>
                      <w:color w:val="0000FF" w:themeColor="hyperlink"/>
                    </w:rPr>
                    <w:t>2006/42/EB</w:t>
                  </w:r>
                </w:fldSimple>
                <w:r>
                  <w:rPr>
                    <w:sz w:val="20"/>
                  </w:rPr>
                  <w:t xml:space="preserve"> dėl mašinų, iš dalies keičianti Direktyvą </w:t>
                </w:r>
                <w:fldSimple w:instr="HYPERLINK http://eur-lex.europa.eu/legal-content/LIT/TXT/?uri=CELEX:31995L0016&amp;locale=lt \t _blank">
                  <w:r>
                    <w:rPr>
                      <w:sz w:val="20"/>
                      <w:u w:val="single"/>
                      <w:color w:val="0000FF" w:themeColor="hyperlink"/>
                    </w:rPr>
                    <w:t>95/16/EB</w:t>
                  </w:r>
                </w:fldSimple>
                <w:r>
                  <w:rPr>
                    <w:sz w:val="20"/>
                  </w:rPr>
                  <w:t xml:space="preserve">, 2014-02-26 EP ir Tarybos  direktyva </w:t>
                </w:r>
                <w:fldSimple w:instr="HYPERLINK http://eur-lex.europa.eu/legal-content/LIT/TXT/?uri=CELEX:32014L0034&amp;locale=lt \t _blank">
                  <w:r>
                    <w:rPr>
                      <w:sz w:val="20"/>
                      <w:u w:val="single"/>
                      <w:color w:val="0000FF" w:themeColor="hyperlink"/>
                    </w:rPr>
                    <w:t>2014/34/ES</w:t>
                  </w:r>
                </w:fldSimple>
                <w:r>
                  <w:rPr>
                    <w:sz w:val="20"/>
                  </w:rPr>
                  <w:t xml:space="preserve"> dėl  valstybių narių įstatymų, susijusių su potencialiai sprogioje aplinkoje naudojama įranga ir apsaugos sistemomis, suderinimo ir EP ir Tarybos Reglamentas </w:t>
                </w:r>
                <w:fldSimple w:instr="HYPERLINK http://eur-lex.europa.eu/legal-content/LIT/TXT/?uri=CELEX:3426R2016&amp;locale=lt \t _blank">
                  <w:r>
                    <w:rPr>
                      <w:sz w:val="20"/>
                      <w:u w:val="single"/>
                      <w:color w:val="0000FF" w:themeColor="hyperlink"/>
                    </w:rPr>
                    <w:t>(ES) 2016/426</w:t>
                  </w:r>
                </w:fldSimple>
                <w:r>
                  <w:rPr>
                    <w:sz w:val="20"/>
                  </w:rPr>
                  <w:t xml:space="preserve"> dėl dujinį kurą deginančių prietaisų, kuriuo panaikinama Direktyva </w:t>
                </w:r>
                <w:fldSimple w:instr="HYPERLINK http://eur-lex.europa.eu/legal-content/LIT/TXT/?uri=CELEX:32009L0142&amp;locale=lt \t _blank">
                  <w:r>
                    <w:rPr>
                      <w:sz w:val="20"/>
                      <w:u w:val="single"/>
                      <w:color w:val="0000FF" w:themeColor="hyperlink"/>
                    </w:rPr>
                    <w:t>2009/142/EB</w:t>
                  </w:r>
                </w:fldSimple>
                <w:r>
                  <w:rPr>
                    <w:sz w:val="20"/>
                  </w:rPr>
                  <w:t xml:space="preserve">,  nustato įrangos, gaminių ir prietaisų tiekimo rinkai, rinkos priežiūros, atitikties vertinimo ir kitus reikalavimus.  Atitiktis šiems ES teisės aktams nėra Projekto reguliavimo sritis.</w:t>
                </w:r>
              </w:p>
            </w:tc>
          </w:tr>
          <w:tr w14:paraId="463ED1C8" w14:textId="77777777">
            <w:tc>
              <w:tcPr>
                <w:tcW w:w="179" w:type="pct"/>
                <w:shd w:val="clear" w:color="auto" w:fill="auto"/>
              </w:tcPr>
              <w:p w14:paraId="41AAC10C" w14:textId="29D51632">
                <w:pPr>
                  <w:ind w:left="340" w:hanging="360"/>
                  <w:jc w:val="both"/>
                  <w:rPr>
                    <w:sz w:val="20"/>
                  </w:rPr>
                </w:pPr>
                <w:r>
                  <w:rPr>
                    <w:sz w:val="20"/>
                  </w:rPr>
                  <w:t>11.</w:t>
                  <w:tab/>
                </w:r>
              </w:p>
            </w:tc>
            <w:tc>
              <w:tcPr>
                <w:tcW w:w="542" w:type="pct"/>
                <w:vMerge/>
                <w:shd w:val="clear" w:color="auto" w:fill="auto"/>
              </w:tcPr>
              <w:p w14:paraId="4EBCD28F" w14:textId="77777777">
                <w:pPr>
                  <w:jc w:val="both"/>
                  <w:rPr>
                    <w:b/>
                    <w:bCs/>
                    <w:sz w:val="20"/>
                  </w:rPr>
                </w:pPr>
              </w:p>
            </w:tc>
            <w:tc>
              <w:tcPr>
                <w:tcW w:w="605" w:type="pct"/>
                <w:shd w:val="clear" w:color="auto" w:fill="auto"/>
              </w:tcPr>
              <w:p w14:paraId="3CE692B0" w14:textId="27C25C4E">
                <w:pPr>
                  <w:jc w:val="both"/>
                  <w:rPr>
                    <w:b/>
                    <w:bCs/>
                    <w:sz w:val="20"/>
                  </w:rPr>
                </w:pPr>
                <w:r>
                  <w:rPr>
                    <w:sz w:val="20"/>
                  </w:rPr>
                  <w:t>25.2</w:t>
                </w:r>
              </w:p>
            </w:tc>
            <w:tc>
              <w:tcPr>
                <w:tcW w:w="674" w:type="pct"/>
                <w:shd w:val="clear" w:color="auto" w:fill="auto"/>
              </w:tcPr>
              <w:p w14:paraId="665BD25B" w14:textId="77777777">
                <w:pPr>
                  <w:jc w:val="both"/>
                  <w:rPr>
                    <w:sz w:val="20"/>
                  </w:rPr>
                </w:pPr>
                <w:r>
                  <w:rPr>
                    <w:sz w:val="20"/>
                  </w:rPr>
                  <w:t xml:space="preserve">.... Lakiųjų organinių junginių (toliau – LOJ) turinčių produktų sudėtyje LOJ kiekis </w:t>
                </w:r>
                <w:r>
                  <w:rPr>
                    <w:b/>
                    <w:bCs/>
                    <w:sz w:val="20"/>
                  </w:rPr>
                  <w:t>neturi</w:t>
                </w:r>
                <w:r>
                  <w:rPr>
                    <w:sz w:val="20"/>
                  </w:rPr>
                  <w:t xml:space="preserve"> viršyti LOJ turinčių produktų naudojimo taisyklėse nustatytų LOJ kiekio ribinių verčių.</w:t>
                </w:r>
              </w:p>
              <w:p w14:paraId="74964280" w14:textId="77777777">
                <w:pPr>
                  <w:jc w:val="both"/>
                  <w:rPr>
                    <w:b/>
                    <w:bCs/>
                    <w:sz w:val="20"/>
                  </w:rPr>
                </w:pPr>
              </w:p>
            </w:tc>
            <w:tc>
              <w:tcPr>
                <w:tcW w:w="1100" w:type="pct"/>
                <w:shd w:val="clear" w:color="auto" w:fill="auto"/>
              </w:tcPr>
              <w:p w14:paraId="43821D2A" w14:textId="6BA1EBD6">
                <w:pPr>
                  <w:jc w:val="both"/>
                  <w:rPr>
                    <w:b/>
                    <w:bCs/>
                    <w:sz w:val="20"/>
                  </w:rPr>
                </w:pPr>
                <w:r>
                  <w:rPr>
                    <w:sz w:val="20"/>
                  </w:rPr>
                  <w:t xml:space="preserve">.... Lakiųjų organinių junginių (toliau – LOJ) turinčių produktų sudėtyje LOJ kiekis </w:t>
                </w:r>
                <w:r>
                  <w:rPr>
                    <w:b/>
                    <w:bCs/>
                    <w:sz w:val="20"/>
                  </w:rPr>
                  <w:t>negali</w:t>
                </w:r>
                <w:r>
                  <w:rPr>
                    <w:sz w:val="20"/>
                  </w:rPr>
                  <w:t xml:space="preserve"> viršyti LOJ turinčių produktų naudojimo taisyklėse nustatytų LOJ kiekio ribinių verčių.</w:t>
                </w:r>
              </w:p>
            </w:tc>
            <w:tc>
              <w:tcPr>
                <w:tcW w:w="605" w:type="pct"/>
                <w:shd w:val="clear" w:color="auto" w:fill="auto"/>
              </w:tcPr>
              <w:p w14:paraId="71A5A70D" w14:textId="77777777">
                <w:pPr>
                  <w:jc w:val="both"/>
                  <w:rPr>
                    <w:b/>
                    <w:bCs/>
                    <w:sz w:val="20"/>
                  </w:rPr>
                </w:pPr>
              </w:p>
            </w:tc>
            <w:tc>
              <w:tcPr>
                <w:tcW w:w="1295" w:type="pct"/>
                <w:shd w:val="clear" w:color="auto" w:fill="auto"/>
              </w:tcPr>
              <w:p w14:paraId="6C0BB544" w14:textId="1348AB20">
                <w:pPr>
                  <w:jc w:val="both"/>
                  <w:rPr>
                    <w:b/>
                    <w:bCs/>
                    <w:sz w:val="20"/>
                  </w:rPr>
                </w:pPr>
                <w:r>
                  <w:rPr>
                    <w:b/>
                    <w:bCs/>
                    <w:sz w:val="20"/>
                  </w:rPr>
                  <w:t xml:space="preserve">Neatsižvelgta. </w:t>
                </w:r>
              </w:p>
              <w:p w14:paraId="0EABEB7D" w14:textId="03B84C07">
                <w:pPr>
                  <w:jc w:val="both"/>
                  <w:rPr>
                    <w:sz w:val="20"/>
                  </w:rPr>
                </w:pPr>
                <w:r>
                  <w:rPr>
                    <w:sz w:val="20"/>
                  </w:rPr>
                  <w:t>Punkto formuluotė atitinka Teisės aktų rengimo rekomendacijas, patvirtintas 2013-12-23 LR teisingumo ministro įsakymu Nr. 1R-298 “Dėl Teisės aktų projektų rengimo rekomendacijų patvirtinimo”.</w:t>
                </w:r>
              </w:p>
              <w:p w14:paraId="7B0692E8" w14:textId="716F5C7E">
                <w:pPr>
                  <w:jc w:val="both"/>
                  <w:rPr>
                    <w:sz w:val="20"/>
                  </w:rPr>
                </w:pPr>
                <w:r>
                  <w:rPr>
                    <w:sz w:val="20"/>
                  </w:rPr>
                  <w:t>Nepateikti siūlomo pakeitimo argumentai.</w:t>
                </w:r>
              </w:p>
            </w:tc>
          </w:tr>
          <w:tr w14:paraId="50110DEA" w14:textId="77777777">
            <w:tc>
              <w:tcPr>
                <w:tcW w:w="179" w:type="pct"/>
                <w:shd w:val="clear" w:color="auto" w:fill="auto"/>
              </w:tcPr>
              <w:p w14:paraId="72B2F23F" w14:textId="58BDA2EA">
                <w:pPr>
                  <w:ind w:left="340" w:hanging="360"/>
                  <w:jc w:val="both"/>
                  <w:rPr>
                    <w:sz w:val="20"/>
                  </w:rPr>
                </w:pPr>
                <w:r>
                  <w:rPr>
                    <w:sz w:val="20"/>
                  </w:rPr>
                  <w:t>12.</w:t>
                  <w:tab/>
                </w:r>
              </w:p>
            </w:tc>
            <w:tc>
              <w:tcPr>
                <w:tcW w:w="542" w:type="pct"/>
                <w:vMerge/>
                <w:shd w:val="clear" w:color="auto" w:fill="auto"/>
              </w:tcPr>
              <w:p w14:paraId="5604523F" w14:textId="77777777">
                <w:pPr>
                  <w:jc w:val="both"/>
                  <w:rPr>
                    <w:b/>
                    <w:bCs/>
                    <w:sz w:val="20"/>
                  </w:rPr>
                </w:pPr>
              </w:p>
            </w:tc>
            <w:tc>
              <w:tcPr>
                <w:tcW w:w="605" w:type="pct"/>
                <w:shd w:val="clear" w:color="auto" w:fill="auto"/>
              </w:tcPr>
              <w:p w14:paraId="7ED4225C" w14:textId="621F432B">
                <w:pPr>
                  <w:jc w:val="both"/>
                  <w:rPr>
                    <w:b/>
                    <w:bCs/>
                    <w:sz w:val="20"/>
                  </w:rPr>
                </w:pPr>
                <w:r>
                  <w:rPr>
                    <w:sz w:val="20"/>
                  </w:rPr>
                  <w:t>27</w:t>
                </w:r>
              </w:p>
            </w:tc>
            <w:tc>
              <w:tcPr>
                <w:tcW w:w="674" w:type="pct"/>
                <w:shd w:val="clear" w:color="auto" w:fill="auto"/>
              </w:tcPr>
              <w:p w14:paraId="2B371DB5" w14:textId="6460C12E">
                <w:pPr>
                  <w:jc w:val="both"/>
                  <w:rPr>
                    <w:b/>
                    <w:bCs/>
                    <w:sz w:val="20"/>
                  </w:rPr>
                </w:pPr>
                <w:r>
                  <w:rPr>
                    <w:sz w:val="20"/>
                  </w:rPr>
                  <w:t>Draudžiama transporto priemonės oro kondicionavimo sistemą pildyti ŠESD neatlikus jos remonto, jei yra aptiktas nuotėkis.</w:t>
                </w:r>
              </w:p>
            </w:tc>
            <w:tc>
              <w:tcPr>
                <w:tcW w:w="1100" w:type="pct"/>
                <w:shd w:val="clear" w:color="auto" w:fill="auto"/>
              </w:tcPr>
              <w:p w14:paraId="7C7B6D03" w14:textId="40E8079F">
                <w:pPr>
                  <w:jc w:val="both"/>
                  <w:rPr>
                    <w:sz w:val="20"/>
                  </w:rPr>
                </w:pPr>
                <w:r>
                  <w:rPr>
                    <w:sz w:val="20"/>
                  </w:rPr>
                  <w:t xml:space="preserve">Draudžiama transporto priemonės oro kondicionavimo sistemą pildyti ŠESD nenustačius  nuotėkio priežasties. Nustačius nuotėkį, privaloma atlikti remontą ir tik po to pildyti ŠESD.</w:t>
                </w:r>
              </w:p>
            </w:tc>
            <w:tc>
              <w:tcPr>
                <w:tcW w:w="605" w:type="pct"/>
                <w:shd w:val="clear" w:color="auto" w:fill="auto"/>
              </w:tcPr>
              <w:p w14:paraId="2611F823" w14:textId="21E748FE">
                <w:pPr>
                  <w:jc w:val="both"/>
                  <w:rPr>
                    <w:b/>
                    <w:bCs/>
                    <w:sz w:val="20"/>
                  </w:rPr>
                </w:pPr>
                <w:r>
                  <w:rPr>
                    <w:sz w:val="20"/>
                  </w:rPr>
                  <w:t>Esama formuluotė leidžia „neaptikti nuotėkio“ ir tuomet pildyti be remonto.</w:t>
                </w:r>
              </w:p>
            </w:tc>
            <w:tc>
              <w:tcPr>
                <w:tcW w:w="1295" w:type="pct"/>
                <w:shd w:val="clear" w:color="auto" w:fill="auto"/>
              </w:tcPr>
              <w:p w14:paraId="2D75447E" w14:textId="719DC662">
                <w:pPr>
                  <w:jc w:val="both"/>
                  <w:rPr>
                    <w:b/>
                    <w:bCs/>
                    <w:sz w:val="20"/>
                  </w:rPr>
                </w:pPr>
                <w:r>
                  <w:rPr>
                    <w:b/>
                    <w:bCs/>
                    <w:sz w:val="20"/>
                  </w:rPr>
                  <w:t xml:space="preserve">Neatsižvelgta. </w:t>
                </w:r>
              </w:p>
              <w:p w14:paraId="1A692DDC" w14:textId="353F487C">
                <w:pPr>
                  <w:jc w:val="both"/>
                  <w:rPr>
                    <w:b/>
                    <w:bCs/>
                    <w:sz w:val="20"/>
                  </w:rPr>
                </w:pPr>
                <w:r>
                  <w:rPr>
                    <w:sz w:val="20"/>
                  </w:rPr>
                  <w:t>Šiame punkte naudojama Reglamento Nr. 517/2014 formuluotė. Manytina, kad 28.2 punkte įtvirtintas įsipareigojimas patikrinti dėl nuotėkio pakankamas.</w:t>
                </w:r>
              </w:p>
            </w:tc>
          </w:tr>
          <w:tr w14:paraId="5F3871C6" w14:textId="77777777">
            <w:tc>
              <w:tcPr>
                <w:tcW w:w="179" w:type="pct"/>
                <w:shd w:val="clear" w:color="auto" w:fill="auto"/>
              </w:tcPr>
              <w:p w14:paraId="0A4702CB" w14:textId="4DA6E472">
                <w:pPr>
                  <w:ind w:left="340" w:hanging="360"/>
                  <w:jc w:val="both"/>
                  <w:rPr>
                    <w:sz w:val="20"/>
                  </w:rPr>
                </w:pPr>
                <w:r>
                  <w:rPr>
                    <w:sz w:val="20"/>
                  </w:rPr>
                  <w:t>13.</w:t>
                  <w:tab/>
                </w:r>
              </w:p>
            </w:tc>
            <w:tc>
              <w:tcPr>
                <w:tcW w:w="542" w:type="pct"/>
                <w:vMerge/>
                <w:shd w:val="clear" w:color="auto" w:fill="auto"/>
              </w:tcPr>
              <w:p w14:paraId="6142CB22" w14:textId="77777777">
                <w:pPr>
                  <w:jc w:val="both"/>
                  <w:rPr>
                    <w:b/>
                    <w:bCs/>
                    <w:sz w:val="20"/>
                  </w:rPr>
                </w:pPr>
              </w:p>
            </w:tc>
            <w:tc>
              <w:tcPr>
                <w:tcW w:w="605" w:type="pct"/>
                <w:shd w:val="clear" w:color="auto" w:fill="auto"/>
              </w:tcPr>
              <w:p w14:paraId="5A77C9B1" w14:textId="7CDB277D">
                <w:pPr>
                  <w:jc w:val="both"/>
                  <w:rPr>
                    <w:b/>
                    <w:bCs/>
                    <w:sz w:val="20"/>
                  </w:rPr>
                </w:pPr>
                <w:r>
                  <w:rPr>
                    <w:sz w:val="20"/>
                  </w:rPr>
                  <w:t>28.4</w:t>
                </w:r>
              </w:p>
            </w:tc>
            <w:tc>
              <w:tcPr>
                <w:tcW w:w="674" w:type="pct"/>
                <w:shd w:val="clear" w:color="auto" w:fill="auto"/>
              </w:tcPr>
              <w:p w14:paraId="40816C2F" w14:textId="7E86F392">
                <w:pPr>
                  <w:jc w:val="both"/>
                  <w:rPr>
                    <w:b/>
                    <w:bCs/>
                    <w:sz w:val="20"/>
                  </w:rPr>
                </w:pPr>
                <w:r>
                  <w:rPr>
                    <w:sz w:val="20"/>
                  </w:rPr>
                  <w:t>transporto priemonės pakartotinei apdailai naudojami pagal LOJ turinčių produktų naudojimo taisyklių reikalavimus paženklinti produktai</w:t>
                </w:r>
              </w:p>
            </w:tc>
            <w:tc>
              <w:tcPr>
                <w:tcW w:w="1100" w:type="pct"/>
                <w:shd w:val="clear" w:color="auto" w:fill="auto"/>
              </w:tcPr>
              <w:p w14:paraId="40201B98" w14:textId="1A3B3056">
                <w:pPr>
                  <w:jc w:val="both"/>
                  <w:rPr>
                    <w:b/>
                    <w:bCs/>
                    <w:sz w:val="20"/>
                  </w:rPr>
                </w:pPr>
                <w:r>
                  <w:rPr>
                    <w:sz w:val="20"/>
                  </w:rPr>
                  <w:t>transporto priemonės pakartotinei apdailai gali būti naudojami tik tie produktai, kurie atitinka LOJ turinčių produktų naudojimo taisyklių reikalavimus ir atitinkamai paženklinti</w:t>
                </w:r>
              </w:p>
            </w:tc>
            <w:tc>
              <w:tcPr>
                <w:tcW w:w="605" w:type="pct"/>
                <w:shd w:val="clear" w:color="auto" w:fill="auto"/>
              </w:tcPr>
              <w:p w14:paraId="2ACF6BDD" w14:textId="6BBA164D">
                <w:pPr>
                  <w:jc w:val="both"/>
                  <w:rPr>
                    <w:b/>
                    <w:bCs/>
                    <w:sz w:val="20"/>
                  </w:rPr>
                </w:pPr>
                <w:r>
                  <w:rPr>
                    <w:sz w:val="20"/>
                  </w:rPr>
                  <w:t>Ženklinimas dar negarantuoja LOJ atitikimo. Maža to, daug dažų yra sunaudojama nusipirkus pilstytus parduotuvėje, kur nebelieka jokio ženklinimo, nes tai paprasta tara.</w:t>
                </w:r>
              </w:p>
            </w:tc>
            <w:tc>
              <w:tcPr>
                <w:tcW w:w="1295" w:type="pct"/>
                <w:shd w:val="clear" w:color="auto" w:fill="auto"/>
              </w:tcPr>
              <w:p w14:paraId="57323005" w14:textId="1F09ED9A">
                <w:pPr>
                  <w:jc w:val="both"/>
                  <w:rPr>
                    <w:b/>
                    <w:bCs/>
                    <w:sz w:val="20"/>
                  </w:rPr>
                </w:pPr>
                <w:r>
                  <w:rPr>
                    <w:b/>
                    <w:bCs/>
                    <w:sz w:val="20"/>
                  </w:rPr>
                  <w:t>Neatsižvelgta.</w:t>
                </w:r>
              </w:p>
              <w:p w14:paraId="7269C85C" w14:textId="11543B13">
                <w:pPr>
                  <w:jc w:val="both"/>
                  <w:rPr>
                    <w:sz w:val="20"/>
                  </w:rPr>
                </w:pPr>
                <w:r>
                  <w:rPr>
                    <w:sz w:val="20"/>
                  </w:rPr>
                  <w:t xml:space="preserve">Punktas išbrauktas, įvertinus, kad LOJ turinčių produktų naudojimo taisyklėse nustatytos TP pakartotinės apdailos produktuose (toliau – produktai) esančių LOJ ribinės vertės, produktų ženklinimo, pateikimo į rinką  reikalavimai taikomi tokių produktų  gamintojams, importuotojams bei platintojams ir šių reikalavimų taikymas fiziniams asmenims, naudojantiems LOJ turinčius  produktus savarankiškai atliekant savo valdomos TP darbus būtų perteklinis.</w:t>
                </w:r>
              </w:p>
            </w:tc>
          </w:tr>
          <w:tr w14:paraId="7D743631" w14:textId="77777777">
            <w:tc>
              <w:tcPr>
                <w:tcW w:w="179" w:type="pct"/>
                <w:shd w:val="clear" w:color="auto" w:fill="auto"/>
              </w:tcPr>
              <w:p w14:paraId="036CA475" w14:textId="5538DA8A">
                <w:pPr>
                  <w:ind w:left="340" w:hanging="360"/>
                  <w:jc w:val="both"/>
                  <w:rPr>
                    <w:sz w:val="20"/>
                  </w:rPr>
                </w:pPr>
                <w:r>
                  <w:rPr>
                    <w:sz w:val="20"/>
                  </w:rPr>
                  <w:t>14.</w:t>
                  <w:tab/>
                </w:r>
              </w:p>
            </w:tc>
            <w:tc>
              <w:tcPr>
                <w:tcW w:w="542" w:type="pct"/>
                <w:vMerge/>
                <w:shd w:val="clear" w:color="auto" w:fill="auto"/>
              </w:tcPr>
              <w:p w14:paraId="79EDCBB5" w14:textId="77777777">
                <w:pPr>
                  <w:jc w:val="both"/>
                  <w:rPr>
                    <w:b/>
                    <w:bCs/>
                    <w:sz w:val="20"/>
                  </w:rPr>
                </w:pPr>
              </w:p>
            </w:tc>
            <w:tc>
              <w:tcPr>
                <w:tcW w:w="605" w:type="pct"/>
                <w:shd w:val="clear" w:color="auto" w:fill="auto"/>
              </w:tcPr>
              <w:p w14:paraId="7B551A5F" w14:textId="77777777">
                <w:pPr>
                  <w:jc w:val="both"/>
                  <w:rPr>
                    <w:sz w:val="20"/>
                  </w:rPr>
                </w:pPr>
                <w:r>
                  <w:rPr>
                    <w:sz w:val="20"/>
                  </w:rPr>
                  <w:t>X SKYRIUS</w:t>
                </w:r>
              </w:p>
              <w:p w14:paraId="0AE1AD85" w14:textId="77777777">
                <w:pPr>
                  <w:jc w:val="both"/>
                  <w:rPr>
                    <w:sz w:val="20"/>
                  </w:rPr>
                </w:pPr>
                <w:r>
                  <w:rPr>
                    <w:sz w:val="20"/>
                  </w:rPr>
                  <w:t>ATKURIAMOJO REMONTO YPATUMAI</w:t>
                </w:r>
              </w:p>
              <w:p w14:paraId="32ACC93A" w14:textId="77777777">
                <w:pPr>
                  <w:jc w:val="both"/>
                  <w:rPr>
                    <w:b/>
                    <w:bCs/>
                    <w:sz w:val="20"/>
                  </w:rPr>
                </w:pPr>
              </w:p>
            </w:tc>
            <w:tc>
              <w:tcPr>
                <w:tcW w:w="674" w:type="pct"/>
                <w:shd w:val="clear" w:color="auto" w:fill="auto"/>
              </w:tcPr>
              <w:p w14:paraId="29B09442" w14:textId="0ECA764D">
                <w:pPr>
                  <w:jc w:val="both"/>
                  <w:rPr>
                    <w:b/>
                    <w:bCs/>
                    <w:sz w:val="20"/>
                  </w:rPr>
                </w:pPr>
                <w:r>
                  <w:rPr>
                    <w:sz w:val="20"/>
                  </w:rPr>
                  <w:t>Naujas punktas prie 41</w:t>
                </w:r>
              </w:p>
            </w:tc>
            <w:tc>
              <w:tcPr>
                <w:tcW w:w="1100" w:type="pct"/>
                <w:shd w:val="clear" w:color="auto" w:fill="auto"/>
              </w:tcPr>
              <w:p w14:paraId="763467D0" w14:textId="0829172E">
                <w:pPr>
                  <w:jc w:val="both"/>
                  <w:rPr>
                    <w:b/>
                    <w:bCs/>
                    <w:sz w:val="20"/>
                  </w:rPr>
                </w:pPr>
                <w:r>
                  <w:rPr>
                    <w:sz w:val="20"/>
                  </w:rPr>
                  <w:t>Numatomų darbų apimtį bei metodus suderinti su TP valdytoju.</w:t>
                </w:r>
              </w:p>
            </w:tc>
            <w:tc>
              <w:tcPr>
                <w:tcW w:w="605" w:type="pct"/>
                <w:shd w:val="clear" w:color="auto" w:fill="auto"/>
              </w:tcPr>
              <w:p w14:paraId="537F8D79" w14:textId="2B6B03D3">
                <w:pPr>
                  <w:jc w:val="both"/>
                  <w:rPr>
                    <w:b/>
                    <w:bCs/>
                    <w:sz w:val="20"/>
                  </w:rPr>
                </w:pPr>
                <w:r>
                  <w:rPr>
                    <w:sz w:val="20"/>
                  </w:rPr>
                  <w:t>Dažnai derinimas vyksta su draudiko atstovu, kuris, siekdamas ekonominės naudos, verčia priimti TP savininkui nenaudingus kompromisus remonto metoduose ar eigoje. Apie tai TP savininkas net nebūna informuotas, jau nekalbant apie sutikimo gavimą.</w:t>
                </w:r>
              </w:p>
            </w:tc>
            <w:tc>
              <w:tcPr>
                <w:tcW w:w="1295" w:type="pct"/>
                <w:shd w:val="clear" w:color="auto" w:fill="auto"/>
              </w:tcPr>
              <w:p w14:paraId="773FA2C4" w14:textId="6ED12AC6">
                <w:pPr>
                  <w:jc w:val="both"/>
                  <w:rPr>
                    <w:b/>
                    <w:bCs/>
                    <w:sz w:val="20"/>
                  </w:rPr>
                </w:pPr>
                <w:r>
                  <w:rPr>
                    <w:b/>
                    <w:bCs/>
                    <w:sz w:val="20"/>
                  </w:rPr>
                  <w:t>Neatžvelgta.</w:t>
                </w:r>
              </w:p>
              <w:p w14:paraId="5F633EFC" w14:textId="5FE27D7F">
                <w:pPr>
                  <w:jc w:val="both"/>
                  <w:rPr>
                    <w:sz w:val="20"/>
                  </w:rPr>
                </w:pPr>
                <w:r>
                  <w:rPr>
                    <w:sz w:val="20"/>
                  </w:rPr>
                  <w:t>Remonto paslaugai taikomi bendrieji reikalavimai IX skyriuje</w:t>
                </w:r>
              </w:p>
            </w:tc>
          </w:tr>
          <w:tr w14:paraId="3E3667C0" w14:textId="77777777">
            <w:tc>
              <w:tcPr>
                <w:tcW w:w="179" w:type="pct"/>
                <w:shd w:val="clear" w:color="auto" w:fill="auto"/>
              </w:tcPr>
              <w:p w14:paraId="4DB2EE70" w14:textId="03AE6491">
                <w:pPr>
                  <w:ind w:left="340" w:hanging="360"/>
                  <w:jc w:val="both"/>
                  <w:rPr>
                    <w:sz w:val="20"/>
                  </w:rPr>
                </w:pPr>
                <w:r>
                  <w:rPr>
                    <w:sz w:val="20"/>
                  </w:rPr>
                  <w:t>15.</w:t>
                  <w:tab/>
                </w:r>
              </w:p>
            </w:tc>
            <w:tc>
              <w:tcPr>
                <w:tcW w:w="542" w:type="pct"/>
                <w:vMerge/>
                <w:shd w:val="clear" w:color="auto" w:fill="auto"/>
              </w:tcPr>
              <w:p w14:paraId="64721F6B" w14:textId="77777777">
                <w:pPr>
                  <w:jc w:val="both"/>
                  <w:rPr>
                    <w:b/>
                    <w:bCs/>
                    <w:sz w:val="20"/>
                  </w:rPr>
                </w:pPr>
              </w:p>
            </w:tc>
            <w:tc>
              <w:tcPr>
                <w:tcW w:w="605" w:type="pct"/>
                <w:shd w:val="clear" w:color="auto" w:fill="auto"/>
              </w:tcPr>
              <w:p w14:paraId="092C38D2" w14:textId="7057FD21">
                <w:pPr>
                  <w:jc w:val="both"/>
                  <w:rPr>
                    <w:b/>
                    <w:bCs/>
                    <w:sz w:val="20"/>
                  </w:rPr>
                </w:pPr>
              </w:p>
            </w:tc>
            <w:tc>
              <w:tcPr>
                <w:tcW w:w="674" w:type="pct"/>
                <w:shd w:val="clear" w:color="auto" w:fill="auto"/>
              </w:tcPr>
              <w:p w14:paraId="008C87D1" w14:textId="1F750391">
                <w:pPr>
                  <w:jc w:val="both"/>
                  <w:rPr>
                    <w:b/>
                    <w:bCs/>
                    <w:sz w:val="20"/>
                  </w:rPr>
                </w:pPr>
                <w:r>
                  <w:rPr>
                    <w:sz w:val="20"/>
                  </w:rPr>
                  <w:t>Naujas punktas prie 41</w:t>
                </w:r>
              </w:p>
            </w:tc>
            <w:tc>
              <w:tcPr>
                <w:tcW w:w="1100" w:type="pct"/>
                <w:shd w:val="clear" w:color="auto" w:fill="auto"/>
              </w:tcPr>
              <w:p w14:paraId="2A4300E5" w14:textId="671690EA">
                <w:pPr>
                  <w:jc w:val="both"/>
                  <w:rPr>
                    <w:b/>
                    <w:bCs/>
                    <w:sz w:val="20"/>
                  </w:rPr>
                </w:pPr>
                <w:r>
                  <w:rPr>
                    <w:sz w:val="20"/>
                  </w:rPr>
                  <w:t>Tiekiant dažymo paslaugą, kai yra dažoma ne visa TP, paslaugos teikėjas privalo įvertinti būsimą atspalvio skirtumą, tarp naujai dažomos ir gretutinės nedažomos dalies. Jis tai atlieka remiantis spalvų dokumentacija arba pamatavimu tam skirta įranga arba bandinio padarymu. Jei numatomas skirtumas akivaizdus ir bus matomas vidutiniam vartotojui, paslaugos teikėjas privalo imtis gamintojo pripažintų priemonių (spalvos korekcijos ir/ar šalia esančios dalies dažymo perėjimo metodu) šio spalvinio neatitikimo eliminavimui. Atliekant gretutinės dalies dažymą, paslaugos teikėjas privalo informuoti TP valdytoją ir gauti jo pritarimą papildomiems darbams.</w:t>
                </w:r>
              </w:p>
            </w:tc>
            <w:tc>
              <w:tcPr>
                <w:tcW w:w="605" w:type="pct"/>
                <w:shd w:val="clear" w:color="auto" w:fill="auto"/>
              </w:tcPr>
              <w:p w14:paraId="67860BDC" w14:textId="2318D455">
                <w:pPr>
                  <w:jc w:val="both"/>
                  <w:rPr>
                    <w:b/>
                    <w:bCs/>
                    <w:sz w:val="20"/>
                  </w:rPr>
                </w:pPr>
                <w:r>
                  <w:rPr>
                    <w:sz w:val="20"/>
                  </w:rPr>
                  <w:t>Labai dažnas ginčo objektas „spalva“. Įtraukus tokį reikalavimą, ginčų kiekis mažėtų ir būtų aiški procedūra šiam (spalvos parinkimo) technologiniam žingsniui.</w:t>
                </w:r>
              </w:p>
            </w:tc>
            <w:tc>
              <w:tcPr>
                <w:tcW w:w="1295" w:type="pct"/>
                <w:shd w:val="clear" w:color="auto" w:fill="auto"/>
              </w:tcPr>
              <w:p w14:paraId="7BE8FA17" w14:textId="72603EEA">
                <w:pPr>
                  <w:jc w:val="both"/>
                  <w:rPr>
                    <w:b/>
                    <w:bCs/>
                    <w:sz w:val="20"/>
                  </w:rPr>
                </w:pPr>
                <w:r>
                  <w:rPr>
                    <w:b/>
                    <w:bCs/>
                    <w:sz w:val="20"/>
                  </w:rPr>
                  <w:t>Neatsižvelgta.</w:t>
                </w:r>
              </w:p>
              <w:p w14:paraId="1C81E4E2" w14:textId="0DDBCA90">
                <w:pPr>
                  <w:jc w:val="both"/>
                  <w:rPr>
                    <w:sz w:val="20"/>
                  </w:rPr>
                </w:pPr>
                <w:r>
                  <w:rPr>
                    <w:sz w:val="20"/>
                  </w:rPr>
                  <w:t>Dažymo paslauga nėra tik atkuriamojo remonto dalis. Siūlymas galėtų būti aptartas užsakymo paraiškoje.</w:t>
                </w:r>
              </w:p>
            </w:tc>
          </w:tr>
          <w:tr w14:paraId="00F98236" w14:textId="77777777">
            <w:tc>
              <w:tcPr>
                <w:tcW w:w="179" w:type="pct"/>
                <w:shd w:val="clear" w:color="auto" w:fill="auto"/>
              </w:tcPr>
              <w:p w14:paraId="0B1DB790" w14:textId="7F0A108A">
                <w:pPr>
                  <w:ind w:left="340" w:hanging="360"/>
                  <w:jc w:val="both"/>
                  <w:rPr>
                    <w:sz w:val="20"/>
                  </w:rPr>
                </w:pPr>
                <w:r>
                  <w:rPr>
                    <w:sz w:val="20"/>
                  </w:rPr>
                  <w:t>16.</w:t>
                  <w:tab/>
                </w:r>
              </w:p>
            </w:tc>
            <w:tc>
              <w:tcPr>
                <w:tcW w:w="542" w:type="pct"/>
                <w:vMerge w:val="restart"/>
                <w:shd w:val="clear" w:color="auto" w:fill="auto"/>
              </w:tcPr>
              <w:p w14:paraId="5A85596B" w14:textId="77777777">
                <w:pPr>
                  <w:jc w:val="both"/>
                  <w:rPr>
                    <w:b/>
                    <w:bCs/>
                    <w:sz w:val="20"/>
                  </w:rPr>
                </w:pPr>
                <w:r>
                  <w:rPr>
                    <w:b/>
                    <w:bCs/>
                    <w:sz w:val="20"/>
                  </w:rPr>
                  <w:t>Ekonomikos ir inovacijų ministerija</w:t>
                </w:r>
              </w:p>
              <w:p w14:paraId="5CAD9403" w14:textId="77777777">
                <w:pPr>
                  <w:jc w:val="both"/>
                  <w:rPr>
                    <w:b/>
                    <w:bCs/>
                    <w:sz w:val="20"/>
                  </w:rPr>
                </w:pPr>
                <w:r>
                  <w:rPr>
                    <w:b/>
                    <w:bCs/>
                    <w:sz w:val="20"/>
                  </w:rPr>
                  <w:t>(</w:t>
                </w:r>
                <w:r>
                  <w:rPr>
                    <w:color w:val="000000"/>
                    <w:sz w:val="20"/>
                    <w:shd w:val="clear" w:color="auto" w:fill="FFFFFF"/>
                  </w:rPr>
                  <w:t xml:space="preserve">2022-08-08, reg. Nr. </w:t>
                </w:r>
              </w:p>
              <w:p w14:paraId="0E17CC9B" w14:textId="0E1468B1">
                <w:pPr>
                  <w:jc w:val="both"/>
                  <w:rPr>
                    <w:color w:val="000000"/>
                    <w:sz w:val="20"/>
                  </w:rPr>
                </w:pPr>
                <w:r>
                  <w:rPr>
                    <w:color w:val="000000"/>
                    <w:sz w:val="20"/>
                  </w:rPr>
                  <w:t>3-3151)</w:t>
                </w:r>
              </w:p>
            </w:tc>
            <w:tc>
              <w:tcPr>
                <w:tcW w:w="2984" w:type="pct"/>
                <w:gridSpan w:val="4"/>
                <w:shd w:val="clear" w:color="auto" w:fill="auto"/>
              </w:tcPr>
              <w:p w14:paraId="43A7D0F3" w14:textId="041BF5F5">
                <w:pPr>
                  <w:jc w:val="both"/>
                  <w:rPr>
                    <w:sz w:val="20"/>
                  </w:rPr>
                </w:pPr>
                <w:r>
                  <w:rPr>
                    <w:sz w:val="20"/>
                  </w:rPr>
                  <w:t xml:space="preserve">1. Projekto 3.3 papunktyje nustatyta, kad transporto priemonių techninės priežiūros, remonto ir (ar) techninės pagalbos paslaugų teikėjai </w:t>
                </w:r>
                <w:r>
                  <w:rPr>
                    <w:sz w:val="20"/>
                    <w:u w:val="single"/>
                  </w:rPr>
                  <w:t>iš naujo pateikia</w:t>
                </w:r>
                <w:r>
                  <w:rPr>
                    <w:sz w:val="20"/>
                  </w:rPr>
                  <w:t xml:space="preserve"> Vieningoje gaminių, pakuočių ir atliekų apskaitos informacinėje sistemoje (toliau – GPAIS) Transporto priemonių techninės priežiūros, remonto ir (ar) techninės pagalbos paslaugų teikėjo deklaraciją per du mėnesius nuo šio įsakymo 3.2 papunktyje nustatytos datos. Pagal Lietuvos Respublikos viešojo administravimo įstatymo 12 straipsnio 2 dalį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 Pažymėtina, kad nesuprantamas reikalavimo pakartotinai pateikti panašią informaciją veiklą eilę metų vykdantiems ūkio subjektams nustatymas, todėl siūlome pakartotinai įsivertinti tokio reikalavimo nustatymo būtinumą ir proporcingumą, t. y. atsisakyti perteklinės administracinės naštos ir reikalavimo iš naujo (kaip suprantame pakartotinai) pateikti paslaugų teikėjo deklaraciją, jei analogiška deklaracija jau buvo pateikta, o, jei būtina, Projekto 3.3 papunktį patikslinti dėl reikalavimo paslaugų teikėjams pateikti trūkstamą informaciją. Jeigu būtų atsižvelgta į šią pastabą, atitinkamai reikia patikslinti ir Ataskaitoje Nr. 1 pateiktus šio informacinio įpareigojimo administracinės naštos skaičiavimus.</w:t>
                </w:r>
              </w:p>
            </w:tc>
            <w:tc>
              <w:tcPr>
                <w:tcW w:w="1295" w:type="pct"/>
                <w:shd w:val="clear" w:color="auto" w:fill="auto"/>
              </w:tcPr>
              <w:p w14:paraId="07F96A0A" w14:textId="31297DA8">
                <w:pPr>
                  <w:jc w:val="both"/>
                  <w:rPr>
                    <w:b/>
                    <w:bCs/>
                    <w:sz w:val="20"/>
                  </w:rPr>
                </w:pPr>
                <w:r>
                  <w:rPr>
                    <w:b/>
                    <w:bCs/>
                    <w:sz w:val="20"/>
                  </w:rPr>
                  <w:t xml:space="preserve">Neatsižvelgta. </w:t>
                </w:r>
              </w:p>
              <w:p w14:paraId="1807DEC2" w14:textId="05889210">
                <w:pPr>
                  <w:jc w:val="both"/>
                  <w:rPr>
                    <w:sz w:val="20"/>
                  </w:rPr>
                </w:pPr>
                <w:r>
                  <w:rPr>
                    <w:sz w:val="20"/>
                  </w:rPr>
                  <w:t>Deklaracijos pateikimas iš naujo būtinas pakeitus neefektyvų GPAIS deklaracijų teikimo mechanizmą. Šiuo metu GPAIS teikiami skanuoti failai, juose pateiktą informaciją, jei ji pateikta ir įkeltas ne tuščias failas, neįmanoma nuskaityti automatiškai, deklaracijų teikimas surištas su atliekų susidarymo apskaitos pildymu, todėl deklaracijas teikdavo ne visi veiklos vykdytojai. Todėl nėra techninių galimybių automatiškai perkelti turimus duomenis į naują sąrašą. Lyginant su dabartine deklaracijos forma, pasikeitė jos turinys ir informacijos pateikimo būdas. Planuojama, kad vykdytojas GPAIS formoje turės pats pažymėti paslaugos teikimo pradžią/pabaigą, vykdomos veiklos pobūdį ir patvirtinti deklaraciją. Visa kita informacija bus automatiškai paimama iš veiklos vykdytojo GPAIS profilio, kuriame pateikiama informacija automatiškai gaunama iš kitų registrų, pvz. JAR, todėl trumpėja ir paprastėja deklaracijos pildymo procesas.</w:t>
                </w:r>
              </w:p>
            </w:tc>
          </w:tr>
          <w:tr w14:paraId="591D7D5A" w14:textId="77777777">
            <w:tc>
              <w:tcPr>
                <w:tcW w:w="179" w:type="pct"/>
                <w:shd w:val="clear" w:color="auto" w:fill="auto"/>
              </w:tcPr>
              <w:p w14:paraId="17146DDA" w14:textId="093FA8F9">
                <w:pPr>
                  <w:ind w:left="340" w:hanging="360"/>
                  <w:jc w:val="both"/>
                  <w:rPr>
                    <w:sz w:val="20"/>
                  </w:rPr>
                </w:pPr>
                <w:r>
                  <w:rPr>
                    <w:sz w:val="20"/>
                  </w:rPr>
                  <w:t>17.</w:t>
                  <w:tab/>
                </w:r>
              </w:p>
            </w:tc>
            <w:tc>
              <w:tcPr>
                <w:tcW w:w="542" w:type="pct"/>
                <w:vMerge/>
                <w:shd w:val="clear" w:color="auto" w:fill="auto"/>
              </w:tcPr>
              <w:p w14:paraId="05C707B6" w14:textId="77777777">
                <w:pPr>
                  <w:jc w:val="both"/>
                  <w:rPr>
                    <w:b/>
                    <w:bCs/>
                    <w:sz w:val="20"/>
                  </w:rPr>
                </w:pPr>
              </w:p>
            </w:tc>
            <w:tc>
              <w:tcPr>
                <w:tcW w:w="2984" w:type="pct"/>
                <w:gridSpan w:val="4"/>
                <w:shd w:val="clear" w:color="auto" w:fill="auto"/>
              </w:tcPr>
              <w:p w14:paraId="3F7F777B" w14:textId="4E745166">
                <w:pPr>
                  <w:jc w:val="both"/>
                  <w:rPr>
                    <w:sz w:val="20"/>
                  </w:rPr>
                </w:pPr>
                <w:r>
                  <w:rPr>
                    <w:sz w:val="20"/>
                  </w:rPr>
                  <w:t>4. Atkreipiame dėmesį, kad Lietuvos Respublikos paslaugų įstatymo 2 straipsnio 10 dalyje yra apibrėžta „paslaugos“ sąvoka. Siūlytume Apraše apibrėžiamą „paslaugos“ sąvoką suderinti su Paslaugų įstatymo sąvoka, kadangi Apraše nurodytoms paslaugos yra taikomas ir Paslaugų įstatymas.</w:t>
                </w:r>
              </w:p>
            </w:tc>
            <w:tc>
              <w:tcPr>
                <w:tcW w:w="1295" w:type="pct"/>
                <w:shd w:val="clear" w:color="auto" w:fill="auto"/>
              </w:tcPr>
              <w:p w14:paraId="5F638BB2" w14:textId="2F1F69C6">
                <w:pPr>
                  <w:spacing w:line="259" w:lineRule="auto"/>
                  <w:jc w:val="both"/>
                  <w:rPr>
                    <w:b/>
                    <w:bCs/>
                    <w:sz w:val="20"/>
                  </w:rPr>
                </w:pPr>
                <w:r>
                  <w:rPr>
                    <w:b/>
                    <w:bCs/>
                    <w:sz w:val="20"/>
                  </w:rPr>
                  <w:t>Atsižvelgta iš dalies.</w:t>
                </w:r>
              </w:p>
              <w:p w14:paraId="18178386" w14:textId="3380753F">
                <w:pPr>
                  <w:jc w:val="both"/>
                  <w:rPr>
                    <w:b/>
                    <w:bCs/>
                    <w:sz w:val="20"/>
                  </w:rPr>
                </w:pPr>
                <w:r>
                  <w:rPr>
                    <w:sz w:val="20"/>
                  </w:rPr>
                  <w:t>Atsisakoma atskiros sąvokos “paslauga”, ji paslaugų identifikavimo ir teikimo kontrolės tikslais pakeičiama atitinkamu trumpiniu, nurodant, kad tai tam tikra ekonominė veikla (todėl atitinkamai ir paslauga), 5.11 p. nurodyta, kad sąvoka suprantama taip, kaip ji apibrėžta PVM įstatyme.</w:t>
                </w:r>
              </w:p>
            </w:tc>
          </w:tr>
          <w:tr w14:paraId="0F87367F" w14:textId="77777777">
            <w:tc>
              <w:tcPr>
                <w:tcW w:w="179" w:type="pct"/>
                <w:shd w:val="clear" w:color="auto" w:fill="auto"/>
              </w:tcPr>
              <w:p w14:paraId="643E2655" w14:textId="2A80ABC0">
                <w:pPr>
                  <w:ind w:left="340" w:hanging="360"/>
                  <w:jc w:val="both"/>
                  <w:rPr>
                    <w:sz w:val="20"/>
                  </w:rPr>
                </w:pPr>
                <w:r>
                  <w:rPr>
                    <w:sz w:val="20"/>
                  </w:rPr>
                  <w:t>18.</w:t>
                  <w:tab/>
                </w:r>
              </w:p>
            </w:tc>
            <w:tc>
              <w:tcPr>
                <w:tcW w:w="542" w:type="pct"/>
                <w:vMerge/>
                <w:shd w:val="clear" w:color="auto" w:fill="auto"/>
              </w:tcPr>
              <w:p w14:paraId="3F5177AD" w14:textId="77777777">
                <w:pPr>
                  <w:jc w:val="both"/>
                  <w:rPr>
                    <w:b/>
                    <w:bCs/>
                    <w:sz w:val="20"/>
                  </w:rPr>
                </w:pPr>
              </w:p>
            </w:tc>
            <w:tc>
              <w:tcPr>
                <w:tcW w:w="2984" w:type="pct"/>
                <w:gridSpan w:val="4"/>
                <w:shd w:val="clear" w:color="auto" w:fill="auto"/>
              </w:tcPr>
              <w:p w14:paraId="3368F7CC" w14:textId="513898D2">
                <w:pPr>
                  <w:jc w:val="both"/>
                  <w:rPr>
                    <w:sz w:val="20"/>
                  </w:rPr>
                </w:pPr>
                <w:r>
                  <w:rPr>
                    <w:sz w:val="20"/>
                  </w:rPr>
                  <w:t>5. Aprašo 6 punkte nurodyta, kad darbai turi būti atliekami taip, kad neprieštarautų transporto priemonės remonto ir priežiūros informacijai. Neaišku, kokia informacija turima omenyje, kur ji nurodyta. Siūlytume patikslinti šį punktą.</w:t>
                </w:r>
              </w:p>
            </w:tc>
            <w:tc>
              <w:tcPr>
                <w:tcW w:w="1295" w:type="pct"/>
                <w:shd w:val="clear" w:color="auto" w:fill="auto"/>
              </w:tcPr>
              <w:p w14:paraId="7E35B8B5" w14:textId="0597D0BD">
                <w:pPr>
                  <w:jc w:val="both"/>
                  <w:rPr>
                    <w:b/>
                    <w:bCs/>
                    <w:sz w:val="20"/>
                  </w:rPr>
                </w:pPr>
                <w:r>
                  <w:rPr>
                    <w:b/>
                    <w:bCs/>
                    <w:sz w:val="20"/>
                  </w:rPr>
                  <w:t>Neatsižvelgta</w:t>
                </w:r>
              </w:p>
              <w:p w14:paraId="5CF71FAE" w14:textId="35D50C72">
                <w:pPr>
                  <w:jc w:val="both"/>
                  <w:rPr>
                    <w:sz w:val="20"/>
                  </w:rPr>
                </w:pPr>
                <w:r>
                  <w:rPr>
                    <w:sz w:val="20"/>
                  </w:rPr>
                  <w:t>Vadovaujantis Projekto 5.10 papunkčiu, s</w:t>
                </w:r>
                <w:r>
                  <w:rPr>
                    <w:color w:val="000000"/>
                    <w:sz w:val="20"/>
                  </w:rPr>
                  <w:t xml:space="preserve">ąvoka  „transporto priemonės remonto ir priežiūros informacija“</w:t>
                </w:r>
                <w:r>
                  <w:rPr>
                    <w:b/>
                    <w:bCs/>
                    <w:color w:val="000000"/>
                    <w:sz w:val="20"/>
                  </w:rPr>
                  <w:t xml:space="preserve"> s</w:t>
                </w:r>
                <w:r>
                  <w:rPr>
                    <w:color w:val="000000"/>
                    <w:sz w:val="20"/>
                  </w:rPr>
                  <w:t xml:space="preserve">uprantama taip, kaip ji apibrėžta 2018 m. gegužės 30 d. Europos Parlamento ir Tarybos reglamente </w:t>
                </w:r>
                <w:fldSimple w:instr="HYPERLINK http://eur-lex.europa.eu/legal-content/LIT/TXT/?uri=CELEX:3858R2018&amp;locale=lt \t _blank">
                  <w:r>
                    <w:rPr>
                      <w:color w:val="0000FF" w:themeColor="hyperlink"/>
                      <w:sz w:val="20"/>
                      <w:u w:val="single"/>
                    </w:rPr>
                    <w:t>(ES) 2018/858</w:t>
                  </w:r>
                </w:fldSimple>
                <w:r>
                  <w:rPr>
                    <w:color w:val="000000"/>
                    <w:sz w:val="20"/>
                  </w:rPr>
                  <w:t xml:space="preserve"> dėl motorinių transporto priemonių ir jų priekabų bei tokioms transporto priemonėms skirtų sistemų, komponentų ir atskirų techninių mazgų patvirtinimo ir rinkos priežiūros, kuriuo iš dalies keičiami reglamentai </w:t>
                </w:r>
                <w:fldSimple w:instr="HYPERLINK http://eur-lex.europa.eu/legal-content/LIT/TXT/?uri=CELEX:32007R0715&amp;locale=lt \t _blank">
                  <w:r>
                    <w:rPr>
                      <w:color w:val="0000FF" w:themeColor="hyperlink"/>
                      <w:sz w:val="20"/>
                      <w:u w:val="single"/>
                    </w:rPr>
                    <w:t>(EB) Nr. 715/2007</w:t>
                  </w:r>
                </w:fldSimple>
                <w:r>
                  <w:rPr>
                    <w:color w:val="000000"/>
                    <w:sz w:val="20"/>
                  </w:rPr>
                  <w:t xml:space="preserve"> ir </w:t>
                </w:r>
                <w:fldSimple w:instr="HYPERLINK http://eur-lex.europa.eu/legal-content/LIT/TXT/?uri=CELEX:32009R0595&amp;locale=lt \t _blank">
                  <w:r>
                    <w:rPr>
                      <w:color w:val="0000FF" w:themeColor="hyperlink"/>
                      <w:sz w:val="20"/>
                      <w:u w:val="single"/>
                    </w:rPr>
                    <w:t>(EB) Nr. 595/2009</w:t>
                  </w:r>
                </w:fldSimple>
                <w:r>
                  <w:rPr>
                    <w:color w:val="000000"/>
                    <w:sz w:val="20"/>
                  </w:rPr>
                  <w:t xml:space="preserve"> bei panaikinama Direktyva </w:t>
                </w:r>
                <w:fldSimple w:instr="HYPERLINK http://eur-lex.europa.eu/legal-content/LIT/TXT/?uri=CELEX:32007L0046&amp;locale=lt \t _blank">
                  <w:r>
                    <w:rPr>
                      <w:color w:val="0000FF" w:themeColor="hyperlink"/>
                      <w:sz w:val="20"/>
                      <w:u w:val="single"/>
                    </w:rPr>
                    <w:t>2007/46/EB</w:t>
                  </w:r>
                </w:fldSimple>
                <w:r>
                  <w:rPr>
                    <w:color w:val="000000"/>
                    <w:sz w:val="20"/>
                  </w:rPr>
                  <w:t xml:space="preserve"> su visais pakeitimais.</w:t>
                </w:r>
              </w:p>
            </w:tc>
          </w:tr>
          <w:tr w14:paraId="239AB9B9" w14:textId="77777777">
            <w:tc>
              <w:tcPr>
                <w:tcW w:w="179" w:type="pct"/>
                <w:shd w:val="clear" w:color="auto" w:fill="auto"/>
              </w:tcPr>
              <w:p w14:paraId="4D0336BC" w14:textId="60140D67">
                <w:pPr>
                  <w:ind w:left="340" w:hanging="360"/>
                  <w:jc w:val="both"/>
                  <w:rPr>
                    <w:sz w:val="20"/>
                  </w:rPr>
                </w:pPr>
                <w:r>
                  <w:rPr>
                    <w:sz w:val="20"/>
                  </w:rPr>
                  <w:t>19.</w:t>
                  <w:tab/>
                </w:r>
              </w:p>
            </w:tc>
            <w:tc>
              <w:tcPr>
                <w:tcW w:w="542" w:type="pct"/>
                <w:vMerge/>
                <w:shd w:val="clear" w:color="auto" w:fill="auto"/>
              </w:tcPr>
              <w:p w14:paraId="0F57AA95" w14:textId="77777777">
                <w:pPr>
                  <w:jc w:val="both"/>
                  <w:rPr>
                    <w:b/>
                    <w:bCs/>
                    <w:sz w:val="20"/>
                  </w:rPr>
                </w:pPr>
              </w:p>
            </w:tc>
            <w:tc>
              <w:tcPr>
                <w:tcW w:w="2984" w:type="pct"/>
                <w:gridSpan w:val="4"/>
                <w:shd w:val="clear" w:color="auto" w:fill="auto"/>
              </w:tcPr>
              <w:p w14:paraId="5BF6FA68" w14:textId="0C62C7FB">
                <w:pPr>
                  <w:jc w:val="both"/>
                  <w:rPr>
                    <w:sz w:val="20"/>
                  </w:rPr>
                </w:pPr>
                <w:r>
                  <w:rPr>
                    <w:sz w:val="20"/>
                  </w:rPr>
                  <w:t xml:space="preserve">6. Siūlytume įvertinti Aprašo 7 punkte nustatytų reikalavimų paslaugų teikėjams atitiktį Paslaugų įstatyme nurodytiems principams. </w:t>
                </w:r>
              </w:p>
              <w:p w14:paraId="2CF148AA" w14:textId="2BF20A53">
                <w:pPr>
                  <w:jc w:val="both"/>
                  <w:rPr>
                    <w:sz w:val="20"/>
                  </w:rPr>
                </w:pPr>
                <w:r>
                  <w:rPr>
                    <w:sz w:val="20"/>
                  </w:rPr>
                  <w:t>Siūlytume supaprastinti Aprašo 7.1 papunktį atsižvelgiant į tai, kad gamintojų sąraše ir nurodomi gamintojai, todėl netikslinga formuluoti prievolę pateikti gamintojų sąrašą su nurodytais gamintojais.</w:t>
                </w:r>
              </w:p>
              <w:p w14:paraId="3F7D7647" w14:textId="77777777">
                <w:pPr>
                  <w:jc w:val="both"/>
                  <w:rPr>
                    <w:sz w:val="20"/>
                  </w:rPr>
                </w:pPr>
                <w:r>
                  <w:rPr>
                    <w:sz w:val="20"/>
                  </w:rPr>
                  <w:t>Siūlytume atsisakyti Aprašo 7.2 papunktyje nustatyto vertinamojo reikalavimo arba jį tikslinti, nes neaišku, kokia konkrečiai įranga yra būtina paslaugai teikti. Taip pat pažymėtina, kad Ekonomikos ir inovacijų ministerijos specialistų nuomone, reikalavimas turėti diagnostinę įrangą neturėtų būti privalomas visiems paslaugas teikiantiems ūkio subjektams, tuo labiau, kad toks reikalavimas sukeltų papildomas prisitaikymo prie reguliavimo išlaidas ir ne visi paslaugų teikėjai galėtų įsigyti papildomą įrangą. Transporto priemonių valdytojai kiekvienu konkrečiu atveju galėtų rinktis paslaugos teikėją, priklausomai nuo to, ar jis turi diagnostinę įrangą ar ne.</w:t>
                </w:r>
              </w:p>
              <w:p w14:paraId="4B2F5770" w14:textId="77777777">
                <w:pPr>
                  <w:jc w:val="both"/>
                  <w:rPr>
                    <w:sz w:val="20"/>
                  </w:rPr>
                </w:pPr>
                <w:r>
                  <w:rPr>
                    <w:sz w:val="20"/>
                  </w:rPr>
                  <w:t>Siūlytume atsisakyti Aprašo 7.4 papunktyje nustatyto vertinamojo reikalavimo arba jį tikslinti, nes neaišku, kokia konkrečiai kvalifikacija ir kompetencija yra reikalingos paslaugai teikti.</w:t>
                </w:r>
              </w:p>
              <w:p w14:paraId="3137D944" w14:textId="032647A6">
                <w:pPr>
                  <w:jc w:val="both"/>
                  <w:rPr>
                    <w:sz w:val="20"/>
                  </w:rPr>
                </w:pPr>
                <w:r>
                  <w:rPr>
                    <w:sz w:val="20"/>
                  </w:rPr>
                  <w:t xml:space="preserve">Abejotina, ar yra tikslinga nustatyti Aprašo 7.5 papunktyje nurodytą reikalavimą. Manytume, kad šios paslaugos atveju kvalifikacijos tobulinimu visų pirma yra suinteresuoti patys paslaugos teikėjai, siekdami didesnio konkurencingumo dėl naujovių galimai sąlygojamų paslaugų kaštų mažėjimo ar naujų paslaugų įvedimo. Jei, pavyzdžiui, paslaugos teikėjas užsiima tik senų automobilių tam tikro pobūdžio remontu ir jam pakanka klientų, abejotina, ar proporcinga ir būtina būtų reikalauti iš tokio paslaugų teikėjo patirti papildomų kaštų privalomam kvalifikacijos tobulinimui. Laikytumėmės nuomonės, kad Aprašo 7.5 papunktyje nustatytas reikalavimas neatitinka Paslaugų įstatymo 4 straipsnio 1 dalyje nustatytų principų. Be to, primename, kad Lietuvos Respublikos teisėkūros pagrindų įstatymo </w:t>
                </w:r>
                <w:r>
                  <w:rPr>
                    <w:sz w:val="20"/>
                    <w:lang w:val="en-US"/>
                  </w:rPr>
                  <w:t>3</w:t>
                </w:r>
                <w:r>
                  <w:rPr>
                    <w:sz w:val="20"/>
                  </w:rPr>
                  <w:t xml:space="preserve"> straipsnio </w:t>
                </w:r>
                <w:r>
                  <w:rPr>
                    <w:sz w:val="20"/>
                    <w:lang w:val="en-US"/>
                  </w:rPr>
                  <w:t>2</w:t>
                </w:r>
                <w:r>
                  <w:rPr>
                    <w:sz w:val="20"/>
                  </w:rPr>
                  <w:t xml:space="preserve"> dalies 2 punkte nustatyta, kad teisėkūroje be kitų principų turi būti vadovaujamasi proporcingumo principu, reiškiančiu, kad pasirinktos teisinio reguliavimo priemonės turi sudaryti kuo mažesnę administracinę ir kitokią naštą, nevaržyti teisinių santykių subjektų daugiau, negu to reikia teisinio reguliavimo tikslams pasiekti. Atsižvelgiant į tai, siūlome pakartotinai įvertinti, ar paslaugos teikėjo darbuotojų kvalifikacijos tobulinimo reikalavimo nustatymas yra proporcinga ir būtina priemonė.</w:t>
                </w:r>
              </w:p>
            </w:tc>
            <w:tc>
              <w:tcPr>
                <w:tcW w:w="1295" w:type="pct"/>
                <w:shd w:val="clear" w:color="auto" w:fill="auto"/>
              </w:tcPr>
              <w:p w14:paraId="53F9F071" w14:textId="5A6E79DC">
                <w:pPr>
                  <w:jc w:val="both"/>
                  <w:rPr>
                    <w:b/>
                    <w:bCs/>
                    <w:sz w:val="20"/>
                  </w:rPr>
                </w:pPr>
                <w:r>
                  <w:rPr>
                    <w:b/>
                    <w:bCs/>
                    <w:sz w:val="20"/>
                  </w:rPr>
                  <w:t>Iš dalies atsižvelgta.</w:t>
                </w:r>
              </w:p>
              <w:p w14:paraId="249E194C" w14:textId="77777777">
                <w:pPr>
                  <w:jc w:val="both"/>
                  <w:rPr>
                    <w:sz w:val="20"/>
                  </w:rPr>
                </w:pPr>
                <w:r>
                  <w:rPr>
                    <w:sz w:val="20"/>
                  </w:rPr>
                  <w:t xml:space="preserve">Dėl 7.1 p. atsižvelgta, pertekliniai žodžiai išbraukti. </w:t>
                </w:r>
              </w:p>
              <w:p w14:paraId="31DB4EB0" w14:textId="51852F55">
                <w:pPr>
                  <w:jc w:val="both"/>
                  <w:rPr>
                    <w:sz w:val="20"/>
                  </w:rPr>
                </w:pPr>
                <w:r>
                  <w:rPr>
                    <w:sz w:val="20"/>
                  </w:rPr>
                  <w:t>Dėl 7.4 p. atsižvelgta į LAA siūlymą (žr. 10 pastabą).</w:t>
                </w:r>
              </w:p>
              <w:p w14:paraId="2F38B714" w14:textId="0B29542A">
                <w:pPr>
                  <w:jc w:val="both"/>
                  <w:rPr>
                    <w:sz w:val="20"/>
                  </w:rPr>
                </w:pPr>
                <w:r>
                  <w:rPr>
                    <w:sz w:val="20"/>
                  </w:rPr>
                  <w:t>Dėl 7.5 p. neatsižvelgta, nes nesant tokio reikalavimo bus atsiliekama nuo transporto priemonių remonto ir atsarginių dalių technologinės pažangos.</w:t>
                </w:r>
              </w:p>
              <w:p w14:paraId="16D19999" w14:textId="7EFDB708">
                <w:pPr>
                  <w:jc w:val="both"/>
                  <w:rPr>
                    <w:color w:val="333333"/>
                    <w:sz w:val="20"/>
                  </w:rPr>
                </w:pPr>
                <w:r>
                  <w:rPr>
                    <w:sz w:val="20"/>
                  </w:rPr>
                  <w:t xml:space="preserve">Dėl 7.2 p. neatsižvelgta, nes </w:t>
                </w:r>
                <w:r>
                  <w:rPr>
                    <w:color w:val="333333"/>
                    <w:sz w:val="20"/>
                  </w:rPr>
                  <w:t>patikslinti praktiškai neįmanoma. Viskas priklauso paties paslaugų teikėjo, jo atliekamų darbų apimties ir sudėtingumo. Abejojama, ar tai galėtų būti baigtinis sąrašas -</w:t>
                </w:r>
              </w:p>
              <w:p w14:paraId="4696D5F4" w14:textId="521E2BF4">
                <w:pPr>
                  <w:jc w:val="both"/>
                  <w:rPr>
                    <w:sz w:val="20"/>
                  </w:rPr>
                </w:pPr>
                <w:r>
                  <w:rPr>
                    <w:color w:val="333333"/>
                    <w:sz w:val="20"/>
                  </w:rPr>
                  <w:t>LTSA yra bandžiusi pagal pagrindinius atliekamus darbus nustatyti įrangos sąrašą, tačiau nepavyko. Pažymėtina, kad ir pats verslas šioje vietoje konkrečių pastabų dėl konkretaus įrangos sąrašo nepateikė. Diagnostikos įranga, jei tik įmanoma pagal gedimo pobūdį, turėtų būti privaloma, t. y. neturėtų būti atliekami veiksmai nepatikrinus tp. Toks reikalavimas turėti ir naudoti tokią įrangą iš esmės apsaugo tiek paslaugos teikėją, tiek klientą nuo perteklinių darbų atlikimo</w:t>
                </w:r>
              </w:p>
            </w:tc>
          </w:tr>
          <w:tr w14:paraId="4B83D8A1" w14:textId="77777777">
            <w:tc>
              <w:tcPr>
                <w:tcW w:w="179" w:type="pct"/>
                <w:shd w:val="clear" w:color="auto" w:fill="auto"/>
              </w:tcPr>
              <w:p w14:paraId="394B1125" w14:textId="6A49F6CE">
                <w:pPr>
                  <w:ind w:left="340" w:hanging="360"/>
                  <w:jc w:val="both"/>
                  <w:rPr>
                    <w:sz w:val="20"/>
                  </w:rPr>
                </w:pPr>
                <w:r>
                  <w:rPr>
                    <w:sz w:val="20"/>
                  </w:rPr>
                  <w:t>20.</w:t>
                  <w:tab/>
                </w:r>
              </w:p>
            </w:tc>
            <w:tc>
              <w:tcPr>
                <w:tcW w:w="542" w:type="pct"/>
                <w:vMerge/>
                <w:shd w:val="clear" w:color="auto" w:fill="auto"/>
              </w:tcPr>
              <w:p w14:paraId="0FDD92E2" w14:textId="77777777">
                <w:pPr>
                  <w:jc w:val="both"/>
                  <w:rPr>
                    <w:b/>
                    <w:bCs/>
                    <w:sz w:val="20"/>
                  </w:rPr>
                </w:pPr>
              </w:p>
            </w:tc>
            <w:tc>
              <w:tcPr>
                <w:tcW w:w="2984" w:type="pct"/>
                <w:gridSpan w:val="4"/>
                <w:shd w:val="clear" w:color="auto" w:fill="auto"/>
              </w:tcPr>
              <w:p w14:paraId="221FE5A3" w14:textId="77777777">
                <w:pPr>
                  <w:jc w:val="both"/>
                  <w:rPr>
                    <w:sz w:val="20"/>
                  </w:rPr>
                </w:pPr>
                <w:r>
                  <w:rPr>
                    <w:sz w:val="20"/>
                  </w:rPr>
                  <w:t>7. Siekdami teisinio aiškumo ir atsižvelgdami į Lietuvos Respublikos metrologijos įstatymo 2 straipsnio 23 dalyje naudojamą teisinio metrologinio patvirtinimo sąvokos apibrėžimą, siūlome Aprašo 7.3 papunktį išdėstyti taip:</w:t>
                </w:r>
              </w:p>
              <w:p w14:paraId="4258A4CB" w14:textId="3CB96A6B">
                <w:pPr>
                  <w:jc w:val="both"/>
                  <w:rPr>
                    <w:sz w:val="20"/>
                  </w:rPr>
                </w:pPr>
                <w:r>
                  <w:rPr>
                    <w:sz w:val="20"/>
                  </w:rPr>
                  <w:t xml:space="preserve">„7.3. užtikrinti galiojančią metrologinę patikrą </w:t>
                </w:r>
                <w:r>
                  <w:rPr>
                    <w:strike/>
                    <w:sz w:val="20"/>
                  </w:rPr>
                  <w:t>naudojamai</w:t>
                </w:r>
                <w:r>
                  <w:rPr>
                    <w:sz w:val="20"/>
                  </w:rPr>
                  <w:t xml:space="preserve"> </w:t>
                </w:r>
                <w:r>
                  <w:rPr>
                    <w:strike/>
                    <w:sz w:val="20"/>
                  </w:rPr>
                  <w:t>įrangai, įrankiams ir (ar)</w:t>
                </w:r>
                <w:r>
                  <w:rPr>
                    <w:sz w:val="20"/>
                  </w:rPr>
                  <w:t xml:space="preserve"> </w:t>
                </w:r>
                <w:r>
                  <w:rPr>
                    <w:b/>
                    <w:bCs/>
                    <w:sz w:val="20"/>
                  </w:rPr>
                  <w:t>naudojamoms</w:t>
                </w:r>
                <w:r>
                  <w:rPr>
                    <w:sz w:val="20"/>
                  </w:rPr>
                  <w:t xml:space="preserve"> matavimo priemonėms, jei jos yra teisinio metrologinio reglamentavimo objektai pagal Lietuvos Respublikos metrologijos įstatymą ir </w:t>
                </w:r>
                <w:r>
                  <w:rPr>
                    <w:strike/>
                    <w:sz w:val="20"/>
                  </w:rPr>
                  <w:t>(ar)</w:t>
                </w:r>
                <w:r>
                  <w:rPr>
                    <w:sz w:val="20"/>
                  </w:rPr>
                  <w:t xml:space="preserve"> jos yra Teisinio metrologinio reglamentavimo sritims priskirtų matavimo priemonių ir jų grupių ir laiko intervalų tarp periodinių matavimo priemonių patikrų sąraše, patvirtintame Lietuvos Respublikos ekonomikos ir inovacijų ministro 2014 m. rugpjūčio 1 d. įsakymu Nr. 4-523 „Dėl Teisinio metrologinio reglamentavimo sritims priskirtų matavimo priemonių ir jų grupių ir laiko intervalų tarp periodinių matavimo priemonių patikrų sąrašo patvirtinimo“.</w:t>
                </w:r>
              </w:p>
            </w:tc>
            <w:tc>
              <w:tcPr>
                <w:tcW w:w="1295" w:type="pct"/>
                <w:shd w:val="clear" w:color="auto" w:fill="auto"/>
              </w:tcPr>
              <w:p w14:paraId="662BEC33" w14:textId="7F82D728">
                <w:pPr>
                  <w:jc w:val="both"/>
                  <w:rPr>
                    <w:b/>
                    <w:bCs/>
                    <w:sz w:val="20"/>
                  </w:rPr>
                </w:pPr>
                <w:r>
                  <w:rPr>
                    <w:b/>
                    <w:bCs/>
                    <w:sz w:val="20"/>
                  </w:rPr>
                  <w:t>Atsižvelgta iš dalies.</w:t>
                </w:r>
              </w:p>
              <w:p w14:paraId="5DB6DE87" w14:textId="7DA79E5A">
                <w:pPr>
                  <w:jc w:val="both"/>
                  <w:rPr>
                    <w:sz w:val="20"/>
                  </w:rPr>
                </w:pPr>
                <w:r>
                  <w:rPr>
                    <w:sz w:val="20"/>
                  </w:rPr>
                  <w:t>Neatsižvelgta, dėl (ar) išbraukimo, žr. 19 pastabą.</w:t>
                </w:r>
              </w:p>
            </w:tc>
          </w:tr>
          <w:tr w14:paraId="3619BC3D" w14:textId="77777777">
            <w:tc>
              <w:tcPr>
                <w:tcW w:w="179" w:type="pct"/>
                <w:shd w:val="clear" w:color="auto" w:fill="auto"/>
              </w:tcPr>
              <w:p w14:paraId="20008FF6" w14:textId="3E344179">
                <w:pPr>
                  <w:ind w:left="340" w:hanging="360"/>
                  <w:jc w:val="both"/>
                  <w:rPr>
                    <w:sz w:val="20"/>
                  </w:rPr>
                </w:pPr>
                <w:r>
                  <w:rPr>
                    <w:sz w:val="20"/>
                  </w:rPr>
                  <w:t>21.</w:t>
                  <w:tab/>
                </w:r>
              </w:p>
            </w:tc>
            <w:tc>
              <w:tcPr>
                <w:tcW w:w="542" w:type="pct"/>
                <w:vMerge/>
                <w:shd w:val="clear" w:color="auto" w:fill="auto"/>
              </w:tcPr>
              <w:p w14:paraId="509F94A0" w14:textId="77777777">
                <w:pPr>
                  <w:jc w:val="both"/>
                  <w:rPr>
                    <w:b/>
                    <w:bCs/>
                    <w:sz w:val="20"/>
                  </w:rPr>
                </w:pPr>
              </w:p>
            </w:tc>
            <w:tc>
              <w:tcPr>
                <w:tcW w:w="2984" w:type="pct"/>
                <w:gridSpan w:val="4"/>
                <w:shd w:val="clear" w:color="auto" w:fill="auto"/>
              </w:tcPr>
              <w:p w14:paraId="1515AA2D" w14:textId="3EEB5FD6">
                <w:pPr>
                  <w:jc w:val="both"/>
                  <w:rPr>
                    <w:sz w:val="20"/>
                  </w:rPr>
                </w:pPr>
                <w:r>
                  <w:rPr>
                    <w:sz w:val="20"/>
                    <w:lang w:val="en-US"/>
                  </w:rPr>
                  <w:t xml:space="preserve">11. </w:t>
                </w:r>
                <w:r>
                  <w:rPr>
                    <w:sz w:val="20"/>
                  </w:rPr>
                  <w:t xml:space="preserve">Siūlome Aprašo </w:t>
                </w:r>
                <w:r>
                  <w:rPr>
                    <w:sz w:val="20"/>
                    <w:lang w:val="en-US"/>
                  </w:rPr>
                  <w:t>37</w:t>
                </w:r>
                <w:r>
                  <w:rPr>
                    <w:sz w:val="20"/>
                  </w:rPr>
                  <w:t xml:space="preserve"> punktą patikslinti dėl užsakymo formos III dalies „Paslaugos suteikimo patvirtinimas“ pildymo. Taip pat atkreipiame dėmesį, kad nėra iki galo aišku, ar užsakymo formos III dalyje pateikiami atlikti darbai bei naudotos atsarginės dalys ir medžiagos nėra dar kartą nurodomos kaip, kad buvo nurodomos užsakymo formos I dalyje (planuojami) ir II dalyje (papildomi). Prašome dėl aiškumo patikslinti Aprašo 37 punktą ir reikalauti nurodyti kuo mažiau informacijos užsakymo formoje, kad nebūtų nustatoma perteklinė administracinė našta paslaugos teikėjui. </w:t>
                </w:r>
              </w:p>
            </w:tc>
            <w:tc>
              <w:tcPr>
                <w:tcW w:w="1295" w:type="pct"/>
                <w:shd w:val="clear" w:color="auto" w:fill="auto"/>
              </w:tcPr>
              <w:p w14:paraId="48B17D07" w14:textId="0C107AC4">
                <w:pPr>
                  <w:jc w:val="both"/>
                  <w:rPr>
                    <w:b/>
                    <w:bCs/>
                    <w:sz w:val="20"/>
                  </w:rPr>
                </w:pPr>
                <w:r>
                  <w:rPr>
                    <w:b/>
                    <w:bCs/>
                    <w:sz w:val="20"/>
                  </w:rPr>
                  <w:t>Neatsižvelgta.</w:t>
                </w:r>
              </w:p>
              <w:p w14:paraId="7B2E30F9" w14:textId="458CD015">
                <w:pPr>
                  <w:jc w:val="both"/>
                  <w:rPr>
                    <w:b/>
                    <w:bCs/>
                    <w:sz w:val="20"/>
                  </w:rPr>
                </w:pPr>
                <w:r>
                  <w:rPr>
                    <w:sz w:val="20"/>
                  </w:rPr>
                  <w:t xml:space="preserve">Tuo siekiama užtikrinti vartotojo teisę į tikslią ir išsamią informaciją apie suteiktą paslaugą. Be to, tai yra tik rekomenduojama užsakymo  paraiškos forma ir paslaugos teikėjas gali pasirinkti kitą formą, kuri leistų įgyvendinti šį reikalavimą jam patogesniu būdu.</w:t>
                </w:r>
              </w:p>
            </w:tc>
          </w:tr>
          <w:tr w14:paraId="5577B96C" w14:textId="77777777">
            <w:tc>
              <w:tcPr>
                <w:tcW w:w="179" w:type="pct"/>
                <w:shd w:val="clear" w:color="auto" w:fill="auto"/>
              </w:tcPr>
              <w:p w14:paraId="08FEE1EE" w14:textId="705F6716">
                <w:pPr>
                  <w:ind w:left="340" w:hanging="360"/>
                  <w:jc w:val="both"/>
                  <w:rPr>
                    <w:sz w:val="20"/>
                  </w:rPr>
                </w:pPr>
                <w:r>
                  <w:rPr>
                    <w:sz w:val="20"/>
                  </w:rPr>
                  <w:t>22.</w:t>
                  <w:tab/>
                </w:r>
              </w:p>
            </w:tc>
            <w:tc>
              <w:tcPr>
                <w:tcW w:w="542" w:type="pct"/>
                <w:vMerge/>
                <w:shd w:val="clear" w:color="auto" w:fill="auto"/>
              </w:tcPr>
              <w:p w14:paraId="352E2966" w14:textId="77777777">
                <w:pPr>
                  <w:jc w:val="both"/>
                  <w:rPr>
                    <w:b/>
                    <w:bCs/>
                    <w:sz w:val="20"/>
                  </w:rPr>
                </w:pPr>
              </w:p>
            </w:tc>
            <w:tc>
              <w:tcPr>
                <w:tcW w:w="2984" w:type="pct"/>
                <w:gridSpan w:val="4"/>
                <w:shd w:val="clear" w:color="auto" w:fill="auto"/>
              </w:tcPr>
              <w:p w14:paraId="46F701E6" w14:textId="0C7DBD03">
                <w:pPr>
                  <w:jc w:val="both"/>
                  <w:rPr>
                    <w:sz w:val="20"/>
                  </w:rPr>
                </w:pPr>
                <w:r>
                  <w:rPr>
                    <w:sz w:val="20"/>
                    <w:lang w:val="en-US"/>
                  </w:rPr>
                  <w:t xml:space="preserve">12. </w:t>
                </w:r>
                <w:r>
                  <w:rPr>
                    <w:sz w:val="20"/>
                  </w:rPr>
                  <w:t xml:space="preserve">Aprašo 41.1 papunktyje siūloma nustatyti, kad paslaugos teikėjas privalo parengti atkuriamojo remonto procedūrų aprašymą, nurodydamas darbų būdus ir metodus. Pažymėtina, kad nėra aišku, kokios apimties yra šių dokumentų parengimas ir, ar reikia detaliai nurodyti kiekvieną net smulkiausią planuojamą atlikti procedūrą, o taip pat remiantis Aprašo </w:t>
                </w:r>
                <w:r>
                  <w:rPr>
                    <w:sz w:val="20"/>
                    <w:lang w:val="en-US"/>
                  </w:rPr>
                  <w:t>41.2</w:t>
                </w:r>
                <w:r>
                  <w:rPr>
                    <w:sz w:val="20"/>
                  </w:rPr>
                  <w:t xml:space="preserve"> papunkčiu daryti visų net menkiausių atkuriamojo remonto metu atliktų procedūrų, technologinių procesų ir pakeistų dalių nuotraukas. Siūlytume patikslinti šiuos papunkčius, nurodant iki kokio detalumo ši tiek aprašomoji, tiek vaizdinė medžiaga turi būti rengiama.</w:t>
                </w:r>
              </w:p>
            </w:tc>
            <w:tc>
              <w:tcPr>
                <w:tcW w:w="1295" w:type="pct"/>
                <w:shd w:val="clear" w:color="auto" w:fill="auto"/>
              </w:tcPr>
              <w:p w14:paraId="16CBFE08" w14:textId="538EFEEF">
                <w:pPr>
                  <w:jc w:val="both"/>
                  <w:rPr>
                    <w:b/>
                    <w:bCs/>
                    <w:sz w:val="20"/>
                  </w:rPr>
                </w:pPr>
                <w:r>
                  <w:rPr>
                    <w:b/>
                    <w:bCs/>
                    <w:sz w:val="20"/>
                  </w:rPr>
                  <w:t>Neatsižvelgta.</w:t>
                </w:r>
              </w:p>
              <w:p w14:paraId="0D10B836" w14:textId="630D93AB">
                <w:pPr>
                  <w:jc w:val="both"/>
                  <w:rPr>
                    <w:color w:val="000000"/>
                    <w:sz w:val="20"/>
                    <w:lang w:val="en-US"/>
                  </w:rPr>
                </w:pPr>
                <w:r>
                  <w:rPr>
                    <w:sz w:val="20"/>
                  </w:rPr>
                  <w:t>Duomenys reikalingi techninei ekspertizei (po atkuriamojo remonto) atlikti nustatyti</w:t>
                </w:r>
                <w:r>
                  <w:rPr>
                    <w:b/>
                    <w:bCs/>
                    <w:sz w:val="20"/>
                  </w:rPr>
                  <w:t xml:space="preserve"> </w:t>
                </w:r>
                <w:r>
                  <w:rPr>
                    <w:color w:val="000000"/>
                    <w:sz w:val="20"/>
                  </w:rPr>
                  <w:t>Valstybinės kelių transporto inspekcijos prie Susisiekimo ministerijos viršininko 2008 m. gruodžio 23 d. įsakymu Nr. 2B-515 „Dėl Motorinių transporto priemonių, jų priekabų gamybos ir perdirbimo ir techninės ekspertizės atlikimo tvarkos aprašo patvirtinimo“ patvirtinto Motorinių transporto priemonių, jų priekabų gamybos ir perdirbimo ir techninės ekspertizės atlikimo tvarkos aprašo 54 punkte.</w:t>
                </w:r>
              </w:p>
            </w:tc>
          </w:tr>
          <w:tr w14:paraId="60689FD2" w14:textId="77777777">
            <w:tc>
              <w:tcPr>
                <w:tcW w:w="179" w:type="pct"/>
                <w:shd w:val="clear" w:color="auto" w:fill="auto"/>
              </w:tcPr>
              <w:p w14:paraId="6001E626" w14:textId="07EB4AAF">
                <w:pPr>
                  <w:ind w:left="340" w:hanging="360"/>
                  <w:jc w:val="both"/>
                  <w:rPr>
                    <w:sz w:val="20"/>
                  </w:rPr>
                </w:pPr>
                <w:r>
                  <w:rPr>
                    <w:sz w:val="20"/>
                  </w:rPr>
                  <w:t>23.</w:t>
                  <w:tab/>
                </w:r>
              </w:p>
            </w:tc>
            <w:tc>
              <w:tcPr>
                <w:tcW w:w="542" w:type="pct"/>
                <w:vMerge/>
                <w:shd w:val="clear" w:color="auto" w:fill="auto"/>
              </w:tcPr>
              <w:p w14:paraId="43E729E7" w14:textId="77777777">
                <w:pPr>
                  <w:jc w:val="both"/>
                  <w:rPr>
                    <w:b/>
                    <w:bCs/>
                    <w:sz w:val="20"/>
                  </w:rPr>
                </w:pPr>
              </w:p>
            </w:tc>
            <w:tc>
              <w:tcPr>
                <w:tcW w:w="2984" w:type="pct"/>
                <w:gridSpan w:val="4"/>
                <w:shd w:val="clear" w:color="auto" w:fill="auto"/>
              </w:tcPr>
              <w:p w14:paraId="067B3949" w14:textId="7DD36541">
                <w:pPr>
                  <w:jc w:val="both"/>
                  <w:rPr>
                    <w:sz w:val="20"/>
                  </w:rPr>
                </w:pPr>
                <w:r>
                  <w:rPr>
                    <w:sz w:val="20"/>
                    <w:lang w:val="en-US"/>
                  </w:rPr>
                  <w:t xml:space="preserve">15. </w:t>
                </w:r>
                <w:r>
                  <w:rPr>
                    <w:sz w:val="20"/>
                  </w:rPr>
                  <w:t xml:space="preserve">Pažymime, kad Apraše siūloma keisti arba nustatyti daugiau naujų informacinių įpareigojimų, nei jų yra nurodyta ir jų sukeliama administracinė našta įvertinta Ataskaitoje Nr. 1, pvz., Aprašo </w:t>
                </w:r>
                <w:r>
                  <w:rPr>
                    <w:sz w:val="20"/>
                    <w:lang w:val="en-US"/>
                  </w:rPr>
                  <w:t>7.1</w:t>
                </w:r>
                <w:r>
                  <w:rPr>
                    <w:sz w:val="20"/>
                  </w:rPr>
                  <w:t xml:space="preserve"> papunktyje nustatyta, kad paslaugos teikėjas privalo paslaugos teikimo vietoje ir interneto svetainėje (jei tokią turi) pateikti gamintojų, kurių transporto priemonių techninę priežiūrą ir (ar) remontą atlieka, sąrašą su nurodytais gamintojais, kurių transporto priemonės remonto ir priežiūros informaciją turi ir naudoja, atliekamomis procedūromis ar technologiniais procesais ir jų kainomis ar kainų rėžiais arba valandiniais įkainiais, paslaugos įvykdymo terminais, garantijos terminais ir sąlygomis; Aprašo 7.6 papunktyje nustatyta, kad paslaugos teikėjai privalo saugoti rašytines paslaugų sutartis, kuriomis patvirtinamas susitarimas tarp transporto priemonės valdytojo ir paslaugos teikėjo dėl paslaugos atlikimo (užsakymo paraiška), ir kitus su paslaugos teikimu susijusius dokumentus ir duomenis (įskaitant nurodytus Aprašo X skyriuje) Lietuvos Respublikos dokumentų ir archyvų įstatymo nustatyta tvarka (anksčiau dokumentų saugojimo terminas buvo </w:t>
                </w:r>
                <w:r>
                  <w:rPr>
                    <w:sz w:val="20"/>
                    <w:lang w:val="en-US"/>
                  </w:rPr>
                  <w:t>5</w:t>
                </w:r>
                <w:r>
                  <w:rPr>
                    <w:sz w:val="20"/>
                  </w:rPr>
                  <w:t xml:space="preserve"> metai); </w:t>
                </w:r>
                <w:r>
                  <w:rPr>
                    <w:b/>
                    <w:bCs/>
                    <w:sz w:val="20"/>
                  </w:rPr>
                  <w:t xml:space="preserve">Aprašo </w:t>
                </w:r>
                <w:r>
                  <w:rPr>
                    <w:b/>
                    <w:bCs/>
                    <w:sz w:val="20"/>
                    <w:lang w:val="en-US"/>
                  </w:rPr>
                  <w:t>23</w:t>
                </w:r>
                <w:r>
                  <w:rPr>
                    <w:b/>
                    <w:bCs/>
                    <w:sz w:val="20"/>
                  </w:rPr>
                  <w:t xml:space="preserve"> punkte nustatyta, kad po atliktų darbų atitiktis Teršalų išmetimo reikalavimuose nustatytoms normoms patvirtinama išmetamųjų dujų parametrų matavimu, kurio informacija pridedama prie užsakymo paraiškos ar kitų transporto priemonės valdytojui išduodamų dokumentų suteikus paslaugą</w:t>
                </w:r>
                <w:r>
                  <w:rPr>
                    <w:sz w:val="20"/>
                  </w:rPr>
                  <w:t xml:space="preserve">; Aprašo 26.3 papunktyje nustatyta, kad atliekant transporto priemonių oro kondicionavimo sistemų darbus privaloma turėti naudojamų ŠESD įsigijimą patvirtinančius dokumentus; Aprašo 29 punkte nustatyta, kad paslaugos gali būti pradėtos teikti tik 2 egzemplioriais užpildžius užsakymo paraiškos, kurios rekomenduojama forma nurodyta Aprašo 2 priede arba bet kokį kitą paslaugos teikėjo naudojamą dokumentą, atitinkantį Aprašo 2 priede nurodytos rekomenduojamos užsakymo paraiškos turinį (užsakymo paraiškoje turi būti nurodyta daugiau informacijos, lyginant su dabar galiojančiame teisės akte nustatyta informacija, pvz., turi būti nurodomas atliktų darbų skaičius, jų trukmė ir įkainis, transporto priemonės valdytojui perduotos išmontuotos pakartotinai naudoti tinkamos transporto priemonės dalys (anksčiau buvo nurodomos perdavimo-priėmimo akte), taip pat paaiškinimai ir rekomendacijos ir kt.); Aprašo 41.1 papunktyje nustatyta, kad paslaugos teikėjas privalo parengti atkuriamojo remonto procedūrų aprašymą, nurodydamas darbų būdus ir metodus; Aprašo 41.2 papunktyje nustatytas reikalavimas padaryti visų atkuriamojo remonto metu atliktų procedūrų, technologinių procesų ir pakeistų dalių nuotraukas (raiška – ne mažesnė kaip 1181×1795 pikselių) ar vaizdo įrašą apie remontuojamą transporto priemonę, kuris leistų identifikuoti tarpines atkuriamojo remonto procedūras ir pakeistas dalis, kurios tampa nematomos baigus atkuriamąjį remontą; Aprašo </w:t>
                </w:r>
                <w:r>
                  <w:rPr>
                    <w:sz w:val="20"/>
                    <w:lang w:val="en-US"/>
                  </w:rPr>
                  <w:t>2</w:t>
                </w:r>
                <w:r>
                  <w:rPr>
                    <w:sz w:val="20"/>
                  </w:rPr>
                  <w:t xml:space="preserve"> priede prie užsakymo paraiškos, kai yra atliekama transporto priemonės borto diagnostika (angl. OBD), turi būti pateikiami papildomi dokumentai kaip priedas (pvz., ataskaita).</w:t>
                </w:r>
              </w:p>
              <w:p w14:paraId="163F648D" w14:textId="3D3ADD85">
                <w:pPr>
                  <w:ind w:firstLine="720"/>
                  <w:jc w:val="both"/>
                  <w:rPr>
                    <w:sz w:val="20"/>
                  </w:rPr>
                </w:pPr>
                <w:r>
                  <w:rPr>
                    <w:sz w:val="20"/>
                  </w:rPr>
                  <w:t xml:space="preserve">Taip pat Apraše yra siūloma nustatyti įpareigojimų, sukeliančių ūkio subjektams prisitaikymo prie reguliavimo išlaidas, pvz., Aprašo 7.2 papunktyje nustatytas reikalavimas turėti ir naudoti diagnostikai skirtą įrangą, taip pat kitą įrangą, įrankius ir (ar) matavimo priemones, kurios reikalingos konkretiems darbams atlikti; Aprašo 7.4 papunktyje nustatytas reikalavimas turėti paslaugai teikti reikalingą kvalifikaciją ir kompetenciją, kurią parodo transporto priemonės ar jų dalių, įrangos, komponentų, sistemos gamintojo, taip pat diagnostikai skirtos įrangos gamintojo arba švietimo teikėjų išduoti dokumentai; Aprašo 7.5 papunktyje nustatyta pareiga paslaugų teikėjams užtikrinti darbus atliekančių darbuotojų techninės priežiūros ir (ar) remonto žinių atnaujinimą supažindinant su gamintojų pažanga ir įdiegtomis naujovėmis transporto priemonių gamyboje bei gebėti tai patvirtinti gamintojų arba švietimo teikėjų išduotais dokumentais (kas </w:t>
                </w:r>
                <w:r>
                  <w:rPr>
                    <w:sz w:val="20"/>
                    <w:lang w:val="en-US"/>
                  </w:rPr>
                  <w:t>3</w:t>
                </w:r>
                <w:r>
                  <w:rPr>
                    <w:sz w:val="20"/>
                  </w:rPr>
                  <w:t xml:space="preserve"> metus arba gamintojo nustatytu periodiškumu); Aprašo 26.4 papunktyje nustatyta, kad atliekant transporto priemonių oro kondicionavimo sistemų darbus privaloma šiems darbams turėti kompetenciją patvirtinantį dokumentą.</w:t>
                </w:r>
              </w:p>
            </w:tc>
            <w:tc>
              <w:tcPr>
                <w:tcW w:w="1295" w:type="pct"/>
                <w:shd w:val="clear" w:color="auto" w:fill="auto"/>
              </w:tcPr>
              <w:p w14:paraId="14F825EB" w14:textId="50C8F9E2">
                <w:pPr>
                  <w:jc w:val="both"/>
                  <w:rPr>
                    <w:b/>
                    <w:bCs/>
                    <w:color w:val="FF0000"/>
                    <w:sz w:val="20"/>
                  </w:rPr>
                </w:pPr>
                <w:r>
                  <w:rPr>
                    <w:b/>
                    <w:bCs/>
                    <w:sz w:val="20"/>
                  </w:rPr>
                  <w:t>Atsižvelgta iš dalies.</w:t>
                </w:r>
                <w:r>
                  <w:rPr>
                    <w:b/>
                    <w:bCs/>
                    <w:color w:val="FF0000"/>
                    <w:sz w:val="20"/>
                  </w:rPr>
                  <w:t xml:space="preserve"> </w:t>
                </w:r>
                <w:r>
                  <w:rPr>
                    <w:sz w:val="20"/>
                  </w:rPr>
                  <w:t>Įvertinta 25 p. numatomo informacinio įpareigojimo administracinė našta (pateikta ataskaitoje).</w:t>
                </w:r>
              </w:p>
              <w:p w14:paraId="190142B4" w14:textId="7EC9D417">
                <w:pPr>
                  <w:jc w:val="both"/>
                  <w:rPr>
                    <w:i/>
                    <w:iCs/>
                    <w:color w:val="000000"/>
                    <w:sz w:val="20"/>
                  </w:rPr>
                </w:pPr>
                <w:r>
                  <w:rPr>
                    <w:color w:val="000000"/>
                    <w:sz w:val="20"/>
                  </w:rPr>
                  <w:t>Kita administracinė našta nebus vertinama, nes teisės akto projekte nenustatomi nauji įpareigojimai ūkio subjektams, tik patikslinami dabar galiojantys reikalavimai, kurie nustatyti Valstybinės kelių transporto inspekcijos prie Susisiekimo ministerijos viršininko 2016 m vasario 1 d. įsakymu Nr.2BE-45 „Dėl Transporto priemonių techninio aptarnavimo ir remonto paslaugų teikimo tvarkos aprašo patvirtinimo“ patvirtintame Transporto priemonių techninio aptarnavimo ir remonto paslaugų teikimo tvarkos apraše ir Lietuvos standarte</w:t>
                </w:r>
                <w:r>
                  <w:rPr>
                    <w:color w:val="656565"/>
                    <w:sz w:val="20"/>
                    <w:lang w:val="en-US"/>
                  </w:rPr>
                  <w:t xml:space="preserve"> </w:t>
                </w:r>
                <w:r>
                  <w:rPr>
                    <w:color w:val="000000"/>
                    <w:sz w:val="20"/>
                  </w:rPr>
                  <w:t>LST 1438:2016</w:t>
                </w:r>
                <w:r>
                  <w:rPr>
                    <w:i/>
                    <w:iCs/>
                    <w:color w:val="000000"/>
                    <w:sz w:val="20"/>
                  </w:rPr>
                  <w:t xml:space="preserve"> </w:t>
                </w:r>
                <w:r>
                  <w:rPr>
                    <w:color w:val="000000"/>
                    <w:sz w:val="20"/>
                  </w:rPr>
                  <w:t>Motorinių transporto priemonių ir jų priekabų techninė priežiūra ir remontas. Paslaugoms keliami reikalavimai</w:t>
                </w:r>
                <w:r>
                  <w:rPr>
                    <w:i/>
                    <w:iCs/>
                    <w:color w:val="000000"/>
                    <w:sz w:val="20"/>
                  </w:rPr>
                  <w:t>.</w:t>
                </w:r>
              </w:p>
            </w:tc>
          </w:tr>
          <w:tr w14:paraId="01DADE21" w14:textId="77777777">
            <w:tc>
              <w:tcPr>
                <w:tcW w:w="179" w:type="pct"/>
                <w:shd w:val="clear" w:color="auto" w:fill="auto"/>
              </w:tcPr>
              <w:p w14:paraId="7C274762" w14:textId="737A098C">
                <w:pPr>
                  <w:ind w:left="340" w:hanging="360"/>
                  <w:jc w:val="both"/>
                  <w:rPr>
                    <w:sz w:val="20"/>
                  </w:rPr>
                </w:pPr>
                <w:r>
                  <w:rPr>
                    <w:sz w:val="20"/>
                  </w:rPr>
                  <w:t>24.</w:t>
                  <w:tab/>
                </w:r>
              </w:p>
            </w:tc>
            <w:tc>
              <w:tcPr>
                <w:tcW w:w="542" w:type="pct"/>
                <w:vMerge/>
                <w:shd w:val="clear" w:color="auto" w:fill="auto"/>
              </w:tcPr>
              <w:p w14:paraId="09EA7E08" w14:textId="77777777">
                <w:pPr>
                  <w:jc w:val="both"/>
                  <w:rPr>
                    <w:b/>
                    <w:bCs/>
                    <w:sz w:val="20"/>
                  </w:rPr>
                </w:pPr>
              </w:p>
            </w:tc>
            <w:tc>
              <w:tcPr>
                <w:tcW w:w="2984" w:type="pct"/>
                <w:gridSpan w:val="4"/>
                <w:shd w:val="clear" w:color="auto" w:fill="auto"/>
              </w:tcPr>
              <w:p w14:paraId="7CEB1430" w14:textId="77777777">
                <w:pPr>
                  <w:jc w:val="both"/>
                  <w:rPr>
                    <w:sz w:val="20"/>
                  </w:rPr>
                </w:pPr>
                <w:r>
                  <w:rPr>
                    <w:sz w:val="20"/>
                  </w:rPr>
                  <w:t xml:space="preserve">Pažymime, kad Lietuvos Respublikos Vyriausybė 2022 m. balandžio 6 d. nutarimu Nr. 333 „Dėl Lietuvos Respublikos Vyriausybės 2012 m. sausio 11 d. nutarimo Nr. 4 „Dėl Administracinės naštos ūkio subjektams nustatymo metodikos patvirtinimo“ pakeitimo“ (toliau – nutarimas) patvirtino Ūkio subjektų administracinės naštos ir prisitaikymo prie reguliavimo išlaidų vertinimo metodiką (toliau – Metodika), kuri įsigaliojo nuo 2022 m. balandžio 8 d. Atsižvelgiant į tai, kad Jūsų pateiktą derinti Ataskaitą Nr. 1 reikia papildyti minėtais naujais administracinę naštą ūkio subjektams sukeliančiais Aprašo punktais, prašome, vadovaujantis Metodika, įvertinti pinigine išraiška Projektu sukeliamą administracinės naštos pokytį ūkio subjektams ir Teisės aktu sukeliamų arba teisės akto projektu galimų sukelti ūkio subjektų prisitaikymo prie reguliavimo išlaidų apskaičiavimo ataskaitą (toliau – Ataskaita Nr. </w:t>
                </w:r>
                <w:r>
                  <w:rPr>
                    <w:sz w:val="20"/>
                    <w:lang w:val="en-US"/>
                  </w:rPr>
                  <w:t xml:space="preserve">2) </w:t>
                </w:r>
                <w:r>
                  <w:rPr>
                    <w:sz w:val="20"/>
                  </w:rPr>
                  <w:t xml:space="preserve">pateikti Ekonomikos ir inovacijų ministerijai išvadoms gauti. Į Ataskaitą Nr. </w:t>
                </w:r>
                <w:r>
                  <w:rPr>
                    <w:sz w:val="20"/>
                    <w:lang w:val="en-US"/>
                  </w:rPr>
                  <w:t>2</w:t>
                </w:r>
                <w:r>
                  <w:rPr>
                    <w:sz w:val="20"/>
                  </w:rPr>
                  <w:t xml:space="preserve"> turi būti perkelti ir šiuo metu Ataskaitoje Nr. 1 nurodyti ir pagal šio rašto </w:t>
                </w:r>
                <w:r>
                  <w:rPr>
                    <w:sz w:val="20"/>
                    <w:lang w:val="en-US"/>
                  </w:rPr>
                  <w:t>14</w:t>
                </w:r>
                <w:r>
                  <w:rPr>
                    <w:sz w:val="20"/>
                  </w:rPr>
                  <w:t xml:space="preserve"> pastabą patikslinti skaičiavimai. </w:t>
                </w:r>
              </w:p>
              <w:p w14:paraId="03F19D1A" w14:textId="61728346">
                <w:pPr>
                  <w:ind w:firstLine="720"/>
                  <w:jc w:val="both"/>
                  <w:rPr>
                    <w:sz w:val="20"/>
                    <w:lang w:val="en-US"/>
                  </w:rPr>
                </w:pPr>
                <w:r>
                  <w:rPr>
                    <w:sz w:val="20"/>
                  </w:rPr>
                  <w:t xml:space="preserve">Be to, pažymime, kad remiantis nutarimu, institucijoms rekomenduojama įvertinti ir teisės aktų projektais sukeliamas prisitaikymo prie reguliavimo išlaidas. Atsižvelgiant į tai, prašome papildyti Ataskaitą Nr. </w:t>
                </w:r>
                <w:r>
                  <w:rPr>
                    <w:sz w:val="20"/>
                    <w:lang w:val="en-US"/>
                  </w:rPr>
                  <w:t>2</w:t>
                </w:r>
                <w:r>
                  <w:rPr>
                    <w:sz w:val="20"/>
                  </w:rPr>
                  <w:t xml:space="preserve"> ir dėl minėtų įpareigojimų sukeliamų prisitaikymo prie reguliavimo išlaidų ūkio subjektams skaičiavimais.</w:t>
                </w:r>
              </w:p>
            </w:tc>
            <w:tc>
              <w:tcPr>
                <w:tcW w:w="1295" w:type="pct"/>
                <w:shd w:val="clear" w:color="auto" w:fill="auto"/>
              </w:tcPr>
              <w:p w14:paraId="38FB269D" w14:textId="77777777">
                <w:pPr>
                  <w:jc w:val="both"/>
                  <w:rPr>
                    <w:b/>
                    <w:bCs/>
                    <w:sz w:val="20"/>
                  </w:rPr>
                </w:pPr>
                <w:r>
                  <w:rPr>
                    <w:b/>
                    <w:bCs/>
                    <w:sz w:val="20"/>
                  </w:rPr>
                  <w:t>Neatsižvelgta.</w:t>
                </w:r>
              </w:p>
              <w:p w14:paraId="672497A7" w14:textId="1605169A">
                <w:pPr>
                  <w:jc w:val="both"/>
                  <w:rPr>
                    <w:b/>
                    <w:bCs/>
                    <w:sz w:val="20"/>
                  </w:rPr>
                </w:pPr>
                <w:r>
                  <w:rPr>
                    <w:sz w:val="20"/>
                  </w:rPr>
                  <w:t xml:space="preserve">Ekonomikos ir inovacijų ministerijos </w:t>
                </w:r>
                <w:r>
                  <w:rPr>
                    <w:color w:val="0563C1"/>
                    <w:sz w:val="20"/>
                    <w:u w:val="single"/>
                  </w:rPr>
                  <w:t>skelbiamoje informacijoje</w:t>
                </w:r>
                <w:r>
                  <w:rPr>
                    <w:sz w:val="20"/>
                  </w:rPr>
                  <w:t xml:space="preserve"> apie ūkio subjektų prisitaikymo prie reguliavimo išlaidų vertinimo metodikos koncepcijoje minima, kad 2022 m. institucijoms tik </w:t>
                </w:r>
                <w:r>
                  <w:rPr>
                    <w:b/>
                    <w:bCs/>
                    <w:sz w:val="20"/>
                  </w:rPr>
                  <w:t>rekomenduojama</w:t>
                </w:r>
                <w:r>
                  <w:rPr>
                    <w:sz w:val="20"/>
                  </w:rPr>
                  <w:t xml:space="preserve"> vertinti įpareigojimais sukeliamą pokytį ūkio subjektams.</w:t>
                </w:r>
              </w:p>
            </w:tc>
          </w:tr>
          <w:tr w14:paraId="2E14164A" w14:textId="77777777">
            <w:tc>
              <w:tcPr>
                <w:tcW w:w="179" w:type="pct"/>
                <w:shd w:val="clear" w:color="auto" w:fill="auto"/>
              </w:tcPr>
              <w:p w14:paraId="3729737A" w14:textId="1D6CE2B0">
                <w:pPr>
                  <w:ind w:left="340" w:hanging="360"/>
                  <w:jc w:val="both"/>
                  <w:rPr>
                    <w:sz w:val="20"/>
                  </w:rPr>
                </w:pPr>
                <w:r>
                  <w:rPr>
                    <w:sz w:val="20"/>
                  </w:rPr>
                  <w:t>25.</w:t>
                  <w:tab/>
                </w:r>
              </w:p>
            </w:tc>
            <w:tc>
              <w:tcPr>
                <w:tcW w:w="542" w:type="pct"/>
                <w:vMerge w:val="restart"/>
                <w:shd w:val="clear" w:color="auto" w:fill="auto"/>
              </w:tcPr>
              <w:p w14:paraId="0A388AAA" w14:textId="77777777">
                <w:pPr>
                  <w:jc w:val="both"/>
                  <w:rPr>
                    <w:sz w:val="20"/>
                  </w:rPr>
                </w:pPr>
                <w:r>
                  <w:rPr>
                    <w:sz w:val="20"/>
                  </w:rPr>
                  <w:t>Asociacija „Už saugų automobilį Lietuvoje“</w:t>
                </w:r>
              </w:p>
              <w:p w14:paraId="4C3FF0E0" w14:textId="362C4F89">
                <w:pPr>
                  <w:jc w:val="both"/>
                  <w:rPr>
                    <w:b/>
                    <w:bCs/>
                    <w:sz w:val="20"/>
                  </w:rPr>
                </w:pPr>
                <w:r>
                  <w:rPr>
                    <w:sz w:val="20"/>
                  </w:rPr>
                  <w:t>(2022-08-05, reg. Nr. b/n)</w:t>
                </w:r>
              </w:p>
            </w:tc>
            <w:tc>
              <w:tcPr>
                <w:tcW w:w="2984" w:type="pct"/>
                <w:gridSpan w:val="4"/>
                <w:shd w:val="clear" w:color="auto" w:fill="auto"/>
              </w:tcPr>
              <w:p w14:paraId="62BA14BC" w14:textId="61B2FF80">
                <w:pPr>
                  <w:jc w:val="both"/>
                  <w:rPr>
                    <w:color w:val="000000"/>
                    <w:sz w:val="20"/>
                  </w:rPr>
                </w:pPr>
                <w:r>
                  <w:rPr>
                    <w:sz w:val="20"/>
                  </w:rPr>
                  <w:t>5.10. Pagal Aprašo projektą atsiranda galimybė transporto priemonių oro kondicionavimo sistemų pildymą atlikinėti iš esmės bet kur (t.y. tam nepritaikytose ir reikalavimų neatitinkančiose vietose). Tačiau, tam nepritaikytose patalpose / statiniuose ir neturint visos tam reikalingos įrangos, nustatyti ir tinkamai bei saugiu sau, aplinkiniams ir aplinkai būdu pašalinti oro kondicionavimo sistemos gedimą yra objektyviai neįmanoma.</w:t>
                </w:r>
              </w:p>
              <w:p w14:paraId="4C08AE3F" w14:textId="39899E00">
                <w:pPr>
                  <w:jc w:val="both"/>
                  <w:rPr>
                    <w:sz w:val="20"/>
                  </w:rPr>
                </w:pPr>
              </w:p>
            </w:tc>
            <w:tc>
              <w:tcPr>
                <w:tcW w:w="1295" w:type="pct"/>
                <w:shd w:val="clear" w:color="auto" w:fill="auto"/>
              </w:tcPr>
              <w:p w14:paraId="2CBAC4F8" w14:textId="6FB551A6">
                <w:pPr>
                  <w:jc w:val="both"/>
                  <w:rPr>
                    <w:sz w:val="20"/>
                  </w:rPr>
                </w:pPr>
                <w:r>
                  <w:rPr>
                    <w:b/>
                    <w:bCs/>
                    <w:sz w:val="20"/>
                  </w:rPr>
                  <w:t>Neatsižvelgta.</w:t>
                </w:r>
              </w:p>
              <w:p w14:paraId="04117DCF" w14:textId="0A3AA5AF">
                <w:pPr>
                  <w:jc w:val="both"/>
                  <w:rPr>
                    <w:sz w:val="20"/>
                  </w:rPr>
                </w:pPr>
                <w:r>
                  <w:rPr>
                    <w:sz w:val="20"/>
                  </w:rPr>
                  <w:t>Reikalavimai patalpoms oro kondicionavimo sistemų pildymui nenustatomi dėl šios paslaugos specifikos, medžiagų lakumo, paplitusios praktikos įrangos tikrinimą atlikti vakuuminiais siurbliais, remonto patalpoms keliamų specifinių reikalavimų.</w:t>
                </w:r>
              </w:p>
            </w:tc>
          </w:tr>
          <w:tr w14:paraId="4BC04F98" w14:textId="77777777">
            <w:tc>
              <w:tcPr>
                <w:tcW w:w="179" w:type="pct"/>
                <w:shd w:val="clear" w:color="auto" w:fill="auto"/>
              </w:tcPr>
              <w:p w14:paraId="749C899C" w14:textId="0CF6B62A">
                <w:pPr>
                  <w:ind w:left="340" w:hanging="360"/>
                  <w:jc w:val="both"/>
                  <w:rPr>
                    <w:sz w:val="20"/>
                  </w:rPr>
                </w:pPr>
                <w:r>
                  <w:rPr>
                    <w:sz w:val="20"/>
                  </w:rPr>
                  <w:t>26.</w:t>
                  <w:tab/>
                </w:r>
              </w:p>
            </w:tc>
            <w:tc>
              <w:tcPr>
                <w:tcW w:w="542" w:type="pct"/>
                <w:vMerge/>
                <w:shd w:val="clear" w:color="auto" w:fill="auto"/>
              </w:tcPr>
              <w:p w14:paraId="345810AC" w14:textId="77777777">
                <w:pPr>
                  <w:jc w:val="both"/>
                  <w:rPr>
                    <w:b/>
                    <w:bCs/>
                    <w:sz w:val="20"/>
                  </w:rPr>
                </w:pPr>
              </w:p>
            </w:tc>
            <w:tc>
              <w:tcPr>
                <w:tcW w:w="2984" w:type="pct"/>
                <w:gridSpan w:val="4"/>
                <w:shd w:val="clear" w:color="auto" w:fill="auto"/>
              </w:tcPr>
              <w:p w14:paraId="318458A6" w14:textId="4D6C39BF">
                <w:pPr>
                  <w:jc w:val="both"/>
                  <w:rPr>
                    <w:sz w:val="20"/>
                    <w:lang w:val="en-US"/>
                  </w:rPr>
                </w:pPr>
                <w:r>
                  <w:rPr>
                    <w:sz w:val="20"/>
                  </w:rPr>
                  <w:t>5.12. Aprašo projekto 39 p. numatyta, kad “</w:t>
                </w:r>
                <w:r>
                  <w:rPr>
                    <w:i/>
                    <w:iCs/>
                    <w:sz w:val="20"/>
                  </w:rPr>
                  <w:t>paslaugos kokybės garantiją paslaugos teikėjas suteikia Lietuvos Respublikos civilinio kodekso nustatyta tvarka</w:t>
                </w:r>
                <w:r>
                  <w:rPr>
                    <w:sz w:val="20"/>
                  </w:rPr>
                  <w:t>”. Kyla klausimas kokio laikotarpio garantiją ir dėl ko suteiktų oro kondicionavimo sistemą užpildęs paslaugos teikėjas? Asociacijos nuomone, garantijos suteikimas aptariamu atveju reiškia nebent tai, kad paslaugos teikėjas nebus atsakingas už tai, kad dujos iš sistemos nutekėjo lėčiau nei per garantinį terminą, arba dar kartą pildys nesandarią sistemą, jei dujos nutekės anksčiau. Daugiau jokia atsakomybė paslaugų teikėjui nėra, nors turėtų būti, numatyta. Galiausiai, kas visa tai kontroliuos ir kokios bus pasekmės nustačius pažeidimus?</w:t>
                </w:r>
              </w:p>
            </w:tc>
            <w:tc>
              <w:tcPr>
                <w:tcW w:w="1295" w:type="pct"/>
                <w:shd w:val="clear" w:color="auto" w:fill="auto"/>
              </w:tcPr>
              <w:p w14:paraId="3D499AB1" w14:textId="5D69300A">
                <w:pPr>
                  <w:jc w:val="both"/>
                  <w:rPr>
                    <w:sz w:val="20"/>
                  </w:rPr>
                </w:pPr>
                <w:r>
                  <w:rPr>
                    <w:sz w:val="20"/>
                  </w:rPr>
                  <w:t xml:space="preserve">Atsakant į pateiktus klausimus, aplinkosaugos reikalavimų pažeidimų kontrolę vykdo Aplinkos apsaugos departamentas. Pagal Administracinių nusižengimų kodekso (ANK) 309 str. Numatyta atsakomybė už F-dujų išleidimą į atmosferą. Pažymėtina, kad šiuo metu vykdoma ANK peržiūra ir artimiausiu metu bus nustatyta griežtesnė atsakomybė už pažeidimus F-dujų srityje.  </w:t>
                </w:r>
              </w:p>
            </w:tc>
          </w:tr>
          <w:tr w14:paraId="3F26A817" w14:textId="77777777">
            <w:tc>
              <w:tcPr>
                <w:tcW w:w="179" w:type="pct"/>
                <w:shd w:val="clear" w:color="auto" w:fill="auto"/>
              </w:tcPr>
              <w:p w14:paraId="159D8D84" w14:textId="2555ABC9">
                <w:pPr>
                  <w:ind w:left="340" w:hanging="360"/>
                  <w:jc w:val="both"/>
                  <w:rPr>
                    <w:sz w:val="20"/>
                  </w:rPr>
                </w:pPr>
                <w:r>
                  <w:rPr>
                    <w:sz w:val="20"/>
                  </w:rPr>
                  <w:t>27.</w:t>
                  <w:tab/>
                </w:r>
              </w:p>
            </w:tc>
            <w:tc>
              <w:tcPr>
                <w:tcW w:w="542" w:type="pct"/>
                <w:vMerge w:val="restart"/>
                <w:shd w:val="clear" w:color="auto" w:fill="auto"/>
              </w:tcPr>
              <w:p w14:paraId="3FA2785B" w14:textId="77777777">
                <w:pPr>
                  <w:jc w:val="both"/>
                  <w:rPr>
                    <w:sz w:val="20"/>
                  </w:rPr>
                </w:pPr>
                <w:r>
                  <w:rPr>
                    <w:sz w:val="20"/>
                  </w:rPr>
                  <w:t>Valstybinė mokesčių inspekcija prie Finansų ministerijos</w:t>
                </w:r>
              </w:p>
              <w:p w14:paraId="584AC882" w14:textId="74D3C399">
                <w:pPr>
                  <w:jc w:val="both"/>
                  <w:rPr>
                    <w:sz w:val="20"/>
                  </w:rPr>
                </w:pPr>
                <w:r>
                  <w:rPr>
                    <w:sz w:val="20"/>
                  </w:rPr>
                  <w:t>(</w:t>
                </w:r>
                <w:r>
                  <w:rPr>
                    <w:color w:val="000000"/>
                    <w:sz w:val="20"/>
                    <w:shd w:val="clear" w:color="auto" w:fill="FFFFFF"/>
                  </w:rPr>
                  <w:t>2022-08-05, reg nr. R-3258)</w:t>
                </w:r>
              </w:p>
            </w:tc>
            <w:tc>
              <w:tcPr>
                <w:tcW w:w="2984" w:type="pct"/>
                <w:gridSpan w:val="4"/>
                <w:shd w:val="clear" w:color="auto" w:fill="auto"/>
              </w:tcPr>
              <w:p w14:paraId="3468496D" w14:textId="77777777">
                <w:pPr>
                  <w:widowControl w:val="0"/>
                  <w:suppressAutoHyphens/>
                  <w:jc w:val="both"/>
                  <w:rPr>
                    <w:b/>
                    <w:bCs/>
                    <w:sz w:val="20"/>
                  </w:rPr>
                </w:pPr>
                <w:r>
                  <w:rPr>
                    <w:b/>
                    <w:bCs/>
                    <w:sz w:val="20"/>
                  </w:rPr>
                  <w:t>Dėl Įsakymo, kuriuo tvirtinamas Aprašas, 2.1 ir 2.2 papunkčių</w:t>
                </w:r>
              </w:p>
              <w:p w14:paraId="1FD5B689" w14:textId="77777777">
                <w:pPr>
                  <w:widowControl w:val="0"/>
                  <w:suppressAutoHyphens/>
                  <w:jc w:val="both"/>
                  <w:rPr>
                    <w:sz w:val="20"/>
                  </w:rPr>
                </w:pPr>
                <w:r>
                  <w:rPr>
                    <w:sz w:val="20"/>
                  </w:rPr>
                  <w:t xml:space="preserve">Įsakymo, kuriuo tvirtinamas Aprašas, 2.1 ir 2.2 papunkčiai numato, kad transporto priemonių techninės priežiūros, remonto ir kt. paslaugų kontrolę vykdo Aplinkos apsaugos departamentas prie Aplinkos ministerijos ir Lietuvos transporto saugos asociacija. </w:t>
                </w:r>
              </w:p>
              <w:p w14:paraId="64C87ABC" w14:textId="77777777">
                <w:pPr>
                  <w:widowControl w:val="0"/>
                  <w:suppressAutoHyphens/>
                  <w:jc w:val="both"/>
                  <w:rPr>
                    <w:sz w:val="20"/>
                  </w:rPr>
                </w:pPr>
                <w:r>
                  <w:rPr>
                    <w:sz w:val="20"/>
                  </w:rPr>
                  <w:t>Kadangi savo esme užsakymo paraiška patvirtina paslaugos užsakymą ir suteikimą, jos užpildymą taip pat vertina ir kitos kontroliuojančios institucijos (Valstybinė mokesčių inspekcija, Finansinių nusikaltimų tyrimo tarnyba prie Vidaus reikalų ministerijos, Policija, ir kt.), vykdydamos joms teisės aktais deleguotas funkcijas. Aprašu neturi būti apribojamos galimybės kitoms kontroliuojančioms institucijoms vykdyti užsakymo paraiškų užpildymo vertinimą savo kompetencijos ribose. Todėl jei šio teisės akto nuostatų kontrolę vykdys tik dvi teisės akte minimos institucijos, kitos galinčios nustatyti pažeidimą ir surašyti administracinio nusižengimo protokolą institucijos turės surinktą pažeidimo nustatymo medžiagą persiųsti protokolui surašyti Aplinkos apsaugos departamentui prie Aplinkos ministerijos ar Lietuvos transporto saugos administracijai, užuot pačios užbaigusios administracinę teiseną. Mūsų vertinimu, tokiu būdu būtų didinama administracinė našta.</w:t>
                </w:r>
              </w:p>
              <w:p w14:paraId="47FB0EF9" w14:textId="577F55D2">
                <w:pPr>
                  <w:widowControl w:val="0"/>
                  <w:suppressAutoHyphens/>
                  <w:jc w:val="both"/>
                  <w:rPr>
                    <w:sz w:val="20"/>
                  </w:rPr>
                </w:pPr>
                <w:r>
                  <w:rPr>
                    <w:sz w:val="20"/>
                  </w:rPr>
                  <w:t>Atsižvelgdami į tai, siūlome papildyti 2.3 papunkčiu, nurodant, kad kontrolę vykdo ir kitos kontroliuojančios institucijos, jų kompetencijos ribose.</w:t>
                </w:r>
              </w:p>
            </w:tc>
            <w:tc>
              <w:tcPr>
                <w:tcW w:w="1295" w:type="pct"/>
                <w:shd w:val="clear" w:color="auto" w:fill="auto"/>
              </w:tcPr>
              <w:p w14:paraId="5A5F673C" w14:textId="37522902">
                <w:pPr>
                  <w:spacing w:line="259" w:lineRule="auto"/>
                  <w:jc w:val="both"/>
                  <w:rPr>
                    <w:b/>
                    <w:bCs/>
                    <w:sz w:val="20"/>
                  </w:rPr>
                </w:pPr>
                <w:r>
                  <w:rPr>
                    <w:b/>
                    <w:bCs/>
                    <w:sz w:val="20"/>
                  </w:rPr>
                  <w:t>Neatsižvelgta.</w:t>
                </w:r>
              </w:p>
              <w:p w14:paraId="057A47F1" w14:textId="20292350">
                <w:pPr>
                  <w:jc w:val="both"/>
                  <w:rPr>
                    <w:sz w:val="20"/>
                  </w:rPr>
                </w:pPr>
                <w:r>
                  <w:rPr>
                    <w:sz w:val="20"/>
                  </w:rPr>
                  <w:t xml:space="preserve">Dviejų tam tikrų sričių ministrų įsakymu negalima nustatyti įpareigojimų, kurie nėra suteikti įstatymu, kitos ministerijoms pavaldžioms institucijoms atlikti tam tikrą kontrolę. Siūlome atitinkamus įpareigojimus įteisinti  atitinkamos institucijos teisės aktuose. </w:t>
                </w:r>
              </w:p>
            </w:tc>
          </w:tr>
          <w:tr w14:paraId="586636E9" w14:textId="77777777">
            <w:tc>
              <w:tcPr>
                <w:tcW w:w="179" w:type="pct"/>
                <w:shd w:val="clear" w:color="auto" w:fill="auto"/>
              </w:tcPr>
              <w:p w14:paraId="6BDBC9CC" w14:textId="7A5F68EE">
                <w:pPr>
                  <w:ind w:left="340" w:hanging="360"/>
                  <w:jc w:val="both"/>
                  <w:rPr>
                    <w:sz w:val="20"/>
                  </w:rPr>
                </w:pPr>
                <w:r>
                  <w:rPr>
                    <w:sz w:val="20"/>
                  </w:rPr>
                  <w:t>28.</w:t>
                  <w:tab/>
                </w:r>
              </w:p>
            </w:tc>
            <w:tc>
              <w:tcPr>
                <w:tcW w:w="542" w:type="pct"/>
                <w:vMerge/>
                <w:shd w:val="clear" w:color="auto" w:fill="auto"/>
              </w:tcPr>
              <w:p w14:paraId="69D980C2" w14:textId="77777777">
                <w:pPr>
                  <w:jc w:val="both"/>
                  <w:rPr>
                    <w:b/>
                    <w:bCs/>
                    <w:sz w:val="20"/>
                  </w:rPr>
                </w:pPr>
              </w:p>
            </w:tc>
            <w:tc>
              <w:tcPr>
                <w:tcW w:w="2984" w:type="pct"/>
                <w:gridSpan w:val="4"/>
                <w:shd w:val="clear" w:color="auto" w:fill="auto"/>
              </w:tcPr>
              <w:p w14:paraId="57D3591A" w14:textId="77777777">
                <w:pPr>
                  <w:widowControl w:val="0"/>
                  <w:suppressAutoHyphens/>
                  <w:jc w:val="both"/>
                  <w:rPr>
                    <w:b/>
                    <w:bCs/>
                    <w:sz w:val="20"/>
                  </w:rPr>
                </w:pPr>
                <w:r>
                  <w:rPr>
                    <w:b/>
                    <w:bCs/>
                    <w:sz w:val="20"/>
                  </w:rPr>
                  <w:t>Dėl Aprašo 29 punkto</w:t>
                </w:r>
              </w:p>
              <w:p w14:paraId="620E2478" w14:textId="77777777">
                <w:pPr>
                  <w:widowControl w:val="0"/>
                  <w:suppressAutoHyphens/>
                  <w:jc w:val="both"/>
                  <w:rPr>
                    <w:sz w:val="20"/>
                  </w:rPr>
                </w:pPr>
                <w:r>
                  <w:rPr>
                    <w:sz w:val="20"/>
                  </w:rPr>
                  <w:t>Aprašo 29 punktu siūloma nustatyti, kad paslaugos gali būti pradėtos teikti tik 2 egzemplioriais užpildžius užsakymo paraiškos, kurios rekomenduojama forma nurodyta Aprašo 2 priede, 1 dalį „Paslaugos pradžia“ arba bet kokį kitą paslaugos teikėjo naudojamą dokumentą, atitinkantį Aprašo 2 priede nurodytos rekomenduojamos užsakymo paraiškos turinį, ir perdavus vieną egzempliorių transporto priemonės valdytojui. Užsakymo paraiška gali būti pildoma elektronine forma, užpildyta paraiška turi būti perduota transporto priemonės valdytojui elektroniniu paštu.</w:t>
                </w:r>
              </w:p>
              <w:p w14:paraId="582D70CF" w14:textId="18E94FE0">
                <w:pPr>
                  <w:widowControl w:val="0"/>
                  <w:suppressAutoHyphens/>
                  <w:jc w:val="both"/>
                  <w:rPr>
                    <w:sz w:val="20"/>
                  </w:rPr>
                </w:pPr>
                <w:r>
                  <w:rPr>
                    <w:sz w:val="20"/>
                  </w:rPr>
                  <w:t>Mūsų nuomone, užsakymo paraiškos, kurios yra prilyginamos paslaugų teikimo sutartims, turi turėti numerio, paremto serija (serijomis), unikalumą, t. y. skirtingose užsakymo paraiškose negali būti nurodomas tas pats numeris (paremtas ta pačia serija) ar pan. Paslaugos teikėjas privalo tvarkyti užsakymo paraiškų apskaitą, į ją įtraukdamas visas užsakymo paraiškas. Tai turėtų būti akcentuojama Apraše.</w:t>
                </w:r>
              </w:p>
            </w:tc>
            <w:tc>
              <w:tcPr>
                <w:tcW w:w="1295" w:type="pct"/>
                <w:shd w:val="clear" w:color="auto" w:fill="auto"/>
              </w:tcPr>
              <w:p w14:paraId="63596BB6" w14:textId="2D0FF610">
                <w:pPr>
                  <w:jc w:val="both"/>
                  <w:rPr>
                    <w:b/>
                    <w:bCs/>
                    <w:sz w:val="20"/>
                  </w:rPr>
                </w:pPr>
                <w:r>
                  <w:rPr>
                    <w:b/>
                    <w:bCs/>
                    <w:sz w:val="20"/>
                  </w:rPr>
                  <w:t>Neatsižvelgta.</w:t>
                </w:r>
              </w:p>
              <w:p w14:paraId="624DA956" w14:textId="441D1A01">
                <w:pPr>
                  <w:jc w:val="both"/>
                  <w:rPr>
                    <w:sz w:val="20"/>
                  </w:rPr>
                </w:pPr>
                <w:r>
                  <w:rPr>
                    <w:sz w:val="20"/>
                  </w:rPr>
                  <w:t>Manoma, kad pateiktoje užsakymo paraiškos formoje numatyta paraiškos data ir numeris yra pakankami atsekti suteiktos paslaugos apimtis konkrečiai transporto priemonei.</w:t>
                </w:r>
              </w:p>
            </w:tc>
          </w:tr>
          <w:tr w14:paraId="5C5C19A3" w14:textId="77777777">
            <w:tc>
              <w:tcPr>
                <w:tcW w:w="179" w:type="pct"/>
                <w:shd w:val="clear" w:color="auto" w:fill="auto"/>
              </w:tcPr>
              <w:p w14:paraId="0083DE3D" w14:textId="040A4842">
                <w:pPr>
                  <w:ind w:left="340" w:hanging="360"/>
                  <w:jc w:val="both"/>
                  <w:rPr>
                    <w:sz w:val="20"/>
                  </w:rPr>
                </w:pPr>
                <w:r>
                  <w:rPr>
                    <w:sz w:val="20"/>
                  </w:rPr>
                  <w:t>29.</w:t>
                  <w:tab/>
                </w:r>
              </w:p>
            </w:tc>
            <w:tc>
              <w:tcPr>
                <w:tcW w:w="542" w:type="pct"/>
                <w:vMerge/>
                <w:shd w:val="clear" w:color="auto" w:fill="auto"/>
              </w:tcPr>
              <w:p w14:paraId="5DF173E5" w14:textId="77777777">
                <w:pPr>
                  <w:jc w:val="both"/>
                  <w:rPr>
                    <w:b/>
                    <w:bCs/>
                    <w:sz w:val="20"/>
                  </w:rPr>
                </w:pPr>
              </w:p>
            </w:tc>
            <w:tc>
              <w:tcPr>
                <w:tcW w:w="2984" w:type="pct"/>
                <w:gridSpan w:val="4"/>
                <w:shd w:val="clear" w:color="auto" w:fill="auto"/>
              </w:tcPr>
              <w:p w14:paraId="03A23AA7" w14:textId="77777777">
                <w:pPr>
                  <w:widowControl w:val="0"/>
                  <w:suppressAutoHyphens/>
                  <w:jc w:val="both"/>
                  <w:rPr>
                    <w:b/>
                    <w:bCs/>
                    <w:sz w:val="20"/>
                  </w:rPr>
                </w:pPr>
                <w:r>
                  <w:rPr>
                    <w:b/>
                    <w:bCs/>
                    <w:sz w:val="20"/>
                  </w:rPr>
                  <w:t>Dėl 30.7 punkto</w:t>
                </w:r>
              </w:p>
              <w:p w14:paraId="01B0C8A0" w14:textId="77777777">
                <w:pPr>
                  <w:widowControl w:val="0"/>
                  <w:suppressAutoHyphens/>
                  <w:jc w:val="both"/>
                  <w:rPr>
                    <w:sz w:val="20"/>
                  </w:rPr>
                </w:pPr>
                <w:r>
                  <w:rPr>
                    <w:sz w:val="20"/>
                  </w:rPr>
                  <w:t xml:space="preserve">Aprašo 30.7 punktas numato galimybę nepildyti užsakymo paraiškos, atliekant tik diagnostiką (be techninės priežiūros ir (ar) remonto). Manome, kad tokiu būdu atveriama vieta piktnaudžiavimui - kontrolės metu suteikiama galimybė asmenims dėl neužpildytų užsakymo paraiškų išsisukti nuo atsakomybės, motyvuojant, kad visi automobiliai laukia tik diagnostikos,  todėl užsakymo paraiškos neprivalomos, o pusiau išrinkti/nugruntuoti automobiliai tokioje būklėje jau buvo atgabenti į autoservisą. </w:t>
                </w:r>
              </w:p>
              <w:p w14:paraId="12F7F8B4" w14:textId="04E68D4A">
                <w:pPr>
                  <w:widowControl w:val="0"/>
                  <w:suppressAutoHyphens/>
                  <w:jc w:val="both"/>
                  <w:rPr>
                    <w:b/>
                    <w:bCs/>
                    <w:sz w:val="20"/>
                  </w:rPr>
                </w:pPr>
                <w:r>
                  <w:rPr>
                    <w:sz w:val="20"/>
                  </w:rPr>
                  <w:t xml:space="preserve">Siūlome tokios išimties atsisakyti arba patikslinti 30.7 punktą: </w:t>
                </w:r>
                <w:r>
                  <w:rPr>
                    <w:i/>
                    <w:iCs/>
                    <w:sz w:val="20"/>
                  </w:rPr>
                  <w:t>atliekant tik diagnostiką (be techninės priežiūros ir (ar) remonto), dalyvaujant klientui.</w:t>
                </w:r>
              </w:p>
            </w:tc>
            <w:tc>
              <w:tcPr>
                <w:tcW w:w="1295" w:type="pct"/>
                <w:shd w:val="clear" w:color="auto" w:fill="auto"/>
              </w:tcPr>
              <w:p w14:paraId="3384A71B" w14:textId="04DA1F57">
                <w:pPr>
                  <w:jc w:val="both"/>
                  <w:rPr>
                    <w:b/>
                    <w:bCs/>
                    <w:sz w:val="20"/>
                  </w:rPr>
                </w:pPr>
                <w:r>
                  <w:rPr>
                    <w:b/>
                    <w:bCs/>
                    <w:sz w:val="20"/>
                  </w:rPr>
                  <w:t>Neatsižvelgta.</w:t>
                </w:r>
              </w:p>
              <w:p w14:paraId="4E0CCE88" w14:textId="18F766FE">
                <w:pPr>
                  <w:jc w:val="both"/>
                  <w:rPr>
                    <w:b/>
                    <w:bCs/>
                    <w:sz w:val="20"/>
                  </w:rPr>
                </w:pPr>
                <w:r>
                  <w:rPr>
                    <w:sz w:val="20"/>
                  </w:rPr>
                  <w:t>Užsakymo paraiškos diagnostikai pildymas neturėtų būti sietinas su kliento dalyvavimu.</w:t>
                </w:r>
              </w:p>
            </w:tc>
          </w:tr>
          <w:tr w14:paraId="429FB2FC" w14:textId="77777777">
            <w:tc>
              <w:tcPr>
                <w:tcW w:w="179" w:type="pct"/>
                <w:shd w:val="clear" w:color="auto" w:fill="auto"/>
              </w:tcPr>
              <w:p w14:paraId="500B6231" w14:textId="071398C9">
                <w:pPr>
                  <w:ind w:left="340" w:hanging="360"/>
                  <w:jc w:val="both"/>
                  <w:rPr>
                    <w:sz w:val="20"/>
                  </w:rPr>
                </w:pPr>
                <w:r>
                  <w:rPr>
                    <w:sz w:val="20"/>
                  </w:rPr>
                  <w:t>30.</w:t>
                  <w:tab/>
                </w:r>
              </w:p>
            </w:tc>
            <w:tc>
              <w:tcPr>
                <w:tcW w:w="542" w:type="pct"/>
                <w:vMerge/>
                <w:shd w:val="clear" w:color="auto" w:fill="auto"/>
              </w:tcPr>
              <w:p w14:paraId="5FC2D082" w14:textId="77777777">
                <w:pPr>
                  <w:jc w:val="both"/>
                  <w:rPr>
                    <w:b/>
                    <w:bCs/>
                    <w:sz w:val="20"/>
                  </w:rPr>
                </w:pPr>
              </w:p>
            </w:tc>
            <w:tc>
              <w:tcPr>
                <w:tcW w:w="2984" w:type="pct"/>
                <w:gridSpan w:val="4"/>
                <w:shd w:val="clear" w:color="auto" w:fill="auto"/>
              </w:tcPr>
              <w:p w14:paraId="78916C41" w14:textId="77777777">
                <w:pPr>
                  <w:widowControl w:val="0"/>
                  <w:suppressAutoHyphens/>
                  <w:jc w:val="both"/>
                  <w:rPr>
                    <w:b/>
                    <w:bCs/>
                    <w:sz w:val="20"/>
                  </w:rPr>
                </w:pPr>
                <w:r>
                  <w:rPr>
                    <w:b/>
                    <w:bCs/>
                    <w:sz w:val="20"/>
                  </w:rPr>
                  <w:t>Bendro pobūdžio pastaba</w:t>
                </w:r>
              </w:p>
              <w:p w14:paraId="4FC5FBD8" w14:textId="2AF96C2F">
                <w:pPr>
                  <w:widowControl w:val="0"/>
                  <w:suppressAutoHyphens/>
                  <w:jc w:val="both"/>
                  <w:rPr>
                    <w:b/>
                    <w:bCs/>
                    <w:sz w:val="20"/>
                  </w:rPr>
                </w:pPr>
                <w:r>
                  <w:rPr>
                    <w:sz w:val="20"/>
                  </w:rPr>
                  <w:t xml:space="preserve">VMI prie FM įžvelgia </w:t>
                </w:r>
                <w:r>
                  <w:rPr>
                    <w:b/>
                    <w:bCs/>
                    <w:sz w:val="20"/>
                  </w:rPr>
                  <w:t xml:space="preserve"> </w:t>
                </w:r>
                <w:r>
                  <w:rPr>
                    <w:sz w:val="20"/>
                  </w:rPr>
                  <w:t xml:space="preserve">problemą dėl po atliktų remonto darbų, ypač po draudiminių autoįvykių, detalių sugrįžimo į rinką apskaitos. Rekomenduojamoje užsakymo paraiškos formoje tik nurodoma, kokios transporto priemonės valdytojui </w:t>
                </w:r>
                <w:r>
                  <w:rPr>
                    <w:b/>
                    <w:bCs/>
                    <w:sz w:val="20"/>
                  </w:rPr>
                  <w:t>perduotos</w:t>
                </w:r>
                <w:r>
                  <w:rPr>
                    <w:sz w:val="20"/>
                  </w:rPr>
                  <w:t xml:space="preserve"> išmontuotos pakartotinai naudoti tinkamos transporto priemonės dalys, tačiau lieka neaišku, kokios išmontuotos pakartotinai naudoti tinkamos transporto priemonės dalys lieka pas paslaugos teikėją ar perduodamos draudimo kompanijai atlikus remontą po draudiminių autoįvykių. Šios dalys dažnai naudojamos pakartotinai be jokių apskaitos dokumentų, nurodant užsakymo paraiškos formoje „pateikė klientas“. Todėl Apraše siūlome nustatyti aiškesnę pakartotinai naudoti tinkamų transporto priemonių dalių apskaitą.</w:t>
                </w:r>
              </w:p>
            </w:tc>
            <w:tc>
              <w:tcPr>
                <w:tcW w:w="1295" w:type="pct"/>
                <w:shd w:val="clear" w:color="auto" w:fill="auto"/>
              </w:tcPr>
              <w:p w14:paraId="6E4EC4E8" w14:textId="7819A2D3">
                <w:pPr>
                  <w:jc w:val="both"/>
                  <w:rPr>
                    <w:b/>
                    <w:bCs/>
                    <w:sz w:val="20"/>
                  </w:rPr>
                </w:pPr>
                <w:r>
                  <w:rPr>
                    <w:b/>
                    <w:bCs/>
                    <w:sz w:val="20"/>
                  </w:rPr>
                  <w:t>Neatsižvelgta.</w:t>
                </w:r>
              </w:p>
              <w:p w14:paraId="795B6788" w14:textId="2759BC19">
                <w:pPr>
                  <w:jc w:val="both"/>
                  <w:rPr>
                    <w:sz w:val="20"/>
                  </w:rPr>
                </w:pPr>
                <w:r>
                  <w:rPr>
                    <w:sz w:val="20"/>
                  </w:rPr>
                  <w:t xml:space="preserve">Žr. 6 pastabą. </w:t>
                </w:r>
              </w:p>
            </w:tc>
          </w:tr>
          <w:tr w14:paraId="190766D3" w14:textId="77777777">
            <w:tc>
              <w:tcPr>
                <w:tcW w:w="179" w:type="pct"/>
                <w:shd w:val="clear" w:color="auto" w:fill="auto"/>
              </w:tcPr>
              <w:p w14:paraId="4604AA69" w14:textId="04A35FDB">
                <w:pPr>
                  <w:ind w:left="1440" w:hanging="360"/>
                  <w:jc w:val="both"/>
                  <w:rPr>
                    <w:sz w:val="20"/>
                  </w:rPr>
                </w:pPr>
                <w:r>
                  <w:rPr>
                    <w:sz w:val="20"/>
                  </w:rPr>
                  <w:t>1.</w:t>
                  <w:tab/>
                </w:r>
              </w:p>
            </w:tc>
            <w:tc>
              <w:tcPr>
                <w:tcW w:w="542" w:type="pct"/>
                <w:vMerge w:val="restart"/>
                <w:shd w:val="clear" w:color="auto" w:fill="auto"/>
              </w:tcPr>
              <w:p w14:paraId="759C53E7" w14:textId="1C570A86">
                <w:pPr>
                  <w:jc w:val="both"/>
                  <w:rPr>
                    <w:sz w:val="20"/>
                  </w:rPr>
                </w:pPr>
                <w:r>
                  <w:rPr>
                    <w:sz w:val="20"/>
                  </w:rPr>
                  <w:t>Lietuvos autoservisų asociacija (2022-08-04)</w:t>
                </w:r>
              </w:p>
            </w:tc>
            <w:tc>
              <w:tcPr>
                <w:tcW w:w="2984" w:type="pct"/>
                <w:gridSpan w:val="4"/>
                <w:shd w:val="clear" w:color="auto" w:fill="auto"/>
              </w:tcPr>
              <w:p w14:paraId="45CEF04B" w14:textId="6FB371A6">
                <w:pPr>
                  <w:jc w:val="both"/>
                  <w:rPr>
                    <w:sz w:val="20"/>
                  </w:rPr>
                </w:pPr>
                <w:r>
                  <w:rPr>
                    <w:sz w:val="20"/>
                  </w:rPr>
                  <w:t xml:space="preserve">1. Techninė pagalba – „kuri apima diagnostiką“.  </w:t>
                </w:r>
              </w:p>
              <w:p w14:paraId="709B6F3F" w14:textId="03F92B75">
                <w:pPr>
                  <w:jc w:val="both"/>
                  <w:rPr>
                    <w:sz w:val="20"/>
                  </w:rPr>
                </w:pPr>
                <w:r>
                  <w:rPr>
                    <w:sz w:val="20"/>
                  </w:rPr>
                  <w:t xml:space="preserve">Reikalaujame ministerijų pateikti aprašą, kuriame turi būti nurodyta: </w:t>
                </w:r>
              </w:p>
              <w:p w14:paraId="7EA334B6" w14:textId="497D3E66">
                <w:pPr>
                  <w:jc w:val="both"/>
                  <w:rPr>
                    <w:sz w:val="20"/>
                  </w:rPr>
                </w:pPr>
                <w:r>
                  <w:rPr>
                    <w:sz w:val="20"/>
                  </w:rPr>
                  <w:t xml:space="preserve">a.  techninė pagalbos diagnostinės įrangos sąrašą ir jos aprašą;</w:t>
                </w:r>
              </w:p>
              <w:p w14:paraId="38FC119E" w14:textId="3B73BEF5">
                <w:pPr>
                  <w:jc w:val="both"/>
                  <w:rPr>
                    <w:sz w:val="20"/>
                  </w:rPr>
                </w:pPr>
                <w:r>
                  <w:rPr>
                    <w:sz w:val="20"/>
                  </w:rPr>
                  <w:t xml:space="preserve">b. kokios paslaugos ir vadovaujantis kokia kvalifikacija gali būti teikiami tokio lygmens darbai, bet kurioje Lietuvos respublikos atviroje vietovėje (lauko sąlygomis). </w:t>
                </w:r>
              </w:p>
              <w:p w14:paraId="65EB2961" w14:textId="47299BA2">
                <w:pPr>
                  <w:jc w:val="both"/>
                  <w:rPr>
                    <w:sz w:val="20"/>
                  </w:rPr>
                </w:pPr>
                <w:r>
                  <w:rPr>
                    <w:sz w:val="20"/>
                  </w:rPr>
                  <w:t xml:space="preserve">c. saugos darbų metodiką, kuria vadovaujantis, darbai, kurie gali būti teikiami tik su specialia įranga ir spec. įrankiais, gali būti atliekami atviroje vietovėje (lauko sąlygomis); </w:t>
                </w:r>
              </w:p>
              <w:p w14:paraId="43D65945" w14:textId="61E653E7">
                <w:pPr>
                  <w:jc w:val="both"/>
                  <w:rPr>
                    <w:sz w:val="20"/>
                  </w:rPr>
                </w:pPr>
                <w:r>
                  <w:rPr>
                    <w:sz w:val="20"/>
                  </w:rPr>
                  <w:t>d. pateikite sąvokos „kuri apima diagnostiką“, teisinį išaiškinimą. Ką reiškia žodis „apima“ praktinėje autoservisų veikloje ir kokia veikla po juo maskuojama/arba išplečiama?</w:t>
                </w:r>
              </w:p>
            </w:tc>
            <w:tc>
              <w:tcPr>
                <w:tcW w:w="1295" w:type="pct"/>
                <w:shd w:val="clear" w:color="auto" w:fill="auto"/>
              </w:tcPr>
              <w:p w14:paraId="70CD7E73" w14:textId="0E375BDB">
                <w:pPr>
                  <w:jc w:val="both"/>
                  <w:rPr>
                    <w:b/>
                    <w:bCs/>
                    <w:sz w:val="20"/>
                  </w:rPr>
                </w:pPr>
                <w:r>
                  <w:rPr>
                    <w:b/>
                    <w:bCs/>
                    <w:sz w:val="20"/>
                  </w:rPr>
                  <w:t>Neatsižvelgta.</w:t>
                </w:r>
              </w:p>
              <w:p w14:paraId="71B1BA5C" w14:textId="62B13823">
                <w:pPr>
                  <w:jc w:val="both"/>
                  <w:rPr>
                    <w:b/>
                    <w:bCs/>
                    <w:sz w:val="20"/>
                  </w:rPr>
                </w:pPr>
                <w:r>
                  <w:rPr>
                    <w:sz w:val="20"/>
                  </w:rPr>
                  <w:t>Nekonkretūs siūlymai. Ši sritis nėra ministerijų, rengiančių teisės akto projektą, kompetencija. Ne šio teisės akto reguliavimo dalykai.</w:t>
                </w:r>
              </w:p>
            </w:tc>
          </w:tr>
          <w:tr w14:paraId="78F76FA1" w14:textId="77777777">
            <w:tc>
              <w:tcPr>
                <w:tcW w:w="179" w:type="pct"/>
                <w:shd w:val="clear" w:color="auto" w:fill="auto"/>
              </w:tcPr>
              <w:p w14:paraId="56ACBD01" w14:textId="7BE0BC13">
                <w:pPr>
                  <w:ind w:left="1440" w:hanging="360"/>
                  <w:jc w:val="both"/>
                  <w:rPr>
                    <w:sz w:val="20"/>
                  </w:rPr>
                </w:pPr>
                <w:r>
                  <w:rPr>
                    <w:sz w:val="20"/>
                  </w:rPr>
                  <w:t>1.</w:t>
                  <w:tab/>
                </w:r>
              </w:p>
            </w:tc>
            <w:tc>
              <w:tcPr>
                <w:tcW w:w="542" w:type="pct"/>
                <w:vMerge/>
                <w:shd w:val="clear" w:color="auto" w:fill="auto"/>
              </w:tcPr>
              <w:p w14:paraId="699957F3" w14:textId="7DC10D27">
                <w:pPr>
                  <w:jc w:val="both"/>
                  <w:rPr>
                    <w:b/>
                    <w:bCs/>
                    <w:sz w:val="20"/>
                  </w:rPr>
                </w:pPr>
              </w:p>
            </w:tc>
            <w:tc>
              <w:tcPr>
                <w:tcW w:w="2984" w:type="pct"/>
                <w:gridSpan w:val="4"/>
                <w:shd w:val="clear" w:color="auto" w:fill="auto"/>
              </w:tcPr>
              <w:p w14:paraId="4FCD4B09" w14:textId="36CA6E93">
                <w:pPr>
                  <w:jc w:val="both"/>
                  <w:rPr>
                    <w:sz w:val="20"/>
                  </w:rPr>
                </w:pPr>
                <w:r>
                  <w:rPr>
                    <w:sz w:val="20"/>
                  </w:rPr>
                  <w:t xml:space="preserve">2. ratlankių ir padangų remontas. </w:t>
                </w:r>
              </w:p>
              <w:p w14:paraId="4B2BD853" w14:textId="719ECC48">
                <w:pPr>
                  <w:jc w:val="both"/>
                  <w:rPr>
                    <w:sz w:val="20"/>
                  </w:rPr>
                </w:pPr>
                <w:r>
                  <w:rPr>
                    <w:sz w:val="20"/>
                  </w:rPr>
                  <w:t xml:space="preserve">Prašome skaityti įsakymo punktą :   </w:t>
                </w:r>
              </w:p>
              <w:p w14:paraId="37074ADF" w14:textId="00099F7F">
                <w:pPr>
                  <w:jc w:val="both"/>
                  <w:rPr>
                    <w:sz w:val="20"/>
                  </w:rPr>
                </w:pPr>
                <w:r>
                  <w:rPr>
                    <w:sz w:val="20"/>
                  </w:rPr>
                  <w:t xml:space="preserve">5.7. Remontas – procedūros ir technologiniai procesai transporto priemonės techninei būklei atkurti, kad atitiktų techninius motorinių transporto priemonių ir jų priekabų reikalavimus, tvirtinamus Lietuvos Respublikos susisiekimo ministerijos arba jos įgaliotos institucijos, ar jos dalies, įrangos, komponento, sistemos gamintojo numatytus veikimo parametrus. </w:t>
                </w:r>
              </w:p>
              <w:p w14:paraId="259A1B6F" w14:textId="0878ACCE">
                <w:pPr>
                  <w:jc w:val="both"/>
                  <w:rPr>
                    <w:sz w:val="20"/>
                  </w:rPr>
                </w:pPr>
                <w:r>
                  <w:rPr>
                    <w:sz w:val="20"/>
                  </w:rPr>
                  <w:t>Tokiu būdu, prieštaraujančiame pačiam sau įsakyme norima pasakyti, kad Techninė pagalba – gali atlikti technologinius procesus transporto priemonės techninei būklei atkurti ? Norime konstatuoti, kad nei automobilių ratlankių, nei padangų techninės būklės, be specialios ir stacionarios įrangos, atkurti neįmanoma.</w:t>
                </w:r>
              </w:p>
            </w:tc>
            <w:tc>
              <w:tcPr>
                <w:tcW w:w="1295" w:type="pct"/>
                <w:shd w:val="clear" w:color="auto" w:fill="auto"/>
              </w:tcPr>
              <w:p w14:paraId="4E31BEE3" w14:textId="14865592">
                <w:pPr>
                  <w:jc w:val="both"/>
                  <w:rPr>
                    <w:b/>
                    <w:bCs/>
                    <w:sz w:val="20"/>
                  </w:rPr>
                </w:pPr>
                <w:r>
                  <w:rPr>
                    <w:b/>
                    <w:bCs/>
                    <w:sz w:val="20"/>
                  </w:rPr>
                  <w:t>Atsižvelgta iš dalies.</w:t>
                </w:r>
              </w:p>
              <w:p w14:paraId="7B7201CE" w14:textId="449A03A1">
                <w:pPr>
                  <w:spacing w:line="259" w:lineRule="auto"/>
                  <w:jc w:val="both"/>
                  <w:rPr>
                    <w:sz w:val="20"/>
                  </w:rPr>
                </w:pPr>
                <w:r>
                  <w:rPr>
                    <w:sz w:val="20"/>
                  </w:rPr>
                  <w:t>Žr. 5 pastabą.</w:t>
                </w:r>
              </w:p>
              <w:p w14:paraId="4723DEB7" w14:textId="0249933A">
                <w:pPr>
                  <w:jc w:val="both"/>
                  <w:rPr>
                    <w:sz w:val="20"/>
                  </w:rPr>
                </w:pPr>
              </w:p>
            </w:tc>
          </w:tr>
          <w:tr w14:paraId="248CAB79" w14:textId="77777777">
            <w:tc>
              <w:tcPr>
                <w:tcW w:w="179" w:type="pct"/>
                <w:shd w:val="clear" w:color="auto" w:fill="auto"/>
              </w:tcPr>
              <w:p w14:paraId="36B44FFE" w14:textId="3CD236F5">
                <w:pPr>
                  <w:ind w:left="1440" w:hanging="360"/>
                  <w:jc w:val="both"/>
                  <w:rPr>
                    <w:sz w:val="20"/>
                  </w:rPr>
                </w:pPr>
                <w:r>
                  <w:rPr>
                    <w:sz w:val="20"/>
                  </w:rPr>
                  <w:t>1.</w:t>
                  <w:tab/>
                </w:r>
              </w:p>
            </w:tc>
            <w:tc>
              <w:tcPr>
                <w:tcW w:w="542" w:type="pct"/>
                <w:vMerge/>
                <w:shd w:val="clear" w:color="auto" w:fill="auto"/>
              </w:tcPr>
              <w:p w14:paraId="580B58A9" w14:textId="3C353F00">
                <w:pPr>
                  <w:jc w:val="both"/>
                  <w:rPr>
                    <w:b/>
                    <w:bCs/>
                    <w:sz w:val="20"/>
                  </w:rPr>
                </w:pPr>
              </w:p>
            </w:tc>
            <w:tc>
              <w:tcPr>
                <w:tcW w:w="2984" w:type="pct"/>
                <w:gridSpan w:val="4"/>
                <w:shd w:val="clear" w:color="auto" w:fill="auto"/>
              </w:tcPr>
              <w:p w14:paraId="54B9AEF6" w14:textId="0E8B8EE3">
                <w:pPr>
                  <w:jc w:val="both"/>
                  <w:rPr>
                    <w:sz w:val="20"/>
                  </w:rPr>
                </w:pPr>
                <w:r>
                  <w:rPr>
                    <w:sz w:val="20"/>
                  </w:rPr>
                  <w:t xml:space="preserve">Sekantis punktas susijęs su automobilių oro kondicionavimo sistemų technine priežiūra ir pildymu (ministerijoms buvo pateikti straipsniai iš spaudos), jog šių įrengimų pildymo/priežiūros metu yra įvykęs jau ne vienas nelaimingas atsitikimas, kadangi dujos kuriomis yra pildomos kondicionavimo sistemos yra ne tik degios, bet ir sprogios. Šie faktai Lietuvoje yra ne tik netiriami, bet ir visiškai ignoruojami. </w:t>
                </w:r>
              </w:p>
              <w:p w14:paraId="1FEC0717" w14:textId="25BF15D7">
                <w:pPr>
                  <w:jc w:val="both"/>
                  <w:rPr>
                    <w:sz w:val="20"/>
                  </w:rPr>
                </w:pPr>
                <w:r>
                  <w:rPr>
                    <w:sz w:val="20"/>
                  </w:rPr>
                  <w:t xml:space="preserve">Todėl pateikiame informaciją iš saugos duomenų lapo, kur nurodomi punktai apie dujas, kuriomis pildomi automobilių oro kondicionieriai (tai yra oficialaus dokumento punktai, kuriuo vadovaujasi visi tokiomis dujomis prekiaujantys verslo subjektai): </w:t>
                </w:r>
              </w:p>
              <w:p w14:paraId="70B17635" w14:textId="42B954C1">
                <w:pPr>
                  <w:spacing w:line="259" w:lineRule="auto"/>
                  <w:jc w:val="both"/>
                  <w:rPr>
                    <w:sz w:val="20"/>
                  </w:rPr>
                </w:pPr>
                <w:r>
                  <w:rPr>
                    <w:sz w:val="20"/>
                  </w:rPr>
                  <w:t>&lt;...&gt;</w:t>
                </w:r>
              </w:p>
              <w:p w14:paraId="51F4FDBB" w14:textId="2E65BB9D">
                <w:pPr>
                  <w:jc w:val="both"/>
                  <w:rPr>
                    <w:sz w:val="20"/>
                  </w:rPr>
                </w:pPr>
                <w:r>
                  <w:rPr>
                    <w:sz w:val="20"/>
                  </w:rPr>
                  <w:t xml:space="preserve">Iš šių punktų, matosi, kad medžiaga yra pavojinga žmogaus sveikatai ir gali būti sprogi, todėl nė vienas iš šių sąlygų punktų negali būti tinkamai įvykdytas palapinėse, kuriomis nusėta visa Lietuva ir visos aikštelės pažeidžiant teritorijų planavimo reglamentus. Pažymime, kad palapinės stovi prie degalinių (žiūrėti punktus 3 ; 6.1), prie prekybos centrų, kur lankosi didelis kiekis žmonių su vaikais ir nelaimingo atsitikimo metu gali kilti panika ( žiūrėti punktą 1.1 ; 3 ; 4 ; 5 ; 6 ; 7 ), aikštelėse kur yra gyvenamieji kvartalai ir vaikų žaidimų aikštelės.  </w:t>
                </w:r>
              </w:p>
              <w:p w14:paraId="3FC8A130" w14:textId="31AB2D73">
                <w:pPr>
                  <w:jc w:val="both"/>
                  <w:rPr>
                    <w:sz w:val="20"/>
                  </w:rPr>
                </w:pPr>
                <w:r>
                  <w:rPr>
                    <w:sz w:val="20"/>
                  </w:rPr>
                  <w:t>Todėl, atsakingai, klausiame, kas leido šias „palapines“ ir kuruoja šiuos nelegalius veikalus, vadinamus „rinkos konkurencijos skatinimu“, kurie tiesiogiai kelia pavojų žmonių saugumui? Ar užtikrinamos darbų saugos sąlygos dirbant palapinėse? Turimomis techninio aptarnavimo ir remonto žiniomis, automobilio variklis turi būti pilnai atvėsęs, kad būtų saugiai pildomas oro kondicionierius (žiūrėti punktą 3). Kas tai užtikrina? Kas prisiims atsakomybę įvykus nelaimingam atsitikimui ir paveikus aplinkinių žmonių sveikatą? Kodėl trečius metus ministerijos ir kitos kontrolinės žinybos taip akylai saugo šio nelegalaus versliuko interesus?</w:t>
                </w:r>
              </w:p>
            </w:tc>
            <w:tc>
              <w:tcPr>
                <w:tcW w:w="1295" w:type="pct"/>
                <w:shd w:val="clear" w:color="auto" w:fill="auto"/>
              </w:tcPr>
              <w:p w14:paraId="3ED9A9EC" w14:textId="51D1B95A">
                <w:pPr>
                  <w:jc w:val="both"/>
                  <w:rPr>
                    <w:b/>
                    <w:bCs/>
                    <w:sz w:val="20"/>
                  </w:rPr>
                </w:pPr>
                <w:r>
                  <w:rPr>
                    <w:b/>
                    <w:bCs/>
                    <w:sz w:val="20"/>
                  </w:rPr>
                  <w:t>Neatsižvelgta.</w:t>
                </w:r>
              </w:p>
              <w:p w14:paraId="01C340F2" w14:textId="75CB3B82">
                <w:pPr>
                  <w:jc w:val="both"/>
                  <w:rPr>
                    <w:sz w:val="20"/>
                  </w:rPr>
                </w:pPr>
                <w:r>
                  <w:rPr>
                    <w:sz w:val="20"/>
                  </w:rPr>
                  <w:t xml:space="preserve">Sveikatos apsauga ir darbo saugos reikalavimai nepatenka į šio dokumento reguliavimo sritį. </w:t>
                </w:r>
              </w:p>
              <w:p w14:paraId="32B6C849" w14:textId="57056BA1">
                <w:pPr>
                  <w:jc w:val="both"/>
                  <w:rPr>
                    <w:b/>
                    <w:bCs/>
                    <w:sz w:val="20"/>
                  </w:rPr>
                </w:pPr>
              </w:p>
            </w:tc>
          </w:tr>
        </w:tbl>
        <w:p w14:paraId="436E78EB" w14:textId="6B92D101">
          <w:pPr>
            <w:jc w:val="center"/>
            <w:rPr>
              <w:sz w:val="22"/>
              <w:szCs w:val="22"/>
            </w:rPr>
          </w:pPr>
        </w:p>
        <w:p w14:paraId="7A690AF2" w14:textId="77777777">
          <w:pPr>
            <w:jc w:val="center"/>
            <w:rPr>
              <w:sz w:val="22"/>
              <w:szCs w:val="22"/>
            </w:rPr>
          </w:pPr>
        </w:p>
        <w:sdt>
          <w:sdtPr>
            <w:alias w:val="signatura"/>
            <w:tag w:val="part_28264446c10b41579b766e9a633addff"/>
            <w:lock w:val="sdtLocked"/>
            <w:richText/>
          </w:sdtPr>
          <w:sdtContent>
            <w:p w14:paraId="40F59544" w14:textId="588362B4">
              <w:pPr>
                <w:jc w:val="center"/>
                <w:rPr>
                  <w:sz w:val="22"/>
                  <w:szCs w:val="22"/>
                </w:rPr>
              </w:pPr>
              <w:r>
                <w:rPr>
                  <w:sz w:val="22"/>
                  <w:szCs w:val="22"/>
                </w:rPr>
                <w:t>_______________________</w:t>
              </w:r>
            </w:p>
          </w:sdtContent>
        </w:sdt>
      </w:sdtContent>
    </w:sdt>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134" w:right="1134"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8EEFD7" w14:textId="77777777">
      <w:pPr>
        <w:rPr>
          <w:sz w:val="22"/>
          <w:szCs w:val="22"/>
        </w:rPr>
      </w:pPr>
      <w:r>
        <w:rPr>
          <w:sz w:val="22"/>
          <w:szCs w:val="22"/>
        </w:rPr>
        <w:separator/>
      </w:r>
    </w:p>
  </w:endnote>
  <w:endnote w:type="continuationSeparator" w:id="0">
    <w:p w14:paraId="47A096A6" w14:textId="77777777">
      <w:pPr>
        <w:rPr>
          <w:sz w:val="22"/>
          <w:szCs w:val="22"/>
        </w:rPr>
      </w:pPr>
      <w:r>
        <w:rPr>
          <w:sz w:val="22"/>
          <w:szCs w:val="22"/>
        </w:rPr>
        <w:continuationSeparator/>
      </w:r>
    </w:p>
  </w:endnote>
  <w:endnote w:type="continuationNotice" w:id="1">
    <w:p w14:paraId="57951672"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C76752"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B93BAD"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ECC0A"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CBC735" w14:textId="77777777">
      <w:pPr>
        <w:rPr>
          <w:sz w:val="22"/>
          <w:szCs w:val="22"/>
        </w:rPr>
      </w:pPr>
      <w:r>
        <w:rPr>
          <w:sz w:val="22"/>
          <w:szCs w:val="22"/>
        </w:rPr>
        <w:separator/>
      </w:r>
    </w:p>
  </w:footnote>
  <w:footnote w:type="continuationSeparator" w:id="0">
    <w:p w14:paraId="2E6A51B0" w14:textId="77777777">
      <w:pPr>
        <w:rPr>
          <w:sz w:val="22"/>
          <w:szCs w:val="22"/>
        </w:rPr>
      </w:pPr>
      <w:r>
        <w:rPr>
          <w:sz w:val="22"/>
          <w:szCs w:val="22"/>
        </w:rPr>
        <w:continuationSeparator/>
      </w:r>
    </w:p>
  </w:footnote>
  <w:footnote w:type="continuationNotice" w:id="1">
    <w:p w14:paraId="6C43C3F3" w14:textId="77777777">
      <w:pPr>
        <w:rPr>
          <w:sz w:val="22"/>
          <w:szCs w:val="22"/>
        </w:rPr>
      </w:pPr>
    </w:p>
  </w:footnote>
  <w:footnote w:id="2">
    <w:p w14:paraId="4AC60EC3" w14:textId="77777777">
      <w:pPr>
        <w:jc w:val="both"/>
        <w:rPr>
          <w:sz w:val="20"/>
        </w:rPr>
      </w:pPr>
      <w:r>
        <w:rPr>
          <w:sz w:val="20"/>
          <w:vertAlign w:val="superscript"/>
        </w:rPr>
        <w:footnoteRef/>
      </w:r>
      <w:r>
        <w:rPr>
          <w:sz w:val="20"/>
        </w:rPr>
        <w:t xml:space="preserve"> Atliekų tvarkymo įstatymo 2 straipsnio 6 dalis.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3C1FE5"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67EE0" w14:textId="28D2892D">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11</w:t>
    </w:r>
    <w:r>
      <w:rPr>
        <w:sz w:val="22"/>
        <w:szCs w:val="22"/>
      </w:rPr>
      <w:fldChar w:fldCharType="end"/>
    </w:r>
  </w:p>
  <w:p w14:paraId="504343DC"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FAEAC"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4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7CA90A"/>
  <w15:docId w15:val="{6A48A5AE-7235-4D7E-A7D1-062DCA1C766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299790">
      <w:bodyDiv w:val="1"/>
      <w:marLeft w:val="0"/>
      <w:marRight w:val="0"/>
      <w:marTop w:val="0"/>
      <w:marBottom w:val="0"/>
      <w:divBdr>
        <w:top w:val="none" w:sz="0" w:space="0" w:color="auto"/>
        <w:left w:val="none" w:sz="0" w:space="0" w:color="auto"/>
        <w:bottom w:val="none" w:sz="0" w:space="0" w:color="auto"/>
        <w:right w:val="none" w:sz="0" w:space="0" w:color="auto"/>
      </w:divBdr>
    </w:div>
    <w:div w:id="48694623">
      <w:bodyDiv w:val="1"/>
      <w:marLeft w:val="0"/>
      <w:marRight w:val="0"/>
      <w:marTop w:val="0"/>
      <w:marBottom w:val="0"/>
      <w:divBdr>
        <w:top w:val="none" w:sz="0" w:space="0" w:color="auto"/>
        <w:left w:val="none" w:sz="0" w:space="0" w:color="auto"/>
        <w:bottom w:val="none" w:sz="0" w:space="0" w:color="auto"/>
        <w:right w:val="none" w:sz="0" w:space="0" w:color="auto"/>
      </w:divBdr>
    </w:div>
    <w:div w:id="488639787">
      <w:bodyDiv w:val="1"/>
      <w:marLeft w:val="0"/>
      <w:marRight w:val="0"/>
      <w:marTop w:val="0"/>
      <w:marBottom w:val="0"/>
      <w:divBdr>
        <w:top w:val="none" w:sz="0" w:space="0" w:color="auto"/>
        <w:left w:val="none" w:sz="0" w:space="0" w:color="auto"/>
        <w:bottom w:val="none" w:sz="0" w:space="0" w:color="auto"/>
        <w:right w:val="none" w:sz="0" w:space="0" w:color="auto"/>
      </w:divBdr>
      <w:divsChild>
        <w:div w:id="949240131">
          <w:marLeft w:val="0"/>
          <w:marRight w:val="0"/>
          <w:marTop w:val="0"/>
          <w:marBottom w:val="0"/>
          <w:divBdr>
            <w:top w:val="none" w:sz="0" w:space="0" w:color="auto"/>
            <w:left w:val="none" w:sz="0" w:space="0" w:color="auto"/>
            <w:bottom w:val="none" w:sz="0" w:space="0" w:color="auto"/>
            <w:right w:val="none" w:sz="0" w:space="0" w:color="auto"/>
          </w:divBdr>
        </w:div>
        <w:div w:id="1342126531">
          <w:marLeft w:val="0"/>
          <w:marRight w:val="0"/>
          <w:marTop w:val="0"/>
          <w:marBottom w:val="0"/>
          <w:divBdr>
            <w:top w:val="none" w:sz="0" w:space="0" w:color="auto"/>
            <w:left w:val="none" w:sz="0" w:space="0" w:color="auto"/>
            <w:bottom w:val="none" w:sz="0" w:space="0" w:color="auto"/>
            <w:right w:val="none" w:sz="0" w:space="0" w:color="auto"/>
          </w:divBdr>
        </w:div>
        <w:div w:id="2108884920">
          <w:marLeft w:val="0"/>
          <w:marRight w:val="0"/>
          <w:marTop w:val="0"/>
          <w:marBottom w:val="0"/>
          <w:divBdr>
            <w:top w:val="none" w:sz="0" w:space="0" w:color="auto"/>
            <w:left w:val="none" w:sz="0" w:space="0" w:color="auto"/>
            <w:bottom w:val="none" w:sz="0" w:space="0" w:color="auto"/>
            <w:right w:val="none" w:sz="0" w:space="0" w:color="auto"/>
          </w:divBdr>
        </w:div>
      </w:divsChild>
    </w:div>
    <w:div w:id="528953334">
      <w:bodyDiv w:val="1"/>
      <w:marLeft w:val="0"/>
      <w:marRight w:val="0"/>
      <w:marTop w:val="0"/>
      <w:marBottom w:val="0"/>
      <w:divBdr>
        <w:top w:val="none" w:sz="0" w:space="0" w:color="auto"/>
        <w:left w:val="none" w:sz="0" w:space="0" w:color="auto"/>
        <w:bottom w:val="none" w:sz="0" w:space="0" w:color="auto"/>
        <w:right w:val="none" w:sz="0" w:space="0" w:color="auto"/>
      </w:divBdr>
    </w:div>
    <w:div w:id="668093168">
      <w:bodyDiv w:val="1"/>
      <w:marLeft w:val="0"/>
      <w:marRight w:val="0"/>
      <w:marTop w:val="0"/>
      <w:marBottom w:val="0"/>
      <w:divBdr>
        <w:top w:val="none" w:sz="0" w:space="0" w:color="auto"/>
        <w:left w:val="none" w:sz="0" w:space="0" w:color="auto"/>
        <w:bottom w:val="none" w:sz="0" w:space="0" w:color="auto"/>
        <w:right w:val="none" w:sz="0" w:space="0" w:color="auto"/>
      </w:divBdr>
    </w:div>
    <w:div w:id="790974993">
      <w:bodyDiv w:val="1"/>
      <w:marLeft w:val="0"/>
      <w:marRight w:val="0"/>
      <w:marTop w:val="0"/>
      <w:marBottom w:val="0"/>
      <w:divBdr>
        <w:top w:val="none" w:sz="0" w:space="0" w:color="auto"/>
        <w:left w:val="none" w:sz="0" w:space="0" w:color="auto"/>
        <w:bottom w:val="none" w:sz="0" w:space="0" w:color="auto"/>
        <w:right w:val="none" w:sz="0" w:space="0" w:color="auto"/>
      </w:divBdr>
    </w:div>
    <w:div w:id="865289475">
      <w:bodyDiv w:val="1"/>
      <w:marLeft w:val="0"/>
      <w:marRight w:val="0"/>
      <w:marTop w:val="0"/>
      <w:marBottom w:val="0"/>
      <w:divBdr>
        <w:top w:val="none" w:sz="0" w:space="0" w:color="auto"/>
        <w:left w:val="none" w:sz="0" w:space="0" w:color="auto"/>
        <w:bottom w:val="none" w:sz="0" w:space="0" w:color="auto"/>
        <w:right w:val="none" w:sz="0" w:space="0" w:color="auto"/>
      </w:divBdr>
    </w:div>
    <w:div w:id="902180778">
      <w:bodyDiv w:val="1"/>
      <w:marLeft w:val="0"/>
      <w:marRight w:val="0"/>
      <w:marTop w:val="0"/>
      <w:marBottom w:val="0"/>
      <w:divBdr>
        <w:top w:val="none" w:sz="0" w:space="0" w:color="auto"/>
        <w:left w:val="none" w:sz="0" w:space="0" w:color="auto"/>
        <w:bottom w:val="none" w:sz="0" w:space="0" w:color="auto"/>
        <w:right w:val="none" w:sz="0" w:space="0" w:color="auto"/>
      </w:divBdr>
    </w:div>
    <w:div w:id="1193152528">
      <w:bodyDiv w:val="1"/>
      <w:marLeft w:val="0"/>
      <w:marRight w:val="0"/>
      <w:marTop w:val="0"/>
      <w:marBottom w:val="0"/>
      <w:divBdr>
        <w:top w:val="none" w:sz="0" w:space="0" w:color="auto"/>
        <w:left w:val="none" w:sz="0" w:space="0" w:color="auto"/>
        <w:bottom w:val="none" w:sz="0" w:space="0" w:color="auto"/>
        <w:right w:val="none" w:sz="0" w:space="0" w:color="auto"/>
      </w:divBdr>
    </w:div>
    <w:div w:id="1269777017">
      <w:bodyDiv w:val="1"/>
      <w:marLeft w:val="0"/>
      <w:marRight w:val="0"/>
      <w:marTop w:val="0"/>
      <w:marBottom w:val="0"/>
      <w:divBdr>
        <w:top w:val="none" w:sz="0" w:space="0" w:color="auto"/>
        <w:left w:val="none" w:sz="0" w:space="0" w:color="auto"/>
        <w:bottom w:val="none" w:sz="0" w:space="0" w:color="auto"/>
        <w:right w:val="none" w:sz="0" w:space="0" w:color="auto"/>
      </w:divBdr>
    </w:div>
    <w:div w:id="1296447749">
      <w:bodyDiv w:val="1"/>
      <w:marLeft w:val="0"/>
      <w:marRight w:val="0"/>
      <w:marTop w:val="0"/>
      <w:marBottom w:val="0"/>
      <w:divBdr>
        <w:top w:val="none" w:sz="0" w:space="0" w:color="auto"/>
        <w:left w:val="none" w:sz="0" w:space="0" w:color="auto"/>
        <w:bottom w:val="none" w:sz="0" w:space="0" w:color="auto"/>
        <w:right w:val="none" w:sz="0" w:space="0" w:color="auto"/>
      </w:divBdr>
    </w:div>
    <w:div w:id="1323705292">
      <w:bodyDiv w:val="1"/>
      <w:marLeft w:val="0"/>
      <w:marRight w:val="0"/>
      <w:marTop w:val="0"/>
      <w:marBottom w:val="0"/>
      <w:divBdr>
        <w:top w:val="none" w:sz="0" w:space="0" w:color="auto"/>
        <w:left w:val="none" w:sz="0" w:space="0" w:color="auto"/>
        <w:bottom w:val="none" w:sz="0" w:space="0" w:color="auto"/>
        <w:right w:val="none" w:sz="0" w:space="0" w:color="auto"/>
      </w:divBdr>
    </w:div>
    <w:div w:id="1605266058">
      <w:bodyDiv w:val="1"/>
      <w:marLeft w:val="0"/>
      <w:marRight w:val="0"/>
      <w:marTop w:val="0"/>
      <w:marBottom w:val="0"/>
      <w:divBdr>
        <w:top w:val="none" w:sz="0" w:space="0" w:color="auto"/>
        <w:left w:val="none" w:sz="0" w:space="0" w:color="auto"/>
        <w:bottom w:val="none" w:sz="0" w:space="0" w:color="auto"/>
        <w:right w:val="none" w:sz="0" w:space="0" w:color="auto"/>
      </w:divBdr>
    </w:div>
    <w:div w:id="1676880683">
      <w:bodyDiv w:val="1"/>
      <w:marLeft w:val="0"/>
      <w:marRight w:val="0"/>
      <w:marTop w:val="0"/>
      <w:marBottom w:val="0"/>
      <w:divBdr>
        <w:top w:val="none" w:sz="0" w:space="0" w:color="auto"/>
        <w:left w:val="none" w:sz="0" w:space="0" w:color="auto"/>
        <w:bottom w:val="none" w:sz="0" w:space="0" w:color="auto"/>
        <w:right w:val="none" w:sz="0" w:space="0" w:color="auto"/>
      </w:divBdr>
    </w:div>
    <w:div w:id="1687052373">
      <w:bodyDiv w:val="1"/>
      <w:marLeft w:val="0"/>
      <w:marRight w:val="0"/>
      <w:marTop w:val="0"/>
      <w:marBottom w:val="0"/>
      <w:divBdr>
        <w:top w:val="none" w:sz="0" w:space="0" w:color="auto"/>
        <w:left w:val="none" w:sz="0" w:space="0" w:color="auto"/>
        <w:bottom w:val="none" w:sz="0" w:space="0" w:color="auto"/>
        <w:right w:val="none" w:sz="0" w:space="0" w:color="auto"/>
      </w:divBdr>
    </w:div>
    <w:div w:id="1709065128">
      <w:bodyDiv w:val="1"/>
      <w:marLeft w:val="0"/>
      <w:marRight w:val="0"/>
      <w:marTop w:val="0"/>
      <w:marBottom w:val="0"/>
      <w:divBdr>
        <w:top w:val="none" w:sz="0" w:space="0" w:color="auto"/>
        <w:left w:val="none" w:sz="0" w:space="0" w:color="auto"/>
        <w:bottom w:val="none" w:sz="0" w:space="0" w:color="auto"/>
        <w:right w:val="none" w:sz="0" w:space="0" w:color="auto"/>
      </w:divBdr>
      <w:divsChild>
        <w:div w:id="1905138740">
          <w:marLeft w:val="0"/>
          <w:marRight w:val="0"/>
          <w:marTop w:val="0"/>
          <w:marBottom w:val="0"/>
          <w:divBdr>
            <w:top w:val="none" w:sz="0" w:space="0" w:color="auto"/>
            <w:left w:val="none" w:sz="0" w:space="0" w:color="auto"/>
            <w:bottom w:val="none" w:sz="0" w:space="0" w:color="auto"/>
            <w:right w:val="none" w:sz="0" w:space="0" w:color="auto"/>
          </w:divBdr>
        </w:div>
        <w:div w:id="373771432">
          <w:marLeft w:val="0"/>
          <w:marRight w:val="0"/>
          <w:marTop w:val="0"/>
          <w:marBottom w:val="0"/>
          <w:divBdr>
            <w:top w:val="none" w:sz="0" w:space="0" w:color="auto"/>
            <w:left w:val="none" w:sz="0" w:space="0" w:color="auto"/>
            <w:bottom w:val="none" w:sz="0" w:space="0" w:color="auto"/>
            <w:right w:val="none" w:sz="0" w:space="0" w:color="auto"/>
          </w:divBdr>
        </w:div>
      </w:divsChild>
    </w:div>
    <w:div w:id="1857304572">
      <w:bodyDiv w:val="1"/>
      <w:marLeft w:val="0"/>
      <w:marRight w:val="0"/>
      <w:marTop w:val="0"/>
      <w:marBottom w:val="0"/>
      <w:divBdr>
        <w:top w:val="none" w:sz="0" w:space="0" w:color="auto"/>
        <w:left w:val="none" w:sz="0" w:space="0" w:color="auto"/>
        <w:bottom w:val="none" w:sz="0" w:space="0" w:color="auto"/>
        <w:right w:val="none" w:sz="0" w:space="0" w:color="auto"/>
      </w:divBdr>
    </w:div>
    <w:div w:id="2022052043">
      <w:bodyDiv w:val="1"/>
      <w:marLeft w:val="0"/>
      <w:marRight w:val="0"/>
      <w:marTop w:val="0"/>
      <w:marBottom w:val="0"/>
      <w:divBdr>
        <w:top w:val="none" w:sz="0" w:space="0" w:color="auto"/>
        <w:left w:val="none" w:sz="0" w:space="0" w:color="auto"/>
        <w:bottom w:val="none" w:sz="0" w:space="0" w:color="auto"/>
        <w:right w:val="none" w:sz="0" w:space="0" w:color="auto"/>
      </w:divBdr>
    </w:div>
    <w:div w:id="2046825781">
      <w:bodyDiv w:val="1"/>
      <w:marLeft w:val="0"/>
      <w:marRight w:val="0"/>
      <w:marTop w:val="0"/>
      <w:marBottom w:val="0"/>
      <w:divBdr>
        <w:top w:val="none" w:sz="0" w:space="0" w:color="auto"/>
        <w:left w:val="none" w:sz="0" w:space="0" w:color="auto"/>
        <w:bottom w:val="none" w:sz="0" w:space="0" w:color="auto"/>
        <w:right w:val="none" w:sz="0" w:space="0" w:color="auto"/>
      </w:divBdr>
    </w:div>
    <w:div w:id="2117677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23" Type="http://schemas.microsoft.com/office/2019/05/relationships/documenttasks" Target="documenttasks/documenttasks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A059C4A0-6165-4870-94B6-985AED25D621}">
    <t:Anchor>
      <t:Comment id="598521831"/>
    </t:Anchor>
    <t:History>
      <t:Event id="{F2DA7CE9-7AE5-4FFE-95C0-CB75F89A7786}" time="2022-09-08T11:08:50.578Z">
        <t:Attribution userId="S::jurga.valainyte@am.lt::bc4aeb23-704d-4d05-9bac-d416f16945e3" userProvider="AD" userName="Jurga Valainytė"/>
        <t:Anchor>
          <t:Comment id="598521831"/>
        </t:Anchor>
        <t:Create/>
      </t:Event>
      <t:Event id="{F92D8B9D-A042-4D63-B943-71B24BC5EB87}" time="2022-09-08T11:08:50.578Z">
        <t:Attribution userId="S::jurga.valainyte@am.lt::bc4aeb23-704d-4d05-9bac-d416f16945e3" userProvider="AD" userName="Jurga Valainytė"/>
        <t:Anchor>
          <t:Comment id="598521831"/>
        </t:Anchor>
        <t:Assign userId="S::aiste.rakauskiene@am.lt::30bdc3fb-26eb-44c4-a7b4-5f917680d675" userProvider="AD" userName="Aistė Rakauskienė"/>
      </t:Event>
      <t:Event id="{A9B93F0F-BC85-426D-92F8-43BEC1A3A15B}" time="2022-09-08T11:08:50.578Z">
        <t:Attribution userId="S::jurga.valainyte@am.lt::bc4aeb23-704d-4d05-9bac-d416f16945e3" userProvider="AD" userName="Jurga Valainytė"/>
        <t:Anchor>
          <t:Comment id="598521831"/>
        </t:Anchor>
        <t:SetTitle title="@Aistė, ar teisingos pastabos dėl deklaracijos teikimo? Ar techninės pagalbos teikėjai nebus įpareigoti jos pildyti?"/>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SharedWithUsers xmlns="19cf09c5-daa1-4028-a0ff-74a0be4ec5cc">
      <UserInfo>
        <DisplayName>Stasile Znutienė</DisplayName>
        <AccountId>529</AccountId>
        <AccountType/>
      </UserInfo>
      <UserInfo>
        <DisplayName>Aistė Rakauskienė</DisplayName>
        <AccountId>169</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f19f153c7fc86d53d54caf2a57d138cd">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1f27571b37de6a29d28573d3a3e81b2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cc9d4cf1b6934295807ac4585f994f17" PartId="8cf37c899c3146cfbac1c8ea46cc1ef2">
    <Part Type="signatura" DocPartId="40decdcfe75a4fcf8dff476f74fca78f" PartId="28264446c10b41579b766e9a633addff"/>
  </Part>
</Parts>
</file>

<file path=customXml/itemProps1.xml><?xml version="1.0" encoding="utf-8"?>
<ds:datastoreItem xmlns:ds="http://schemas.openxmlformats.org/officeDocument/2006/customXml" ds:itemID="{412D0188-7A5D-4C21-9380-3DBB00932ED0}">
  <ds:schemaRefs>
    <ds:schemaRef ds:uri="http://schemas.microsoft.com/sharepoint/v3/contenttype/forms"/>
  </ds:schemaRefs>
</ds:datastoreItem>
</file>

<file path=customXml/itemProps2.xml><?xml version="1.0" encoding="utf-8"?>
<ds:datastoreItem xmlns:ds="http://schemas.openxmlformats.org/officeDocument/2006/customXml" ds:itemID="{93AE403C-0245-4605-AAB0-85A4FA4B10AE}">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3.xml><?xml version="1.0" encoding="utf-8"?>
<ds:datastoreItem xmlns:ds="http://schemas.openxmlformats.org/officeDocument/2006/customXml" ds:itemID="{4F00C1CA-A2BF-4947-8198-2F56D129CE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4B4860E-22B8-47F2-8551-9E1987928EC0}">
  <ds:schemaRefs>
    <ds:schemaRef ds:uri="http://schemas.openxmlformats.org/officeDocument/2006/bibliography"/>
  </ds:schemaRefs>
</ds:datastoreItem>
</file>

<file path=customXml/itemProps5.xml><?xml version="1.0" encoding="utf-8"?>
<ds:datastoreItem xmlns:ds="http://schemas.openxmlformats.org/officeDocument/2006/customXml" ds:itemID="{88B67794-47D4-4600-BD61-E89509ED73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5106</Words>
  <Characters>36153</Characters>
  <Application>Microsoft Office Word</Application>
  <DocSecurity>4</DocSecurity>
  <Lines>1129</Lines>
  <Paragraphs>273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40986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2022-11-03T09:01:00Z</dcterms:created>
  <dc:creator>Nerijus Karklas</dc:creator>
  <lastModifiedBy>adlibuser</lastModifiedBy>
  <dcterms:modified xsi:type="dcterms:W3CDTF">2022-11-03T09:01:00Z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