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1f7c3d28d8145e48c7735fd5f476251"/>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32702E69" wp14:editId="14B1531B">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pacing w:line="276" w:lineRule="auto"/>
                  <w:jc w:val="both"/>
                  <w:rPr>
                    <w:rFonts w:eastAsia="Andale Sans UI"/>
                    <w:szCs w:val="24"/>
                    <w:lang w:bidi="en-US"/>
                  </w:rPr>
                </w:pPr>
                <w:r>
                  <w:rPr>
                    <w:rFonts w:eastAsia="Andale Sans UI"/>
                    <w:szCs w:val="24"/>
                    <w:lang w:bidi="en-US"/>
                  </w:rPr>
                  <w:t>Adresatams pagal pridedamą sąrašą</w:t>
                </w:r>
              </w:p>
              <w:p>
                <w:pPr>
                  <w:suppressLineNumbers/>
                  <w:spacing w:line="276" w:lineRule="auto"/>
                  <w:jc w:val="both"/>
                  <w:rPr>
                    <w:rFonts w:eastAsia="Andale Sans UI" w:cs="Tahoma"/>
                    <w:spacing w:val="10"/>
                    <w:szCs w:val="24"/>
                    <w:lang w:bidi="en-US"/>
                  </w:rPr>
                </w:pPr>
              </w:p>
              <w:p>
                <w:pPr>
                  <w:suppressLineNumbers/>
                  <w:spacing w:line="276" w:lineRule="auto"/>
                  <w:jc w:val="both"/>
                  <w:rPr>
                    <w:rFonts w:eastAsia="Andale Sans UI" w:cs="Tahoma"/>
                    <w:spacing w:val="10"/>
                    <w:szCs w:val="24"/>
                    <w:lang w:bidi="en-US"/>
                  </w:rPr>
                </w:pPr>
              </w:p>
              <w:p>
                <w:pPr>
                  <w:suppressLineNumbers/>
                  <w:spacing w:line="276" w:lineRule="auto"/>
                  <w:jc w:val="both"/>
                  <w:rPr>
                    <w:rFonts w:eastAsia="Andale Sans UI" w:cs="Tahoma"/>
                    <w:spacing w:val="10"/>
                    <w:szCs w:val="24"/>
                    <w:lang w:bidi="en-US"/>
                  </w:rPr>
                </w:pPr>
              </w:p>
            </w:tc>
            <w:tc>
              <w:tcPr>
                <w:tcW w:w="282" w:type="dxa"/>
                <w:tcMar>
                  <w:top w:w="0" w:type="dxa"/>
                  <w:left w:w="0" w:type="dxa"/>
                  <w:bottom w:w="0" w:type="dxa"/>
                  <w:right w:w="0" w:type="dxa"/>
                </w:tcMar>
              </w:tcPr>
              <w:p>
                <w:pPr>
                  <w:spacing w:line="276"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cs="Tahoma"/>
                    <w:szCs w:val="24"/>
                    <w:lang w:bidi="en-US"/>
                  </w:rPr>
                </w:pPr>
                <w:r>
                  <w:rPr>
                    <w:rFonts w:eastAsia="Andale Sans UI" w:cs="Tahoma"/>
                    <w:szCs w:val="24"/>
                    <w:lang w:bidi="en-US"/>
                  </w:rPr>
                  <w:t>2022-</w:t>
                </w:r>
              </w:p>
            </w:tc>
            <w:tc>
              <w:tcPr>
                <w:tcW w:w="565" w:type="dxa"/>
              </w:tcPr>
              <w:p>
                <w:pPr>
                  <w:spacing w:line="276"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spacing w:line="276" w:lineRule="auto"/>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pPr>
                  <w:spacing w:line="276" w:lineRule="auto"/>
                  <w:jc w:val="both"/>
                  <w:rPr>
                    <w:rFonts w:eastAsia="Andale Sans UI" w:cs="Tahoma"/>
                    <w:szCs w:val="24"/>
                    <w:lang w:bidi="en-US"/>
                  </w:rPr>
                </w:pPr>
              </w:p>
            </w:tc>
            <w:tc>
              <w:tcPr>
                <w:tcW w:w="282" w:type="dxa"/>
                <w:tcMar>
                  <w:top w:w="0" w:type="dxa"/>
                  <w:left w:w="0" w:type="dxa"/>
                  <w:bottom w:w="0" w:type="dxa"/>
                  <w:right w:w="0" w:type="dxa"/>
                </w:tcMar>
              </w:tcPr>
              <w:p>
                <w:pPr>
                  <w:tabs>
                    <w:tab w:val="left" w:pos="2869"/>
                  </w:tabs>
                  <w:spacing w:line="276" w:lineRule="auto"/>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spacing w:line="276" w:lineRule="auto"/>
                  <w:ind w:right="67"/>
                  <w:jc w:val="both"/>
                  <w:rPr>
                    <w:rFonts w:eastAsia="Andale Sans UI" w:cs="Tahoma"/>
                    <w:szCs w:val="24"/>
                    <w:lang w:bidi="en-US"/>
                  </w:rPr>
                </w:pPr>
              </w:p>
            </w:tc>
            <w:tc>
              <w:tcPr>
                <w:tcW w:w="565" w:type="dxa"/>
              </w:tcPr>
              <w:p>
                <w:pPr>
                  <w:tabs>
                    <w:tab w:val="left" w:pos="2869"/>
                  </w:tabs>
                  <w:spacing w:line="276"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spacing w:line="276" w:lineRule="auto"/>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pPr>
                  <w:spacing w:line="276" w:lineRule="auto"/>
                  <w:jc w:val="both"/>
                  <w:rPr>
                    <w:rFonts w:eastAsia="Andale Sans UI" w:cs="Tahoma"/>
                    <w:szCs w:val="24"/>
                    <w:lang w:bidi="en-US"/>
                  </w:rPr>
                </w:pPr>
              </w:p>
            </w:tc>
            <w:tc>
              <w:tcPr>
                <w:tcW w:w="4821" w:type="dxa"/>
                <w:gridSpan w:val="4"/>
                <w:tcMar>
                  <w:top w:w="0" w:type="dxa"/>
                  <w:left w:w="0" w:type="dxa"/>
                  <w:bottom w:w="0" w:type="dxa"/>
                  <w:right w:w="0" w:type="dxa"/>
                </w:tcMar>
              </w:tcPr>
              <w:p>
                <w:pPr>
                  <w:tabs>
                    <w:tab w:val="left" w:pos="2869"/>
                  </w:tabs>
                  <w:spacing w:line="276" w:lineRule="auto"/>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pacing w:line="276" w:lineRule="auto"/>
                  <w:jc w:val="both"/>
                  <w:rPr>
                    <w:rFonts w:eastAsia="Andale Sans UI" w:cs="Tahoma"/>
                    <w:b/>
                    <w:bCs/>
                    <w:szCs w:val="24"/>
                    <w:lang w:bidi="en-US"/>
                  </w:rPr>
                </w:pPr>
                <w:r>
                  <w:rPr>
                    <w:rFonts w:eastAsia="Andale Sans UI" w:cs="Tahoma"/>
                    <w:b/>
                    <w:szCs w:val="24"/>
                    <w:lang w:bidi="en-US"/>
                  </w:rPr>
                  <w:t xml:space="preserve">DĖL </w:t>
                </w:r>
                <w:r>
                  <w:rPr>
                    <w:rFonts w:eastAsia="Andale Sans UI" w:cs="Tahoma"/>
                    <w:b/>
                    <w:color w:val="2B579A"/>
                    <w:szCs w:val="24"/>
                    <w:shd w:val="clear" w:color="auto" w:fill="E6E6E6"/>
                    <w:lang w:val="en-US"/>
                  </w:rPr>
                  <mc:AlternateContent>
                    <mc:Choice Requires="wps">
                      <w:drawing>
                        <wp:anchor distT="0" distB="0" distL="114300" distR="114300" simplePos="0" relativeHeight="251659264" behindDoc="0" locked="0" layoutInCell="1" allowOverlap="1" wp14:anchorId="71CDE7EE" wp14:editId="03478D5A">
                          <wp:simplePos x="0" y="0"/>
                          <wp:positionH relativeFrom="column">
                            <wp:posOffset>-1080135</wp:posOffset>
                          </wp:positionH>
                          <wp:positionV relativeFrom="paragraph">
                            <wp:posOffset>-720090</wp:posOffset>
                          </wp:positionV>
                          <wp:extent cx="9525" cy="9525"/>
                          <wp:effectExtent l="0" t="3810" r="3810" b="0"/>
                          <wp:wrapNone/>
                          <wp:docPr id="2" name="Rectangle 2"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5846E8D" id="Rectangle 2" o:spid="_x0000_s1026" style="position:absolute;margin-left:-85.05pt;margin-top:-56.7pt;width:.75pt;height:.75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CT5s1AEAAJ0DAAAOAAAAZHJzL2Uyb0RvYy54bWysU9tu2zAMfR+wfxD0vjgOkm014hRFiw4D ugvQ7gMUWbKF2aJGKnGyrx+lpG62vQ17EXjz4SF5vL4+DL3YGyQHvpblbC6F8Roa59tafnu6f/Ne CorKN6oHb2p5NCSvN69frcdQmQV00DcGBYN4qsZQyy7GUBUF6c4MimYQjOekBRxUZBfbokE1MvrQ F4v5/G0xAjYBQRsijt6dknKT8a01On6xlkwUfS2ZW8wv5neb3mKzVlWLKnROn2mof2AxKOe56QR1 p6ISO3R/QQ1OIxDYONMwFGCt0ybPwNOU8z+meexUMHkWXg6FaU30/2D15/1j+IqJOoUH0N9JeLjt lG/NDSKMnVENtyvlFM6kno6Bj1mm9RVjoGqCSQ4xoNiOn6DhGrWLkDdzsDikNjyzOOQDHKcDmEMU moNXq8VKCs2JbCV0VT1/GJDiBwODSEYtkW+bgdX+geKp9Lkk9fFw7/o+37f3vwUYM0Uy8cQ1iYWq LTRH5o1w0ghrmo0O8KcUI+ujlvRjp9BI0X/0vJGrcrlMgsrOcvVuwQ5eZraXGeU1Q9UySnEyb+NJ hLuAru24U5ln8XDD+7Iuz/PC6kyWNZA3ctZrEtmln6te/qrNLwAAAP//AwBQSwMEFAAGAAgAAAAh AMp0ZuXjAAAADwEAAA8AAABkcnMvZG93bnJldi54bWxMj8tOwzAQRfdI/IM1SOxSx6UKaYhToUp0 UVClBrp3kyGJiMchdlPz97jdwG4eR3fO5CuvezbhaDtDEsQsBoZUmbqjRsLH+0uUArNOUa16Qyjh By2situbXGW1OdMep9I1LISQzZSE1rkh49xWLWplZ2ZACrtPM2rlQjs2vB7VOYTrns/jOOFadRQu tGrAdYvVV3nSEg67brv9Tt82a+c3r/OdN1O5X0h5f+efn4A59O4Phot+UIciOB3NiWrLegmReIxF YC+VeFgAC0wkkjQBdrzOxBJ4kfP/fxS/AAAA//8DAFBLAQItABQABgAIAAAAIQC2gziS/gAAAOEB AAATAAAAAAAAAAAAAAAAAAAAAABbQ29udGVudF9UeXBlc10ueG1sUEsBAi0AFAAGAAgAAAAhADj9 If/WAAAAlAEAAAsAAAAAAAAAAAAAAAAALwEAAF9yZWxzLy5yZWxzUEsBAi0AFAAGAAgAAAAhAP0J PmzUAQAAnQMAAA4AAAAAAAAAAAAAAAAALgIAAGRycy9lMm9Eb2MueG1sUEsBAi0AFAAGAAgAAAAh AMp0ZuXjAAAADwEAAA8AAAAAAAAAAAAAAAAALgQAAGRycy9kb3ducmV2LnhtbFBLBQYAAAAABAAE APMAAAA+BQAAAAA= " filled="f" stroked="f">
                          <o:lock v:ext="edit" shapetype="t"/>
                        </v:rect>
                      </w:pict>
                    </mc:Fallback>
                  </mc:AlternateContent>
                </w:r>
                <w:r>
                  <w:rPr>
                    <w:rFonts w:eastAsia="Andale Sans UI" w:cs="Tahoma"/>
                    <w:b/>
                    <w:bCs/>
                    <w:szCs w:val="24"/>
                    <w:lang w:bidi="en-US"/>
                  </w:rPr>
                  <w:t xml:space="preserve">LIETUVOS RESPUBLIKOS APLINKOS MINISTRO IR </w:t>
                </w:r>
                <w:r>
                  <w:rPr>
                    <w:rFonts w:eastAsia="Andale Sans UI" w:cs="Tahoma"/>
                    <w:b/>
                    <w:color w:val="2B579A"/>
                    <w:szCs w:val="24"/>
                    <w:shd w:val="clear" w:color="auto" w:fill="E6E6E6"/>
                    <w:lang w:val="en-US"/>
                  </w:rPr>
                  <mc:AlternateContent>
                    <mc:Choice Requires="wps">
                      <w:drawing>
                        <wp:anchor distT="0" distB="0" distL="114300" distR="114300" simplePos="0" relativeHeight="251660288" behindDoc="0" locked="0" layoutInCell="1" allowOverlap="1" wp14:anchorId="6B065AC8" wp14:editId="6DD5A77D">
                          <wp:simplePos x="0" y="0"/>
                          <wp:positionH relativeFrom="column">
                            <wp:posOffset>-1080135</wp:posOffset>
                          </wp:positionH>
                          <wp:positionV relativeFrom="paragraph">
                            <wp:posOffset>-720090</wp:posOffset>
                          </wp:positionV>
                          <wp:extent cx="9525" cy="9525"/>
                          <wp:effectExtent l="0" t="3810" r="3810" b="0"/>
                          <wp:wrapNone/>
                          <wp:docPr id="4" name="Rectangle 4"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097AF8" id="Rectangle 4" o:spid="_x0000_s1026" style="position:absolute;margin-left:-85.05pt;margin-top:-56.7pt;width:.75pt;height:.75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CT5s1AEAAJ0DAAAOAAAAZHJzL2Uyb0RvYy54bWysU9tu2zAMfR+wfxD0vjgOkm014hRFiw4D ugvQ7gMUWbKF2aJGKnGyrx+lpG62vQ17EXjz4SF5vL4+DL3YGyQHvpblbC6F8Roa59tafnu6f/Ne CorKN6oHb2p5NCSvN69frcdQmQV00DcGBYN4qsZQyy7GUBUF6c4MimYQjOekBRxUZBfbokE1MvrQ F4v5/G0xAjYBQRsijt6dknKT8a01On6xlkwUfS2ZW8wv5neb3mKzVlWLKnROn2mof2AxKOe56QR1 p6ISO3R/QQ1OIxDYONMwFGCt0ybPwNOU8z+meexUMHkWXg6FaU30/2D15/1j+IqJOoUH0N9JeLjt lG/NDSKMnVENtyvlFM6kno6Bj1mm9RVjoGqCSQ4xoNiOn6DhGrWLkDdzsDikNjyzOOQDHKcDmEMU moNXq8VKCs2JbCV0VT1/GJDiBwODSEYtkW+bgdX+geKp9Lkk9fFw7/o+37f3vwUYM0Uy8cQ1iYWq LTRH5o1w0ghrmo0O8KcUI+ujlvRjp9BI0X/0vJGrcrlMgsrOcvVuwQ5eZraXGeU1Q9UySnEyb+NJ hLuAru24U5ln8XDD+7Iuz/PC6kyWNZA3ctZrEtmln6te/qrNLwAAAP//AwBQSwMEFAAGAAgAAAAh AMp0ZuXjAAAADwEAAA8AAABkcnMvZG93bnJldi54bWxMj8tOwzAQRfdI/IM1SOxSx6UKaYhToUp0 UVClBrp3kyGJiMchdlPz97jdwG4eR3fO5CuvezbhaDtDEsQsBoZUmbqjRsLH+0uUArNOUa16Qyjh By2situbXGW1OdMep9I1LISQzZSE1rkh49xWLWplZ2ZACrtPM2rlQjs2vB7VOYTrns/jOOFadRQu tGrAdYvVV3nSEg67brv9Tt82a+c3r/OdN1O5X0h5f+efn4A59O4Phot+UIciOB3NiWrLegmReIxF YC+VeFgAC0wkkjQBdrzOxBJ4kfP/fxS/AAAA//8DAFBLAQItABQABgAIAAAAIQC2gziS/gAAAOEB AAATAAAAAAAAAAAAAAAAAAAAAABbQ29udGVudF9UeXBlc10ueG1sUEsBAi0AFAAGAAgAAAAhADj9 If/WAAAAlAEAAAsAAAAAAAAAAAAAAAAALwEAAF9yZWxzLy5yZWxzUEsBAi0AFAAGAAgAAAAhAP0J PmzUAQAAnQMAAA4AAAAAAAAAAAAAAAAALgIAAGRycy9lMm9Eb2MueG1sUEsBAi0AFAAGAAgAAAAh AMp0ZuXjAAAADwEAAA8AAAAAAAAAAAAAAAAALgQAAGRycy9kb3ducmV2LnhtbFBLBQYAAAAABAAE APMAAAA+BQAAAAA= " filled="f" stroked="f">
                          <o:lock v:ext="edit" shapetype="t"/>
                        </v:rect>
                      </w:pict>
                    </mc:Fallback>
                  </mc:AlternateContent>
                </w:r>
                <w:r>
                  <w:rPr>
                    <w:rFonts w:eastAsia="Andale Sans UI" w:cs="Tahoma"/>
                    <w:b/>
                    <w:bCs/>
                    <w:szCs w:val="24"/>
                    <w:lang w:bidi="en-US"/>
                  </w:rPr>
                  <w:t xml:space="preserve">LIETUVOS RESPUBLIKOS SUSISIEKIMO MINISTRO ĮSAKYMO „DĖL </w:t>
                </w:r>
                <w:r>
                  <w:rPr>
                    <w:rFonts w:eastAsia="Andale Sans UI" w:cs="Tahoma"/>
                    <w:b/>
                    <w:szCs w:val="24"/>
                    <w:lang w:bidi="en-US"/>
                  </w:rPr>
                  <w:t>REIKALAVIMŲ TRANSPORTO PRIEMONIŲ TECHNINEI PRIEŽIŪRAI, REMONTUI, TECHNINEI PAGALBAI IR PERDIRBIMUI APRAŠO PATVIRTINIMO“</w:t>
                </w:r>
              </w:p>
              <w:p>
                <w:pPr>
                  <w:suppressLineNumbers/>
                  <w:spacing w:line="276" w:lineRule="auto"/>
                  <w:jc w:val="both"/>
                  <w:rPr>
                    <w:rFonts w:eastAsia="Andale Sans UI" w:cs="Tahoma"/>
                    <w:b/>
                    <w:bCs/>
                    <w:szCs w:val="24"/>
                    <w:lang w:bidi="en-US"/>
                  </w:rPr>
                </w:pPr>
              </w:p>
              <w:p>
                <w:pPr>
                  <w:suppressLineNumbers/>
                  <w:spacing w:line="276" w:lineRule="auto"/>
                  <w:jc w:val="both"/>
                  <w:rPr>
                    <w:rFonts w:eastAsia="Andale Sans UI" w:cs="Tahoma"/>
                    <w:b/>
                    <w:bCs/>
                    <w:szCs w:val="24"/>
                    <w:lang w:bidi="en-US"/>
                  </w:rPr>
                </w:pPr>
              </w:p>
            </w:tc>
          </w:tr>
        </w:tbl>
        <w:p/>
      </w:sdtContent>
    </w:sdt>
    <w:sdt>
      <w:sdtPr>
        <w:alias w:val="pastraipa"/>
        <w:tag w:val="part_8b896b417f17463f8586bfa772eb95c1"/>
        <w:lock w:val="sdtLocked"/>
        <w:richText/>
      </w:sdtPr>
      <w:sdtContent>
        <w:p>
          <w:pPr>
            <w:shd w:val="clear" w:color="auto" w:fill="FFFFFF"/>
            <w:spacing w:line="276" w:lineRule="auto"/>
            <w:ind w:firstLine="567"/>
            <w:jc w:val="both"/>
            <w:rPr>
              <w:rFonts w:eastAsia="Andale Sans UI"/>
              <w:color w:val="000000"/>
              <w:szCs w:val="24"/>
              <w:highlight w:val="yellow"/>
              <w:lang w:bidi="en-US"/>
            </w:rPr>
          </w:pPr>
          <w:r>
            <w:rPr>
              <w:rFonts w:eastAsia="Andale Sans UI"/>
              <w:szCs w:val="24"/>
              <w:lang w:bidi="en-US"/>
            </w:rPr>
            <w:t xml:space="preserve">Aplinkos ministerija ir Susisiekimo ministerija pakartotinai teikia derinti Lietuvos Respublikos </w:t>
          </w:r>
          <w:r>
            <w:rPr>
              <w:rFonts w:eastAsia="Andale Sans UI"/>
              <w:color w:val="000000"/>
              <w:szCs w:val="24"/>
              <w:lang w:bidi="en-US"/>
            </w:rPr>
            <w:t xml:space="preserve">susisiekimo ministro ir Lietuvos Respublikos aplinkos ministro įsakymo „Dėl </w:t>
          </w:r>
          <w:r>
            <w:rPr>
              <w:rFonts w:eastAsia="Andale Sans UI"/>
              <w:szCs w:val="24"/>
              <w:lang w:bidi="en-US"/>
            </w:rPr>
            <w:t xml:space="preserve">Reikalavimų transporto priemonių techninei priežiūrai, remontui, techninei pagalbai ir perdirbimui aprašo patvirtinimo“ </w:t>
          </w:r>
          <w:r>
            <w:rPr>
              <w:rFonts w:eastAsia="Andale Sans UI"/>
              <w:color w:val="000000"/>
              <w:szCs w:val="24"/>
              <w:lang w:bidi="en-US"/>
            </w:rPr>
            <w:t xml:space="preserve">projektą </w:t>
          </w:r>
          <w:r>
            <w:rPr>
              <w:rFonts w:eastAsia="Andale Sans UI"/>
              <w:szCs w:val="24"/>
              <w:lang w:bidi="en-US"/>
            </w:rPr>
            <w:t>(toliau – Reikalavimų projektas)</w:t>
          </w:r>
          <w:r>
            <w:rPr>
              <w:rFonts w:eastAsia="Andale Sans UI"/>
              <w:color w:val="000000"/>
              <w:szCs w:val="24"/>
              <w:lang w:bidi="en-US"/>
            </w:rPr>
            <w:t>.</w:t>
          </w:r>
          <w:r>
            <w:rPr>
              <w:b/>
              <w:bCs/>
              <w:szCs w:val="24"/>
            </w:rPr>
            <w:t xml:space="preserve"> </w:t>
          </w:r>
          <w:r>
            <w:rPr>
              <w:szCs w:val="24"/>
            </w:rPr>
            <w:t>Kartu teikiamas derinti</w:t>
          </w:r>
          <w:r>
            <w:rPr>
              <w:b/>
              <w:bCs/>
              <w:szCs w:val="24"/>
            </w:rPr>
            <w:t xml:space="preserve"> </w:t>
          </w:r>
          <w:r>
            <w:rPr>
              <w:szCs w:val="24"/>
            </w:rPr>
            <w:t>Lietuvos Respublikos</w:t>
          </w:r>
          <w:r>
            <w:rPr>
              <w:b/>
              <w:bCs/>
              <w:szCs w:val="24"/>
            </w:rPr>
            <w:t xml:space="preserve"> </w:t>
          </w:r>
          <w:r>
            <w:rPr>
              <w:rFonts w:eastAsia="Andale Sans UI"/>
              <w:szCs w:val="24"/>
              <w:lang w:bidi="en-US"/>
            </w:rPr>
            <w:t xml:space="preserve">aplinkos ministro 2007 m. liepos 13 d. įsakymo Nr. D1-405 „Dėl Aplinkos apsaugos reikalavimų transporto priemonių techninei priežiūrai ir remontui aprašo patvirtinimo“ pripažinimo netekusiu galios projektas (toliau – Pripažinimo netekusiu galios projektas). Reikalavimų projektas </w:t>
          </w:r>
          <w:r>
            <w:rPr>
              <w:color w:val="000000"/>
              <w:szCs w:val="24"/>
              <w:lang w:eastAsia="lt-LT"/>
            </w:rPr>
            <w:t>pataisytas atsižvelgus į</w:t>
          </w:r>
          <w:r>
            <w:rPr>
              <w:rFonts w:eastAsia="Andale Sans UI"/>
              <w:szCs w:val="24"/>
              <w:lang w:bidi="en-US"/>
            </w:rPr>
            <w:t xml:space="preserve"> pirminio derinimo</w:t>
          </w:r>
          <w:r>
            <w:rPr>
              <w:rFonts w:eastAsia="Andale Sans UI"/>
              <w:szCs w:val="24"/>
              <w:vertAlign w:val="superscript"/>
              <w:lang w:bidi="en-US"/>
            </w:rPr>
            <w:footnoteReference w:id="1"/>
          </w:r>
          <w:r>
            <w:rPr>
              <w:rFonts w:eastAsia="Andale Sans UI"/>
              <w:szCs w:val="24"/>
              <w:lang w:bidi="en-US"/>
            </w:rPr>
            <w:t xml:space="preserve"> metu suinteresuotų institucijų ir socialinių-ekonominių partnerių pateiktas pastabas: pakoreguota sąvoka „techninė pagalba“; nustatyta, kad </w:t>
          </w:r>
          <w:r>
            <w:rPr>
              <w:rFonts w:eastAsia="Andale Sans UI" w:cs="Tahoma"/>
              <w:color w:val="000000"/>
              <w:szCs w:val="24"/>
              <w:lang w:bidi="en-US"/>
            </w:rPr>
            <w:t xml:space="preserve">prieš pildant transporto priemonės oro kondicionavimo sistemą </w:t>
          </w:r>
          <w:r>
            <w:rPr>
              <w:szCs w:val="24"/>
            </w:rPr>
            <w:t>fluorintomis šiltnamio efektą sukeliančiomis dujomis</w:t>
          </w:r>
          <w:r>
            <w:rPr>
              <w:rFonts w:eastAsia="Andale Sans UI" w:cs="Tahoma"/>
              <w:color w:val="000000"/>
              <w:szCs w:val="24"/>
              <w:lang w:bidi="en-US"/>
            </w:rPr>
            <w:t xml:space="preserve"> </w:t>
          </w:r>
          <w:r>
            <w:rPr>
              <w:szCs w:val="24"/>
              <w:lang w:eastAsia="lt-LT"/>
            </w:rPr>
            <w:t xml:space="preserve">privaloma atlikti transporto priemonių oro kondicionavimo sistemų techninės įrangos patikrą </w:t>
          </w:r>
          <w:r>
            <w:rPr>
              <w:szCs w:val="24"/>
            </w:rPr>
            <w:t>ir kad nustačius pažeidimą draudžiama ją pildyti neatlikus įrangos pažeidimų remonto,</w:t>
          </w:r>
          <w:r>
            <w:rPr>
              <w:rFonts w:eastAsia="Andale Sans UI" w:cs="Tahoma"/>
              <w:color w:val="000000"/>
              <w:szCs w:val="24"/>
              <w:lang w:bidi="en-US"/>
            </w:rPr>
            <w:t xml:space="preserve"> atlikti kiti pakeitimai.</w:t>
          </w:r>
          <w:r>
            <w:rPr>
              <w:rFonts w:eastAsia="Andale Sans UI"/>
              <w:szCs w:val="24"/>
              <w:lang w:bidi="en-US"/>
            </w:rPr>
            <w:t xml:space="preserve"> Pastabų dėl Pripažinimo netekusiu galios projekto nebuvo pateikta.</w:t>
          </w:r>
        </w:p>
      </w:sdtContent>
    </w:sdt>
    <w:sdt>
      <w:sdtPr>
        <w:alias w:val="pastraipa"/>
        <w:tag w:val="part_e1fb7970a0e44af79587a9ffaf675309"/>
        <w:lock w:val="sdtLocked"/>
        <w:richText/>
      </w:sdtPr>
      <w:sdtContent>
        <w:p>
          <w:pPr>
            <w:shd w:val="clear" w:color="auto" w:fill="FFFFFF"/>
            <w:spacing w:line="276" w:lineRule="auto"/>
            <w:ind w:firstLine="567"/>
            <w:jc w:val="both"/>
            <w:rPr>
              <w:rFonts w:eastAsia="Andale Sans UI" w:cs="Tahoma"/>
              <w:bCs/>
              <w:color w:val="000000"/>
              <w:szCs w:val="24"/>
              <w:lang w:bidi="en-US"/>
            </w:rPr>
          </w:pPr>
          <w:r>
            <w:rPr>
              <w:rFonts w:eastAsia="Andale Sans UI"/>
              <w:szCs w:val="24"/>
              <w:lang w:bidi="en-US"/>
            </w:rPr>
            <w:t>Siekiant mažinti neigiamą transporto priemonių techninės priežiūros ir remonto veiklos poveikį aplinkai, Aplinkos apsaugos reikalavimų transporto priemonių techninei priežiūrai ir remontui apraše</w:t>
          </w:r>
          <w:r>
            <w:rPr>
              <w:rFonts w:eastAsia="Andale Sans UI"/>
              <w:szCs w:val="24"/>
              <w:vertAlign w:val="superscript"/>
              <w:lang w:bidi="en-US"/>
            </w:rPr>
            <w:footnoteReference w:id="2"/>
          </w:r>
          <w:r>
            <w:rPr>
              <w:rFonts w:eastAsia="Andale Sans UI"/>
              <w:szCs w:val="24"/>
              <w:lang w:bidi="en-US"/>
            </w:rPr>
            <w:t xml:space="preserve"> (toliau – Aprašas) nustatyti</w:t>
          </w:r>
          <w:r>
            <w:rPr>
              <w:rFonts w:eastAsia="Andale Sans UI"/>
              <w:color w:val="000000"/>
              <w:szCs w:val="24"/>
              <w:shd w:val="clear" w:color="auto" w:fill="FFFFFF"/>
              <w:lang w:bidi="en-US"/>
            </w:rPr>
            <w:t xml:space="preserve"> aplinkos apsaugos reikalavimai transporto priemonių techninės priežiūros ir </w:t>
          </w:r>
          <w:r>
            <w:rPr>
              <w:rFonts w:eastAsia="Andale Sans UI"/>
              <w:szCs w:val="24"/>
              <w:lang w:bidi="en-US"/>
            </w:rPr>
            <w:t>remonto dirbtuvių įrengimui, transporto priemonių techninės priežiūros ir remonto metu susidarančių atliekų ir nuotekų tvarkymui, aplinkos oro apsaugai</w:t>
          </w:r>
          <w:r>
            <w:rPr>
              <w:rFonts w:eastAsia="Andale Sans UI"/>
              <w:color w:val="000000"/>
              <w:szCs w:val="24"/>
              <w:shd w:val="clear" w:color="auto" w:fill="FFFFFF"/>
              <w:vertAlign w:val="superscript"/>
              <w:lang w:bidi="en-US"/>
            </w:rPr>
            <w:footnoteReference w:id="3"/>
          </w:r>
          <w:r>
            <w:rPr>
              <w:rFonts w:eastAsia="Andale Sans UI"/>
              <w:szCs w:val="24"/>
              <w:lang w:bidi="en-US"/>
            </w:rPr>
            <w:t xml:space="preserve">. </w:t>
          </w:r>
          <w:r>
            <w:rPr>
              <w:rFonts w:eastAsia="Andale Sans UI" w:cs="Tahoma"/>
              <w:color w:val="000000"/>
              <w:szCs w:val="24"/>
              <w:lang w:bidi="en-US"/>
            </w:rPr>
            <w:t>Transporto priemonių techninio aptarnavimo ir remonto paslaugų teikimo tvarkos aprašas, patvirtintas Valstybinės transporto inspekcijos prie Susisiekimo ministerijos viršininko 2016 m. vasario 1 d. įsakymu Nr. 2BE-45 „Dėl Transporto priemonių techninio aptarnavimo ir remonto paslaugų teikimo tvarkos aprašo patvirtinimo“, (toliau – Paslaugų aprašas), kurį pakeis patvirtintas Reikalavimų projektas, nustato transporto priemonių techninio aptarnavimo ir remonto paslaugų teikimo tvarką, reikalavimus transporto priemonių techninį aptarnavimą ir remontą atliekantiems asmenims</w:t>
          </w:r>
          <w:r>
            <w:rPr>
              <w:rFonts w:eastAsia="Andale Sans UI" w:cs="Tahoma"/>
              <w:color w:val="000000"/>
              <w:szCs w:val="24"/>
              <w:vertAlign w:val="superscript"/>
              <w:lang w:bidi="en-US"/>
            </w:rPr>
            <w:footnoteReference w:id="4"/>
          </w:r>
          <w:r>
            <w:rPr>
              <w:rFonts w:eastAsia="Andale Sans UI" w:cs="Tahoma"/>
              <w:color w:val="000000"/>
              <w:szCs w:val="24"/>
              <w:lang w:bidi="en-US"/>
            </w:rPr>
            <w:t>.</w:t>
          </w:r>
          <w:r>
            <w:rPr>
              <w:rFonts w:eastAsia="Andale Sans UI"/>
              <w:szCs w:val="24"/>
              <w:lang w:bidi="en-US"/>
            </w:rPr>
            <w:t xml:space="preserve"> Atsižvelgiant į gaunamus paklausimus, praktikoje pastebėtus Aprašo ir Paslaugų aprašo taikymo trūkumus, parengtas Reikalavimų projektas, kuriuo siekiama viename teisės akte nustatyti bendruosius ir aplinkos apsaugos reikalavimus </w:t>
          </w:r>
          <w:r>
            <w:rPr>
              <w:rFonts w:eastAsia="Andale Sans UI" w:cs="Tahoma"/>
              <w:color w:val="000000"/>
              <w:szCs w:val="24"/>
              <w:shd w:val="clear" w:color="auto" w:fill="FFFFFF"/>
              <w:lang w:bidi="en-US"/>
            </w:rPr>
            <w:t>transporto priemonių techninei priežiūrai, remontui, techninei pagalbai ir (ar) perdirbimui.</w:t>
          </w:r>
        </w:p>
      </w:sdtContent>
    </w:sdt>
    <w:sdt>
      <w:sdtPr>
        <w:alias w:val="pastraipa"/>
        <w:tag w:val="part_f90fbb20b79e438f9e6ab970f589a7ae"/>
        <w:lock w:val="sdtLocked"/>
        <w:richText/>
      </w:sdtPr>
      <w:sdtContent>
        <w:p>
          <w:pPr>
            <w:spacing w:line="276" w:lineRule="auto"/>
            <w:ind w:firstLine="567"/>
            <w:jc w:val="both"/>
            <w:rPr>
              <w:rFonts w:eastAsia="Andale Sans UI"/>
              <w:szCs w:val="24"/>
              <w:lang w:bidi="en-US"/>
            </w:rPr>
          </w:pPr>
          <w:r>
            <w:rPr>
              <w:rFonts w:eastAsia="Andale Sans UI"/>
              <w:szCs w:val="24"/>
              <w:lang w:bidi="en-US"/>
            </w:rPr>
            <w:t>Svarbiausi Reikalavimų projekte siūlomi pakeitimai:</w:t>
          </w:r>
        </w:p>
        <w:sdt>
          <w:sdtPr>
            <w:alias w:val="1 p."/>
            <w:tag w:val="part_f665ed4689fe4dfd92f9db6c22a75f2f"/>
            <w:lock w:val="sdtLocked"/>
            <w:richText/>
          </w:sdtPr>
          <w:sdtContent>
            <w:p>
              <w:pPr>
                <w:suppressAutoHyphens/>
                <w:spacing w:line="276" w:lineRule="auto"/>
                <w:ind w:firstLine="567"/>
                <w:jc w:val="both"/>
                <w:rPr>
                  <w:szCs w:val="24"/>
                  <w:lang w:eastAsia="lt-LT"/>
                </w:rPr>
              </w:pPr>
              <w:sdt>
                <w:sdtPr>
                  <w:alias w:val="Numeris"/>
                  <w:tag w:val="nr_f665ed4689fe4dfd92f9db6c22a75f2f"/>
                  <w:lock w:val="sdtLocked"/>
                  <w:richText/>
                </w:sdtPr>
                <w:sdtContent>
                  <w:r>
                    <w:rPr>
                      <w:szCs w:val="24"/>
                      <w:lang w:eastAsia="lt-LT"/>
                    </w:rPr>
                    <w:t>1</w:t>
                  </w:r>
                </w:sdtContent>
              </w:sdt>
              <w:r>
                <w:rPr>
                  <w:szCs w:val="24"/>
                  <w:lang w:eastAsia="lt-LT"/>
                </w:rPr>
                <w:t>. Atsisakoma kituose teisės aktuose pateikiamų nuostatų kartojimo, patikslinamos ir suvienodinamos vartotinos sąvokos, įvedama sąvoka „techninė pagalba“.</w:t>
              </w:r>
            </w:p>
          </w:sdtContent>
        </w:sdt>
        <w:sdt>
          <w:sdtPr>
            <w:alias w:val="2 p."/>
            <w:tag w:val="part_83e1986bb3104f1fa5c06696a051779b"/>
            <w:lock w:val="sdtLocked"/>
            <w:richText/>
          </w:sdtPr>
          <w:sdtContent>
            <w:p>
              <w:pPr>
                <w:suppressAutoHyphens/>
                <w:spacing w:line="276" w:lineRule="auto"/>
                <w:ind w:firstLine="567"/>
                <w:jc w:val="both"/>
                <w:rPr>
                  <w:bCs/>
                  <w:color w:val="000000"/>
                  <w:szCs w:val="24"/>
                  <w:lang w:eastAsia="lt-LT"/>
                </w:rPr>
              </w:pPr>
              <w:sdt>
                <w:sdtPr>
                  <w:alias w:val="Numeris"/>
                  <w:tag w:val="nr_83e1986bb3104f1fa5c06696a051779b"/>
                  <w:lock w:val="sdtLocked"/>
                  <w:richText/>
                </w:sdtPr>
                <w:sdtContent>
                  <w:r>
                    <w:rPr>
                      <w:szCs w:val="24"/>
                      <w:lang w:eastAsia="lt-LT"/>
                    </w:rPr>
                    <w:t>2</w:t>
                  </w:r>
                </w:sdtContent>
              </w:sdt>
              <w:r>
                <w:rPr>
                  <w:szCs w:val="24"/>
                  <w:lang w:eastAsia="lt-LT"/>
                </w:rPr>
                <w:t xml:space="preserve">. Detalizuoti aplinkosauginiai reikalavimai </w:t>
              </w:r>
              <w:r>
                <w:rPr>
                  <w:bCs/>
                  <w:color w:val="000000"/>
                  <w:szCs w:val="24"/>
                  <w:lang w:eastAsia="lt-LT"/>
                </w:rPr>
                <w:t>techninės priežiūros, remonto, techninės pagalbos ir perdirbimo</w:t>
              </w:r>
              <w:r>
                <w:rPr>
                  <w:bCs/>
                  <w:color w:val="000000"/>
                  <w:szCs w:val="24"/>
                  <w:vertAlign w:val="superscript"/>
                  <w:lang w:eastAsia="lt-LT"/>
                </w:rPr>
                <w:footnoteReference w:id="5"/>
              </w:r>
              <w:r>
                <w:rPr>
                  <w:bCs/>
                  <w:color w:val="000000"/>
                  <w:szCs w:val="24"/>
                  <w:lang w:eastAsia="lt-LT"/>
                </w:rPr>
                <w:t xml:space="preserve"> paslaugų (toliau – paslaugos) teikėjams</w:t>
              </w:r>
              <w:r>
                <w:rPr>
                  <w:szCs w:val="24"/>
                  <w:lang w:eastAsia="lt-LT"/>
                </w:rPr>
                <w:t>, juridiniams ir fiziniams asmenims, kurie būdami transporto priemonių valdytojais savarankiškai atlieka jų techninę priežiūrą ir remontą.</w:t>
              </w:r>
            </w:p>
          </w:sdtContent>
        </w:sdt>
        <w:sdt>
          <w:sdtPr>
            <w:alias w:val="3 p."/>
            <w:tag w:val="part_c835731dfb8a48bebbea0622b7d5aa92"/>
            <w:lock w:val="sdtLocked"/>
            <w:richText/>
          </w:sdtPr>
          <w:sdtContent>
            <w:p>
              <w:pPr>
                <w:suppressAutoHyphens/>
                <w:spacing w:line="276" w:lineRule="auto"/>
                <w:ind w:firstLine="567"/>
                <w:jc w:val="both"/>
                <w:rPr>
                  <w:szCs w:val="24"/>
                  <w:lang w:eastAsia="lt-LT"/>
                </w:rPr>
              </w:pPr>
              <w:sdt>
                <w:sdtPr>
                  <w:alias w:val="Numeris"/>
                  <w:tag w:val="nr_c835731dfb8a48bebbea0622b7d5aa92"/>
                  <w:lock w:val="sdtLocked"/>
                  <w:richText/>
                </w:sdtPr>
                <w:sdtContent>
                  <w:r>
                    <w:rPr>
                      <w:szCs w:val="24"/>
                      <w:lang w:eastAsia="lt-LT"/>
                    </w:rPr>
                    <w:t>3</w:t>
                  </w:r>
                </w:sdtContent>
              </w:sdt>
              <w:r>
                <w:rPr>
                  <w:szCs w:val="24"/>
                  <w:lang w:eastAsia="lt-LT"/>
                </w:rPr>
                <w:t>. Transporto priemonių techninės priežiūros ir remonto paslaugų teikėjo deklaracija (toliau – deklaracija) GPAIS pateikiama registruojant paslaugų teikėjo veiklos vietą iki paslaugų teikimo pradžios.</w:t>
              </w:r>
            </w:p>
          </w:sdtContent>
        </w:sdt>
        <w:sdt>
          <w:sdtPr>
            <w:alias w:val="4 p."/>
            <w:tag w:val="part_c4d5389c51bb4ea4be67c668a0d8acbd"/>
            <w:lock w:val="sdtLocked"/>
            <w:richText/>
          </w:sdtPr>
          <w:sdtContent>
            <w:p>
              <w:pPr>
                <w:suppressAutoHyphens/>
                <w:spacing w:line="276" w:lineRule="auto"/>
                <w:ind w:firstLine="567"/>
                <w:jc w:val="both"/>
                <w:rPr>
                  <w:szCs w:val="24"/>
                  <w:lang w:eastAsia="lt-LT"/>
                </w:rPr>
              </w:pPr>
              <w:sdt>
                <w:sdtPr>
                  <w:alias w:val="Numeris"/>
                  <w:tag w:val="nr_c4d5389c51bb4ea4be67c668a0d8acbd"/>
                  <w:lock w:val="sdtLocked"/>
                  <w:richText/>
                </w:sdtPr>
                <w:sdtContent>
                  <w:r>
                    <w:rPr>
                      <w:szCs w:val="24"/>
                      <w:lang w:eastAsia="lt-LT"/>
                    </w:rPr>
                    <w:t>4</w:t>
                  </w:r>
                </w:sdtContent>
              </w:sdt>
              <w:r>
                <w:rPr>
                  <w:szCs w:val="24"/>
                  <w:lang w:eastAsia="lt-LT"/>
                </w:rPr>
                <w:t xml:space="preserve">. Atsisakoma Transporto priemonių dalių perdavimo ir priėmimo akto, kaip atskiro dokumento, pildymo – susijusi informacija pateikiama paslaugų užsakymo paraiškoje. </w:t>
              </w:r>
            </w:p>
          </w:sdtContent>
        </w:sdt>
        <w:sdt>
          <w:sdtPr>
            <w:alias w:val="5 p."/>
            <w:tag w:val="part_717427cc25e24574becd6c83e209bf82"/>
            <w:lock w:val="sdtLocked"/>
            <w:richText/>
          </w:sdtPr>
          <w:sdtContent>
            <w:p>
              <w:pPr>
                <w:suppressAutoHyphens/>
                <w:spacing w:line="276" w:lineRule="auto"/>
                <w:ind w:firstLine="567"/>
                <w:jc w:val="both"/>
                <w:rPr>
                  <w:rFonts w:eastAsia="Andale Sans UI" w:cs="Tahoma"/>
                  <w:szCs w:val="24"/>
                  <w:lang w:bidi="en-US"/>
                </w:rPr>
              </w:pPr>
              <w:sdt>
                <w:sdtPr>
                  <w:alias w:val="Numeris"/>
                  <w:tag w:val="nr_717427cc25e24574becd6c83e209bf82"/>
                  <w:lock w:val="sdtLocked"/>
                  <w:richText/>
                </w:sdtPr>
                <w:sdtContent>
                  <w:r>
                    <w:rPr>
                      <w:szCs w:val="24"/>
                      <w:lang w:eastAsia="lt-LT"/>
                    </w:rPr>
                    <w:t>5</w:t>
                  </w:r>
                </w:sdtContent>
              </w:sdt>
              <w:r>
                <w:rPr>
                  <w:szCs w:val="24"/>
                  <w:lang w:eastAsia="lt-LT"/>
                </w:rPr>
                <w:t>. Nustatomi reikalavimai transporto priemonių oro kondicionavimo sistemų pildymui fluorintomis šiltnamio efektą sukeliančiomis dujomis.</w:t>
              </w:r>
            </w:p>
            <w:p>
              <w:pPr>
                <w:suppressAutoHyphens/>
                <w:spacing w:line="276" w:lineRule="auto"/>
                <w:ind w:firstLine="567"/>
                <w:jc w:val="both"/>
                <w:rPr>
                  <w:szCs w:val="24"/>
                  <w:lang w:eastAsia="lt-LT"/>
                </w:rPr>
              </w:pPr>
              <w:r>
                <w:rPr>
                  <w:szCs w:val="24"/>
                  <w:lang w:eastAsia="lt-LT"/>
                </w:rPr>
                <w:t>Siekiant mažinti aplinkos oro taršą žmonių sveikatai pavojingais teršalais (lakiaisiais organiniais junginiais, kietosiomis dalelėmis, azoto oksidais), numatomi nauji įpareigojimai:</w:t>
              </w:r>
            </w:p>
          </w:sdtContent>
        </w:sdt>
        <w:sdt>
          <w:sdtPr>
            <w:alias w:val="1 p."/>
            <w:tag w:val="part_f940eb25d89a4a97be6f4d04ad40187b"/>
            <w:lock w:val="sdtLocked"/>
            <w:richText/>
          </w:sdtPr>
          <w:sdtContent>
            <w:p>
              <w:pPr>
                <w:shd w:val="clear" w:color="auto" w:fill="FFFFFF"/>
                <w:tabs>
                  <w:tab w:val="left" w:pos="0"/>
                  <w:tab w:val="left" w:pos="993"/>
                </w:tabs>
                <w:spacing w:line="276" w:lineRule="auto"/>
                <w:ind w:firstLine="567"/>
                <w:jc w:val="both"/>
                <w:rPr>
                  <w:szCs w:val="24"/>
                  <w:lang w:eastAsia="lt-LT"/>
                </w:rPr>
              </w:pPr>
              <w:sdt>
                <w:sdtPr>
                  <w:alias w:val="Numeris"/>
                  <w:tag w:val="nr_f940eb25d89a4a97be6f4d04ad40187b"/>
                  <w:lock w:val="sdtLocked"/>
                  <w:richText/>
                </w:sdtPr>
                <w:sdtContent>
                  <w:r>
                    <w:rPr>
                      <w:szCs w:val="24"/>
                      <w:lang w:eastAsia="lt-LT"/>
                    </w:rPr>
                    <w:t>1</w:t>
                  </w:r>
                </w:sdtContent>
              </w:sdt>
              <w:r>
                <w:rPr>
                  <w:szCs w:val="24"/>
                  <w:lang w:eastAsia="lt-LT"/>
                </w:rPr>
                <w:t xml:space="preserve">. Paslaugų teikėjas, </w:t>
              </w:r>
              <w:r>
                <w:rPr>
                  <w:szCs w:val="24"/>
                  <w:lang w:val="lt" w:eastAsia="lt-LT"/>
                </w:rPr>
                <w:t>atlikęs transporto priemonių sistemų, detalių, kurios daro poveikį išmetamosioms dujoms,</w:t>
              </w:r>
              <w:r>
                <w:rPr>
                  <w:szCs w:val="24"/>
                  <w:lang w:eastAsia="lt-LT"/>
                </w:rPr>
                <w:t xml:space="preserve"> reguliavimą ar remontą, perduodamas suremontuotą transporto priemonę jos valdytojui, turi užtikrinti, kad suremontuotos transporto priemonės išmetamosios dujos atitinka joms nustatytas normas, ir išmatuotų parametrų atitiktis normoms būtų nurodyta užsakymo paraiškoje ar kituose </w:t>
              </w:r>
              <w:r>
                <w:rPr>
                  <w:lang w:eastAsia="lt-LT"/>
                </w:rPr>
                <w:t>transporto priemonės valdytojui išduodamuose dokumentuose</w:t>
              </w:r>
              <w:r>
                <w:rPr>
                  <w:szCs w:val="24"/>
                  <w:lang w:eastAsia="lt-LT"/>
                </w:rPr>
                <w:t>.</w:t>
              </w:r>
            </w:p>
          </w:sdtContent>
        </w:sdt>
        <w:sdt>
          <w:sdtPr>
            <w:alias w:val="2 p."/>
            <w:tag w:val="part_5cb4eb9c354242c098ac66f270cfbde5"/>
            <w:lock w:val="sdtLocked"/>
            <w:richText/>
          </w:sdtPr>
          <w:sdtContent>
            <w:p>
              <w:pPr>
                <w:suppressAutoHyphens/>
                <w:spacing w:line="276" w:lineRule="auto"/>
                <w:ind w:firstLine="567"/>
                <w:jc w:val="both"/>
                <w:rPr>
                  <w:szCs w:val="24"/>
                  <w:lang w:val="lt" w:eastAsia="lt-LT"/>
                </w:rPr>
              </w:pPr>
              <w:sdt>
                <w:sdtPr>
                  <w:alias w:val="Numeris"/>
                  <w:tag w:val="nr_5cb4eb9c354242c098ac66f270cfbde5"/>
                  <w:lock w:val="sdtLocked"/>
                  <w:richText/>
                </w:sdtPr>
                <w:sdtContent>
                  <w:r>
                    <w:rPr>
                      <w:szCs w:val="24"/>
                      <w:lang w:val="lt" w:eastAsia="lt-LT"/>
                    </w:rPr>
                    <w:t>2</w:t>
                  </w:r>
                </w:sdtContent>
              </w:sdt>
              <w:r>
                <w:rPr>
                  <w:szCs w:val="24"/>
                  <w:lang w:val="lt" w:eastAsia="lt-LT"/>
                </w:rPr>
                <w:t>. Neleidžiama transporto priemonėse įmontuoti išmetamųjų dujų neutralizavimo įrangos veikimą ar veiksmingumą išderinančių dalių, įrangos, komponentų, sistemų.</w:t>
              </w:r>
            </w:p>
            <w:p>
              <w:pPr>
                <w:shd w:val="clear" w:color="auto" w:fill="FFFFFF"/>
                <w:spacing w:line="276" w:lineRule="auto"/>
                <w:ind w:firstLine="567"/>
                <w:jc w:val="both"/>
                <w:rPr>
                  <w:rFonts w:eastAsia="Andale Sans UI"/>
                  <w:color w:val="000000"/>
                  <w:szCs w:val="24"/>
                  <w:lang w:bidi="en-US"/>
                </w:rPr>
              </w:pPr>
              <w:r>
                <w:rPr>
                  <w:szCs w:val="24"/>
                  <w:lang w:bidi="en-US"/>
                </w:rPr>
                <w:t xml:space="preserve">Pažymėtina, kad Nacionalinio standarto LST 1438:2016 „Motorinių transporto priemonių ir jų priekabų techninė priežiūra ir remontas. Paslaugoms keliami reikalavimai“ (toliau – Standartas) technikos komiteto posėdyje, vykusiame 2022 m. birželio 16 d., priimtas sprendimas, kad dėl Standarto reikalingumo ir jo turinio bus sprendžiama atsižvelgiant į patvirtinto Reikalavimų transporto priemonių techninei priežiūrai, remontui, techninei pagalbai ir perdirbimui aprašo nuostatas (toliau – Reikalavimai). </w:t>
              </w:r>
            </w:p>
            <w:p>
              <w:pPr>
                <w:shd w:val="clear" w:color="auto" w:fill="FFFFFF"/>
                <w:spacing w:line="276" w:lineRule="auto"/>
                <w:ind w:firstLine="567"/>
                <w:jc w:val="both"/>
                <w:rPr>
                  <w:rFonts w:eastAsia="Andale Sans UI"/>
                  <w:szCs w:val="24"/>
                  <w:lang w:bidi="en-US"/>
                </w:rPr>
              </w:pPr>
              <w:r>
                <w:rPr>
                  <w:rFonts w:eastAsia="Andale Sans UI"/>
                  <w:color w:val="000000"/>
                  <w:szCs w:val="24"/>
                  <w:lang w:bidi="en-US"/>
                </w:rPr>
                <w:t>Reikalavimų projekte apibrėžtos naujos sąvokos iki Reikalavimų priėmimo bus įvertintos Lietuvos Respublikos terminų banko įstatymo ir jo įgyvendinamųjų teisės aktų nustatyta tvarka.</w:t>
              </w:r>
              <w:r>
                <w:rPr>
                  <w:rFonts w:eastAsia="Andale Sans UI"/>
                  <w:szCs w:val="24"/>
                  <w:lang w:bidi="en-US"/>
                </w:rPr>
                <w:t xml:space="preserve"> Patvirtinus Reikalavimus, Paslaugų aprašas bus pripažintas netekusiu galios. Atsižvelgiant į tai, kad Reikalavimų projekte siūloma nustatyti naują deklaracijų teikimo tvarką, iki Reikalavimų įsigaliojimo bus pakeistos </w:t>
              </w:r>
              <w:r>
                <w:rPr>
                  <w:rFonts w:eastAsia="Andale Sans UI" w:cs="Tahoma"/>
                  <w:color w:val="000000"/>
                  <w:szCs w:val="24"/>
                  <w:lang w:eastAsia="lt-LT" w:bidi="en-US"/>
                </w:rPr>
                <w:t>Atliekų susidarymo ir tvarkymo apskaitos ir ataskaitų teikimo taisyklės</w:t>
              </w:r>
              <w:r>
                <w:rPr>
                  <w:rFonts w:eastAsia="Andale Sans UI" w:cs="Tahoma"/>
                  <w:color w:val="000000"/>
                  <w:szCs w:val="24"/>
                  <w:vertAlign w:val="superscript"/>
                  <w:lang w:eastAsia="lt-LT" w:bidi="en-US"/>
                </w:rPr>
                <w:footnoteReference w:id="6"/>
              </w:r>
              <w:r>
                <w:rPr>
                  <w:rFonts w:eastAsia="Andale Sans UI" w:cs="Tahoma"/>
                  <w:color w:val="000000"/>
                  <w:szCs w:val="24"/>
                  <w:lang w:eastAsia="lt-LT" w:bidi="en-US"/>
                </w:rPr>
                <w:t xml:space="preserve"> ir Vieningos pakuočių, gaminių ir atliekų apskaitos informacinės sistemos funkcionalumas (GPAIS)</w:t>
              </w:r>
              <w:r>
                <w:rPr>
                  <w:rFonts w:eastAsia="Andale Sans UI"/>
                  <w:szCs w:val="24"/>
                  <w:lang w:bidi="en-US"/>
                </w:rPr>
                <w:t>. Taip pat iki teisės akto įsigaliojimo bus pateikti derinti Lietuvos Respublikos administracinių nusižengimų kodekso ir Lietuvos Respublikos aplinkos apsaugos įstatymo pakeitimai, nustatantys atsakomybę už Reikalavimų nuostatų nesilaikymą.</w:t>
              </w:r>
            </w:p>
            <w:p>
              <w:pPr>
                <w:shd w:val="clear" w:color="auto" w:fill="FFFFFF"/>
                <w:spacing w:line="276" w:lineRule="auto"/>
                <w:ind w:firstLine="567"/>
                <w:jc w:val="both"/>
                <w:rPr>
                  <w:rFonts w:eastAsia="Andale Sans UI" w:cs="Tahoma"/>
                  <w:color w:val="000000"/>
                  <w:szCs w:val="24"/>
                  <w:lang w:bidi="en-US"/>
                </w:rPr>
              </w:pPr>
              <w:r>
                <w:rPr>
                  <w:rFonts w:eastAsia="Andale Sans UI" w:cs="Tahoma"/>
                  <w:szCs w:val="24"/>
                  <w:lang w:bidi="en-US"/>
                </w:rPr>
                <w:t>Reikalavimais numatoma sumažinti administracinę naštą pakeitus deklaracijos teikimo tvarką ir atsisakius Transporto priemonių dalių perdavimo ir priėmimo akto, kaip atskiro dokumento, pildymo – susijusi informacija pateikiama paslaugų užsakymo paraiškoje. Administracinė našta didėja dėl u</w:t>
              </w:r>
              <w:r>
                <w:rPr>
                  <w:rFonts w:eastAsia="Andale Sans UI" w:cs="Tahoma"/>
                  <w:color w:val="000000"/>
                  <w:szCs w:val="24"/>
                  <w:lang w:bidi="en-US"/>
                </w:rPr>
                <w:t xml:space="preserve">žsakymo paraiškoje nurodomos informacijos apie transporto priemonės išmetamųjų teršalų atitiktį teršalų išmetimo normoms, jei teikiant paslaugą reguliuotos, remontuotos, keistos ar derintos dalys, įranga, komponentai, sistemos, darančios poveikį išmetamiems teršalams, tačiau bendra administracinė našta mažėja. </w:t>
              </w:r>
            </w:p>
            <w:p>
              <w:pPr>
                <w:shd w:val="clear" w:color="auto" w:fill="FFFFFF"/>
                <w:spacing w:line="276" w:lineRule="auto"/>
                <w:ind w:firstLine="567"/>
                <w:jc w:val="both"/>
                <w:rPr>
                  <w:rFonts w:eastAsia="Andale Sans UI" w:cs="Tahoma"/>
                  <w:szCs w:val="24"/>
                  <w:lang w:bidi="en-US"/>
                </w:rPr>
              </w:pPr>
              <w:r>
                <w:rPr>
                  <w:rFonts w:eastAsia="Andale Sans UI" w:cs="Tahoma"/>
                  <w:szCs w:val="24"/>
                  <w:lang w:bidi="en-US"/>
                </w:rPr>
                <w:t xml:space="preserve">Reikalavimų projektą parengė Aplinkos ministerijos Atliekų politikos grupės patarėja Aistė Rakauskienė, mob. 8 696 80 518, el. p. </w:t>
              </w:r>
              <w:r>
                <w:rPr>
                  <w:rFonts w:eastAsia="Andale Sans UI" w:cs="Tahoma"/>
                  <w:color w:val="000000"/>
                  <w:szCs w:val="24"/>
                  <w:u w:val="single"/>
                  <w:lang w:bidi="en-US"/>
                </w:rPr>
                <w:t>aiste.rakauskiene@am.lt</w:t>
              </w:r>
              <w:r>
                <w:rPr>
                  <w:rFonts w:eastAsia="Andale Sans UI" w:cs="Tahoma"/>
                  <w:color w:val="000000"/>
                  <w:szCs w:val="24"/>
                  <w:lang w:bidi="en-US"/>
                </w:rPr>
                <w:t xml:space="preserve">, </w:t>
              </w:r>
              <w:r>
                <w:rPr>
                  <w:rFonts w:eastAsia="Andale Sans UI" w:cs="Tahoma"/>
                  <w:szCs w:val="24"/>
                  <w:lang w:bidi="en-US"/>
                </w:rPr>
                <w:t xml:space="preserve">Aplinkos ministerijos Taršos prevencijos politikos grupės vyriausioji specialistė Renata Gagienė, mob. 8 695 41 940, el. p. </w:t>
              </w:r>
              <w:r>
                <w:rPr>
                  <w:rFonts w:eastAsia="Andale Sans UI" w:cs="Tahoma"/>
                  <w:szCs w:val="24"/>
                  <w:u w:val="single"/>
                  <w:lang w:bidi="en-US"/>
                </w:rPr>
                <w:t>renata.gagiene@am.lt</w:t>
              </w:r>
              <w:r>
                <w:rPr>
                  <w:rFonts w:eastAsia="Andale Sans UI" w:cs="Tahoma"/>
                  <w:szCs w:val="24"/>
                  <w:lang w:bidi="en-US"/>
                </w:rPr>
                <w:t xml:space="preserve">, Aplinkos ministerijos Taršos prevencijos politikos grupės vyriausioji specialistė Evelina Cuzanauskienė, mob. 8 696 93 454, el. p. </w:t>
              </w:r>
              <w:r>
                <w:rPr>
                  <w:rFonts w:eastAsia="Andale Sans UI" w:cs="Tahoma"/>
                  <w:szCs w:val="24"/>
                  <w:u w:val="single"/>
                  <w:lang w:bidi="en-US"/>
                </w:rPr>
                <w:t>evelina.cuzanauskiene@am.lt</w:t>
              </w:r>
              <w:r>
                <w:rPr>
                  <w:rFonts w:eastAsia="Andale Sans UI" w:cs="Tahoma"/>
                  <w:szCs w:val="24"/>
                  <w:u w:val="single"/>
                  <w:lang w:bidi="en-US"/>
                </w:rPr>
                <w:t xml:space="preserve">, </w:t>
              </w:r>
              <w:r>
                <w:rPr>
                  <w:rFonts w:eastAsia="Andale Sans UI" w:cs="Tahoma"/>
                  <w:szCs w:val="24"/>
                  <w:lang w:bidi="en-US"/>
                </w:rPr>
                <w:t xml:space="preserve">Aplinkos ministerijos Klimato politikos grupės vyresnioji patarėja Stasilė Znutienė, mob. 8 696 51 357, el. p. </w:t>
              </w:r>
              <w:r>
                <w:rPr>
                  <w:rFonts w:eastAsia="Andale Sans UI" w:cs="Tahoma"/>
                  <w:szCs w:val="24"/>
                  <w:u w:val="single"/>
                  <w:lang w:bidi="en-US"/>
                </w:rPr>
                <w:t>stasile.znutiene@am.lt</w:t>
              </w:r>
              <w:r>
                <w:rPr>
                  <w:rFonts w:eastAsia="Andale Sans UI" w:cs="Tahoma"/>
                  <w:szCs w:val="24"/>
                  <w:lang w:bidi="en-US"/>
                </w:rPr>
                <w:t xml:space="preserve">, Lietuvos transporto saugos administracijos direktoriaus pavaduotojas Tomas Kolendo, mob. 8 615 21 873, el. p. tomas.kolendo@ltsa.lrv.lt. Reikalavimų projekto rengimą Susisiekimo ministerijoje koordinavo Susisiekimo ministerijos Kelių ir oro transporto politikos grupės (vadovas – Vladislavas Kondratovičius, tel. 239 3867, el. p. vladislav.kondratovic@sumin.lt) patarėjas Gintaras Aliksandravičius, tel. 239 2893, el. p. gintaras.aliksandravicius@sumin.lt. </w:t>
              </w:r>
            </w:p>
            <w:p>
              <w:pPr>
                <w:shd w:val="clear" w:color="auto" w:fill="FFFFFF"/>
                <w:spacing w:line="276" w:lineRule="auto"/>
                <w:ind w:firstLine="567"/>
                <w:jc w:val="both"/>
                <w:rPr>
                  <w:rFonts w:eastAsia="Andale Sans UI" w:cs="Tahoma"/>
                  <w:szCs w:val="24"/>
                  <w:lang w:bidi="en-US"/>
                </w:rPr>
              </w:pPr>
              <w:r>
                <w:rPr>
                  <w:rFonts w:eastAsia="Andale Sans UI" w:cs="Tahoma"/>
                  <w:szCs w:val="24"/>
                  <w:lang w:bidi="en-US"/>
                </w:rPr>
                <w:t>Teisės aktų projektai teikiami suinteresuotų institucijų ir organizacijų, visuomenės pastaboms ir pasiūlymams Lietuvos Respublikos Seimo kanceliarijos teisės aktų informacinėje sistemoje (toliau – TAIS).</w:t>
              </w:r>
            </w:p>
            <w:p>
              <w:pPr>
                <w:spacing w:line="276" w:lineRule="auto"/>
                <w:ind w:firstLine="567"/>
                <w:jc w:val="both"/>
                <w:rPr>
                  <w:rFonts w:eastAsia="Andale Sans UI"/>
                  <w:szCs w:val="24"/>
                  <w:lang w:bidi="en-US"/>
                </w:rPr>
              </w:pPr>
              <w:r>
                <w:rPr>
                  <w:rFonts w:eastAsia="Andale Sans UI"/>
                  <w:szCs w:val="24"/>
                  <w:lang w:bidi="en-US"/>
                </w:rPr>
                <w:t xml:space="preserve">Prašome pastabas ir pasiūlymus dėl šių projektų paketo pateikti </w:t>
              </w:r>
              <w:r>
                <w:rPr>
                  <w:rFonts w:eastAsia="Andale Sans UI"/>
                  <w:b/>
                  <w:bCs/>
                  <w:szCs w:val="24"/>
                  <w:lang w:bidi="en-US"/>
                </w:rPr>
                <w:t>per 10 darbo dienų</w:t>
              </w:r>
              <w:r>
                <w:rPr>
                  <w:rFonts w:eastAsia="Andale Sans UI"/>
                  <w:szCs w:val="24"/>
                  <w:lang w:bidi="en-US"/>
                </w:rPr>
                <w:t xml:space="preserve"> nuo jų paskelbimo TAIS dienos.</w:t>
              </w:r>
            </w:p>
            <w:p>
              <w:pPr>
                <w:spacing w:line="276" w:lineRule="auto"/>
                <w:ind w:firstLine="567"/>
                <w:jc w:val="both"/>
                <w:rPr>
                  <w:rFonts w:eastAsia="Andale Sans UI"/>
                  <w:szCs w:val="24"/>
                  <w:lang w:bidi="en-US"/>
                </w:rPr>
              </w:pPr>
              <w:r>
                <w:rPr>
                  <w:rFonts w:eastAsia="Andale Sans UI"/>
                  <w:szCs w:val="24"/>
                  <w:lang w:bidi="en-US"/>
                </w:rPr>
                <w:t>Dėkojame už bendradarbiavimą.</w:t>
              </w:r>
            </w:p>
            <w:p>
              <w:pPr>
                <w:spacing w:line="276" w:lineRule="auto"/>
                <w:ind w:firstLine="567"/>
                <w:jc w:val="both"/>
                <w:rPr>
                  <w:rFonts w:eastAsia="Andale Sans UI"/>
                  <w:szCs w:val="24"/>
                  <w:lang w:bidi="en-US"/>
                </w:rPr>
              </w:pPr>
              <w:r>
                <w:rPr>
                  <w:rFonts w:eastAsia="Andale Sans UI"/>
                  <w:szCs w:val="24"/>
                  <w:lang w:bidi="en-US"/>
                </w:rPr>
                <w:t xml:space="preserve">PRIDEDAMA: </w:t>
              </w:r>
            </w:p>
          </w:sdtContent>
        </w:sdt>
        <w:sdt>
          <w:sdtPr>
            <w:alias w:val="1 p."/>
            <w:tag w:val="part_94c178be46bf46d4ac5871187c214348"/>
            <w:lock w:val="sdtLocked"/>
            <w:richText/>
          </w:sdtPr>
          <w:sdtContent>
            <w:p>
              <w:pPr>
                <w:spacing w:line="276" w:lineRule="auto"/>
                <w:ind w:left="927" w:hanging="360"/>
                <w:jc w:val="both"/>
                <w:rPr>
                  <w:rFonts w:eastAsia="Andale Sans UI" w:cs="Tahoma"/>
                  <w:szCs w:val="24"/>
                  <w:lang w:bidi="en-US"/>
                </w:rPr>
              </w:pPr>
              <w:sdt>
                <w:sdtPr>
                  <w:alias w:val="Numeris"/>
                  <w:tag w:val="nr_94c178be46bf46d4ac5871187c214348"/>
                  <w:lock w:val="sdtLocked"/>
                  <w:richText/>
                </w:sdtPr>
                <w:sdtContent>
                  <w:r>
                    <w:rPr>
                      <w:szCs w:val="24"/>
                      <w:lang w:eastAsia="lt-LT"/>
                    </w:rPr>
                    <w:t>1</w:t>
                  </w:r>
                </w:sdtContent>
              </w:sdt>
              <w:r>
                <w:rPr>
                  <w:szCs w:val="24"/>
                  <w:lang w:eastAsia="lt-LT"/>
                </w:rPr>
                <w:t>.</w:t>
                <w:tab/>
              </w:r>
              <w:r>
                <w:rPr>
                  <w:rFonts w:eastAsia="Andale Sans UI" w:cs="Tahoma"/>
                  <w:szCs w:val="24"/>
                  <w:lang w:bidi="en-US"/>
                </w:rPr>
                <w:t>Reikalavimų projektas, 14 lapų.</w:t>
              </w:r>
            </w:p>
          </w:sdtContent>
        </w:sdt>
        <w:sdt>
          <w:sdtPr>
            <w:alias w:val="2 p."/>
            <w:tag w:val="part_afba3c31a3b54c5aba83c533cdcb2926"/>
            <w:lock w:val="sdtLocked"/>
            <w:richText/>
          </w:sdtPr>
          <w:sdtContent>
            <w:p>
              <w:pPr>
                <w:spacing w:line="276" w:lineRule="auto"/>
                <w:ind w:left="927" w:hanging="360"/>
                <w:jc w:val="both"/>
                <w:rPr>
                  <w:rFonts w:eastAsia="Andale Sans UI" w:cs="Tahoma"/>
                  <w:szCs w:val="24"/>
                  <w:lang w:bidi="en-US"/>
                </w:rPr>
              </w:pPr>
              <w:sdt>
                <w:sdtPr>
                  <w:alias w:val="Numeris"/>
                  <w:tag w:val="nr_afba3c31a3b54c5aba83c533cdcb2926"/>
                  <w:lock w:val="sdtLocked"/>
                  <w:richText/>
                </w:sdtPr>
                <w:sdtContent>
                  <w:r>
                    <w:rPr>
                      <w:szCs w:val="24"/>
                      <w:lang w:eastAsia="lt-LT"/>
                    </w:rPr>
                    <w:t>2</w:t>
                  </w:r>
                </w:sdtContent>
              </w:sdt>
              <w:r>
                <w:rPr>
                  <w:szCs w:val="24"/>
                  <w:lang w:eastAsia="lt-LT"/>
                </w:rPr>
                <w:t>.</w:t>
                <w:tab/>
              </w:r>
              <w:r>
                <w:rPr>
                  <w:rFonts w:eastAsia="Andale Sans UI" w:cs="Tahoma"/>
                  <w:szCs w:val="24"/>
                  <w:lang w:bidi="en-US"/>
                </w:rPr>
                <w:t xml:space="preserve"> Pripažinimo netekusiu galios projektas, 1 lapas.</w:t>
              </w:r>
            </w:p>
          </w:sdtContent>
        </w:sdt>
        <w:sdt>
          <w:sdtPr>
            <w:alias w:val="3 p."/>
            <w:tag w:val="part_395adfc5816e475f97dff3ac9042b33c"/>
            <w:lock w:val="sdtLocked"/>
            <w:richText/>
          </w:sdtPr>
          <w:sdtContent>
            <w:p>
              <w:pPr>
                <w:spacing w:line="276" w:lineRule="auto"/>
                <w:ind w:left="927" w:hanging="360"/>
                <w:jc w:val="both"/>
                <w:rPr>
                  <w:rFonts w:eastAsia="Andale Sans UI" w:cs="Tahoma"/>
                  <w:szCs w:val="24"/>
                  <w:lang w:bidi="en-US"/>
                </w:rPr>
              </w:pPr>
              <w:sdt>
                <w:sdtPr>
                  <w:alias w:val="Numeris"/>
                  <w:tag w:val="nr_395adfc5816e475f97dff3ac9042b33c"/>
                  <w:lock w:val="sdtLocked"/>
                  <w:richText/>
                </w:sdtPr>
                <w:sdtContent>
                  <w:r>
                    <w:rPr>
                      <w:szCs w:val="24"/>
                      <w:lang w:eastAsia="lt-LT"/>
                    </w:rPr>
                    <w:t>3</w:t>
                  </w:r>
                </w:sdtContent>
              </w:sdt>
              <w:r>
                <w:rPr>
                  <w:szCs w:val="24"/>
                  <w:lang w:eastAsia="lt-LT"/>
                </w:rPr>
                <w:t>.</w:t>
                <w:tab/>
              </w:r>
              <w:r>
                <w:rPr>
                  <w:rFonts w:eastAsia="Andale Sans UI" w:cs="Tahoma"/>
                  <w:szCs w:val="24"/>
                  <w:lang w:bidi="en-US"/>
                </w:rPr>
                <w:t>Numatomo teisinio reguliavimo poveikio vertinimo pažyma, 2 lapai.</w:t>
              </w:r>
            </w:p>
          </w:sdtContent>
        </w:sdt>
        <w:sdt>
          <w:sdtPr>
            <w:alias w:val="4 p."/>
            <w:tag w:val="part_ad4c215ae6044d2ab97621091b0132d4"/>
            <w:lock w:val="sdtLocked"/>
            <w:richText/>
          </w:sdtPr>
          <w:sdtContent>
            <w:p>
              <w:pPr>
                <w:spacing w:line="276" w:lineRule="auto"/>
                <w:ind w:left="927" w:hanging="360"/>
                <w:jc w:val="both"/>
                <w:rPr>
                  <w:rFonts w:eastAsia="Andale Sans UI" w:cs="Tahoma"/>
                  <w:szCs w:val="24"/>
                  <w:lang w:bidi="en-US"/>
                </w:rPr>
              </w:pPr>
              <w:sdt>
                <w:sdtPr>
                  <w:alias w:val="Numeris"/>
                  <w:tag w:val="nr_ad4c215ae6044d2ab97621091b0132d4"/>
                  <w:lock w:val="sdtLocked"/>
                  <w:richText/>
                </w:sdtPr>
                <w:sdtContent>
                  <w:r>
                    <w:rPr>
                      <w:szCs w:val="24"/>
                      <w:lang w:eastAsia="lt-LT"/>
                    </w:rPr>
                    <w:t>4</w:t>
                  </w:r>
                </w:sdtContent>
              </w:sdt>
              <w:r>
                <w:rPr>
                  <w:szCs w:val="24"/>
                  <w:lang w:eastAsia="lt-LT"/>
                </w:rPr>
                <w:t>.</w:t>
                <w:tab/>
              </w:r>
              <w:r>
                <w:rPr>
                  <w:rFonts w:eastAsia="Andale Sans UI" w:cs="Tahoma"/>
                  <w:szCs w:val="24"/>
                  <w:lang w:bidi="en-US"/>
                </w:rPr>
                <w:t>Administracinės naštos vertinimo pažyma, 3 lapai.</w:t>
              </w:r>
            </w:p>
          </w:sdtContent>
        </w:sdt>
        <w:sdt>
          <w:sdtPr>
            <w:alias w:val="5 p."/>
            <w:tag w:val="part_e4575903a5b54f769c6fc4ce24b09da1"/>
            <w:lock w:val="sdtLocked"/>
            <w:richText/>
          </w:sdtPr>
          <w:sdtContent>
            <w:p>
              <w:pPr>
                <w:spacing w:line="276" w:lineRule="auto"/>
                <w:ind w:left="927" w:hanging="360"/>
                <w:jc w:val="both"/>
                <w:rPr>
                  <w:rFonts w:eastAsia="Andale Sans UI" w:cs="Tahoma"/>
                  <w:szCs w:val="24"/>
                  <w:lang w:bidi="en-US"/>
                </w:rPr>
              </w:pPr>
              <w:sdt>
                <w:sdtPr>
                  <w:alias w:val="Numeris"/>
                  <w:tag w:val="nr_e4575903a5b54f769c6fc4ce24b09da1"/>
                  <w:lock w:val="sdtLocked"/>
                  <w:richText/>
                </w:sdtPr>
                <w:sdtContent>
                  <w:r>
                    <w:rPr>
                      <w:szCs w:val="24"/>
                      <w:lang w:eastAsia="lt-LT"/>
                    </w:rPr>
                    <w:t>5</w:t>
                  </w:r>
                </w:sdtContent>
              </w:sdt>
              <w:r>
                <w:rPr>
                  <w:szCs w:val="24"/>
                  <w:lang w:eastAsia="lt-LT"/>
                </w:rPr>
                <w:t>.</w:t>
                <w:tab/>
              </w:r>
              <w:r>
                <w:rPr>
                  <w:rFonts w:eastAsia="Andale Sans UI" w:cs="Tahoma"/>
                  <w:szCs w:val="24"/>
                  <w:lang w:bidi="en-US"/>
                </w:rPr>
                <w:t>Pastabų derinimo pažyma, 14 lapų.</w:t>
              </w:r>
            </w:p>
          </w:sdtContent>
        </w:sdt>
        <w:sdt>
          <w:sdtPr>
            <w:alias w:val="6 p."/>
            <w:tag w:val="part_3c0893d77ae3490a9ac80bec880ff15d"/>
            <w:lock w:val="sdtLocked"/>
            <w:richText/>
          </w:sdtPr>
          <w:sdtContent>
            <w:p>
              <w:pPr>
                <w:spacing w:line="276" w:lineRule="auto"/>
                <w:ind w:left="927" w:hanging="360"/>
                <w:jc w:val="both"/>
                <w:rPr>
                  <w:rFonts w:eastAsia="Andale Sans UI" w:cs="Tahoma"/>
                  <w:szCs w:val="24"/>
                  <w:lang w:bidi="en-US"/>
                </w:rPr>
              </w:pPr>
              <w:sdt>
                <w:sdtPr>
                  <w:alias w:val="Numeris"/>
                  <w:tag w:val="nr_3c0893d77ae3490a9ac80bec880ff15d"/>
                  <w:lock w:val="sdtLocked"/>
                  <w:richText/>
                </w:sdtPr>
                <w:sdtContent>
                  <w:r>
                    <w:rPr>
                      <w:szCs w:val="24"/>
                      <w:lang w:eastAsia="lt-LT"/>
                    </w:rPr>
                    <w:t>6</w:t>
                  </w:r>
                </w:sdtContent>
              </w:sdt>
              <w:r>
                <w:rPr>
                  <w:szCs w:val="24"/>
                  <w:lang w:eastAsia="lt-LT"/>
                </w:rPr>
                <w:t>.</w:t>
                <w:tab/>
              </w:r>
              <w:r>
                <w:rPr>
                  <w:rFonts w:eastAsia="Andale Sans UI" w:cs="Tahoma"/>
                  <w:szCs w:val="24"/>
                  <w:lang w:bidi="en-US"/>
                </w:rPr>
                <w:t>Antikorupcinio vertinimo pažyma, 9 lapai.</w:t>
              </w:r>
            </w:p>
          </w:sdtContent>
        </w:sdt>
        <w:sdt>
          <w:sdtPr>
            <w:alias w:val="7 p."/>
            <w:tag w:val="part_d1b7d62a7f21487dbf150502f81a5c31"/>
            <w:lock w:val="sdtLocked"/>
            <w:richText/>
          </w:sdtPr>
          <w:sdtContent>
            <w:p>
              <w:pPr>
                <w:spacing w:line="276" w:lineRule="auto"/>
                <w:ind w:left="927" w:hanging="360"/>
                <w:jc w:val="both"/>
                <w:rPr>
                  <w:rFonts w:eastAsia="Andale Sans UI" w:cs="Tahoma"/>
                  <w:szCs w:val="24"/>
                  <w:lang w:bidi="en-US"/>
                </w:rPr>
              </w:pPr>
              <w:sdt>
                <w:sdtPr>
                  <w:alias w:val="Numeris"/>
                  <w:tag w:val="nr_d1b7d62a7f21487dbf150502f81a5c31"/>
                  <w:lock w:val="sdtLocked"/>
                  <w:richText/>
                </w:sdtPr>
                <w:sdtContent>
                  <w:r>
                    <w:rPr>
                      <w:szCs w:val="24"/>
                      <w:lang w:eastAsia="lt-LT"/>
                    </w:rPr>
                    <w:t>7</w:t>
                  </w:r>
                </w:sdtContent>
              </w:sdt>
              <w:r>
                <w:rPr>
                  <w:szCs w:val="24"/>
                  <w:lang w:eastAsia="lt-LT"/>
                </w:rPr>
                <w:t>.</w:t>
                <w:tab/>
              </w:r>
              <w:r>
                <w:rPr>
                  <w:rFonts w:eastAsia="Andale Sans UI" w:cs="Tahoma"/>
                  <w:szCs w:val="24"/>
                  <w:lang w:bidi="en-US"/>
                </w:rPr>
                <w:t>Adresatų sąrašas, 1 lapas.</w:t>
              </w:r>
            </w:p>
            <w:p>
              <w:pPr>
                <w:spacing w:line="276" w:lineRule="auto"/>
                <w:ind w:firstLine="567"/>
                <w:jc w:val="both"/>
                <w:rPr>
                  <w:rFonts w:eastAsia="Andale Sans UI"/>
                  <w:szCs w:val="24"/>
                  <w:lang w:bidi="en-US"/>
                </w:rPr>
              </w:pPr>
            </w:p>
            <w:p>
              <w:pPr>
                <w:spacing w:line="276" w:lineRule="auto"/>
                <w:ind w:firstLine="567"/>
                <w:jc w:val="both"/>
                <w:rPr>
                  <w:rFonts w:eastAsia="Andale Sans UI"/>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Raminta Radavičienė</w:t>
                    </w:r>
                  </w:p>
                </w:tc>
              </w:tr>
            </w:tbl>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p>
                </w:tc>
                <w:tc>
                  <w:tcPr>
                    <w:tcW w:w="4826" w:type="dxa"/>
                    <w:vAlign w:val="bottom"/>
                  </w:tcPr>
                  <w:p>
                    <w:pPr>
                      <w:spacing w:line="276" w:lineRule="auto"/>
                      <w:ind w:right="34"/>
                      <w:jc w:val="right"/>
                      <w:rPr>
                        <w:rFonts w:eastAsia="Andale Sans UI" w:cs="Tahoma"/>
                        <w:szCs w:val="24"/>
                        <w:lang w:bidi="en-US"/>
                      </w:rPr>
                    </w:pPr>
                  </w:p>
                </w:tc>
              </w:tr>
            </w:tbl>
            <w:p>
              <w:pPr>
                <w:spacing w:line="276" w:lineRule="auto"/>
                <w:ind w:firstLine="567"/>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pacing w:line="276" w:lineRule="auto"/>
                      <w:jc w:val="both"/>
                      <w:rPr>
                        <w:rFonts w:eastAsia="Andale Sans UI"/>
                        <w:color w:val="000080"/>
                        <w:szCs w:val="24"/>
                        <w:u w:val="single"/>
                        <w:lang w:bidi="en-US"/>
                      </w:rPr>
                    </w:pPr>
                    <w:r>
                      <w:rPr>
                        <w:rFonts w:eastAsia="Andale Sans UI"/>
                        <w:szCs w:val="24"/>
                        <w:lang w:bidi="en-US"/>
                      </w:rPr>
                      <w:t xml:space="preserve">A. Rakauskienė, mob. 8 696 80 518, el. p. </w:t>
                    </w:r>
                    <w:r>
                      <w:rPr>
                        <w:rFonts w:eastAsia="Andale Sans UI"/>
                        <w:color w:val="000080"/>
                        <w:szCs w:val="24"/>
                        <w:u w:val="single"/>
                        <w:lang w:bidi="en-US"/>
                      </w:rPr>
                      <w:t>aiste.rakauskiene@am.lt</w:t>
                    </w:r>
                  </w:p>
                  <w:p>
                    <w:pPr>
                      <w:suppressLineNumbers/>
                      <w:spacing w:line="276" w:lineRule="auto"/>
                      <w:jc w:val="both"/>
                      <w:rPr>
                        <w:rFonts w:eastAsia="Andale Sans UI" w:cs="Tahoma"/>
                        <w:sz w:val="18"/>
                        <w:szCs w:val="18"/>
                        <w:lang w:bidi="en-US"/>
                      </w:rPr>
                    </w:pPr>
                  </w:p>
                  <w:p>
                    <w:pPr>
                      <w:keepLines/>
                      <w:suppressLineNumbers/>
                      <w:spacing w:line="276" w:lineRule="auto"/>
                      <w:jc w:val="both"/>
                      <w:rPr>
                        <w:rFonts w:eastAsia="Andale Sans UI" w:cs="Tahoma"/>
                        <w:szCs w:val="24"/>
                        <w:lang w:bidi="en-US"/>
                      </w:rPr>
                    </w:pPr>
                  </w:p>
                </w:tc>
              </w:tr>
            </w:tbl>
            <w:p>
              <w:pPr>
                <w:spacing w:line="276" w:lineRule="auto"/>
                <w:jc w:val="both"/>
                <w:rPr>
                  <w:rFonts w:eastAsia="Andale Sans UI" w:cs="Tahoma"/>
                  <w:szCs w:val="24"/>
                  <w:lang w:bidi="en-US"/>
                </w:rPr>
                <w:sectPr>
                  <w:headerReference w:type="even" r:id="rId16"/>
                  <w:headerReference w:type="default" r:id="rId17"/>
                  <w:footerReference w:type="even" r:id="rId18"/>
                  <w:footerReference w:type="default" r:id="rId19"/>
                  <w:headerReference w:type="first" r:id="rId20"/>
                  <w:footerReference w:type="first" r:id="rId21"/>
                  <w:footnotePr>
                    <w:pos w:val="beneathText"/>
                  </w:footnotePr>
                  <w:endnotePr>
                    <w:numFmt w:val="decimal"/>
                  </w:endnotePr>
                  <w:pgSz w:w="11905" w:h="16837"/>
                  <w:pgMar w:top="1134" w:right="567" w:bottom="1134" w:left="1701" w:header="567" w:footer="232" w:gutter="0"/>
                  <w:cols w:space="1296"/>
                  <w:titlePg/>
                </w:sectPr>
              </w:pPr>
            </w:p>
            <w:p>
              <w:pPr>
                <w:spacing w:line="276" w:lineRule="auto"/>
                <w:jc w:val="center"/>
                <w:rPr>
                  <w:rFonts w:eastAsia="Andale Sans UI" w:cs="Tahoma"/>
                  <w:szCs w:val="24"/>
                  <w:lang w:bidi="en-US"/>
                </w:rPr>
              </w:pPr>
              <w:r>
                <w:rPr>
                  <w:rFonts w:eastAsia="Andale Sans UI" w:cs="Tahoma"/>
                  <w:szCs w:val="24"/>
                  <w:lang w:bidi="en-US"/>
                </w:rPr>
                <w:t>ADRESATŲ SĄRAŠAS</w:t>
              </w: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Antrinių žaliavų ir atliekų surinkėjų, perdirbėjų asociacijai</w:t>
              </w:r>
            </w:p>
            <w:p>
              <w:pPr>
                <w:suppressLineNumbers/>
                <w:jc w:val="both"/>
                <w:rPr>
                  <w:rFonts w:eastAsia="Andale Sans UI"/>
                  <w:szCs w:val="24"/>
                  <w:lang w:bidi="en-US"/>
                </w:rPr>
              </w:pPr>
              <w:r>
                <w:rPr>
                  <w:rFonts w:eastAsia="Andale Sans UI"/>
                  <w:szCs w:val="24"/>
                  <w:lang w:bidi="en-US"/>
                </w:rPr>
                <w:t>Aplinkos apsaugos agentūrai</w:t>
              </w:r>
            </w:p>
            <w:p>
              <w:pPr>
                <w:suppressLineNumbers/>
                <w:jc w:val="both"/>
                <w:rPr>
                  <w:rFonts w:eastAsia="Andale Sans UI"/>
                  <w:szCs w:val="24"/>
                  <w:lang w:bidi="en-US"/>
                </w:rPr>
              </w:pPr>
              <w:r>
                <w:rPr>
                  <w:rFonts w:eastAsia="Andale Sans UI"/>
                  <w:szCs w:val="24"/>
                  <w:lang w:bidi="en-US"/>
                </w:rPr>
                <w:t>Aplinkos apsaugos departamentui prie Aplinkos ministerijos</w:t>
              </w:r>
            </w:p>
            <w:p>
              <w:pPr>
                <w:suppressLineNumbers/>
                <w:jc w:val="both"/>
                <w:rPr>
                  <w:rFonts w:eastAsia="Andale Sans UI"/>
                  <w:szCs w:val="24"/>
                  <w:lang w:bidi="en-US"/>
                </w:rPr>
              </w:pPr>
              <w:r>
                <w:rPr>
                  <w:rFonts w:eastAsia="Andale Sans UI"/>
                  <w:szCs w:val="24"/>
                  <w:lang w:bidi="en-US"/>
                </w:rPr>
                <w:t>Asociacijai „Už saugų automobilį Lietuvoje“</w:t>
              </w:r>
            </w:p>
            <w:p>
              <w:pPr>
                <w:suppressLineNumbers/>
                <w:jc w:val="both"/>
                <w:rPr>
                  <w:rFonts w:eastAsia="Andale Sans UI"/>
                  <w:szCs w:val="24"/>
                  <w:lang w:bidi="en-US"/>
                </w:rPr>
              </w:pPr>
              <w:r>
                <w:rPr>
                  <w:rFonts w:eastAsia="Andale Sans UI"/>
                  <w:szCs w:val="24"/>
                  <w:lang w:bidi="en-US"/>
                </w:rPr>
                <w:t>Atliekų tvarkytojų ir turėtojų asociacijai</w:t>
              </w:r>
            </w:p>
            <w:p>
              <w:pPr>
                <w:suppressLineNumbers/>
                <w:jc w:val="both"/>
                <w:rPr>
                  <w:rFonts w:eastAsia="Andale Sans UI"/>
                  <w:szCs w:val="24"/>
                  <w:lang w:bidi="en-US"/>
                </w:rPr>
              </w:pPr>
              <w:r>
                <w:rPr>
                  <w:rFonts w:eastAsia="Andale Sans UI"/>
                  <w:szCs w:val="24"/>
                  <w:lang w:bidi="en-US"/>
                </w:rPr>
                <w:t>Autogamintojų ir importuotojų asociacijai</w:t>
              </w:r>
            </w:p>
            <w:p>
              <w:pPr>
                <w:suppressLineNumbers/>
                <w:jc w:val="both"/>
                <w:rPr>
                  <w:rFonts w:eastAsia="Andale Sans UI"/>
                  <w:szCs w:val="24"/>
                  <w:lang w:bidi="en-US"/>
                </w:rPr>
              </w:pPr>
              <w:r>
                <w:rPr>
                  <w:rFonts w:eastAsia="Andale Sans UI"/>
                  <w:szCs w:val="24"/>
                  <w:lang w:bidi="en-US"/>
                </w:rPr>
                <w:t>Ekonomikos ir inovacijų ministerijai</w:t>
              </w:r>
            </w:p>
            <w:p>
              <w:pPr>
                <w:suppressLineNumbers/>
                <w:jc w:val="both"/>
                <w:rPr>
                  <w:rFonts w:eastAsia="Andale Sans UI" w:cs="Tahoma"/>
                  <w:szCs w:val="24"/>
                  <w:lang w:bidi="en-US"/>
                </w:rPr>
              </w:pPr>
              <w:r>
                <w:rPr>
                  <w:rFonts w:eastAsia="Andale Sans UI" w:cs="Tahoma"/>
                  <w:szCs w:val="24"/>
                  <w:lang w:bidi="en-US"/>
                </w:rPr>
                <w:t>Eksploatuoti netinkamų transporto priemonių tvarkytojų asociacijai</w:t>
              </w:r>
            </w:p>
            <w:p>
              <w:pPr>
                <w:suppressLineNumbers/>
                <w:jc w:val="both"/>
                <w:rPr>
                  <w:rFonts w:eastAsia="Andale Sans UI"/>
                  <w:szCs w:val="24"/>
                  <w:lang w:bidi="en-US"/>
                </w:rPr>
              </w:pPr>
              <w:r>
                <w:rPr>
                  <w:rFonts w:eastAsia="Andale Sans UI"/>
                  <w:szCs w:val="24"/>
                  <w:lang w:bidi="en-US"/>
                </w:rPr>
                <w:t>Finansinių nusikaltimų tyrimo tarnybai prie Vidaus reikalų ministerijos</w:t>
              </w:r>
            </w:p>
            <w:p>
              <w:pPr>
                <w:suppressLineNumbers/>
                <w:jc w:val="both"/>
                <w:rPr>
                  <w:rFonts w:eastAsia="Andale Sans UI"/>
                  <w:szCs w:val="24"/>
                  <w:lang w:bidi="en-US"/>
                </w:rPr>
              </w:pPr>
              <w:r>
                <w:rPr>
                  <w:rFonts w:eastAsia="Andale Sans UI"/>
                  <w:szCs w:val="24"/>
                  <w:lang w:bidi="en-US"/>
                </w:rPr>
                <w:t>Finansų ministerijai</w:t>
              </w:r>
            </w:p>
            <w:p>
              <w:pPr>
                <w:suppressLineNumbers/>
                <w:jc w:val="both"/>
                <w:rPr>
                  <w:rFonts w:eastAsia="Andale Sans UI" w:cs="Tahoma"/>
                  <w:szCs w:val="24"/>
                  <w:lang w:bidi="en-US"/>
                </w:rPr>
              </w:pPr>
              <w:r>
                <w:rPr>
                  <w:rFonts w:eastAsia="Andale Sans UI" w:cs="Tahoma"/>
                  <w:szCs w:val="24"/>
                  <w:lang w:bidi="en-US"/>
                </w:rPr>
                <w:t>Konkurencijos tarybai</w:t>
              </w:r>
            </w:p>
            <w:p>
              <w:pPr>
                <w:suppressLineNumbers/>
                <w:jc w:val="both"/>
                <w:rPr>
                  <w:rFonts w:eastAsia="Andale Sans UI"/>
                  <w:szCs w:val="24"/>
                  <w:lang w:bidi="en-US"/>
                </w:rPr>
              </w:pPr>
              <w:r>
                <w:rPr>
                  <w:rFonts w:eastAsia="Andale Sans UI"/>
                  <w:szCs w:val="24"/>
                  <w:lang w:bidi="en-US"/>
                </w:rPr>
                <w:t>Lietuvos autoservisų asociacijai</w:t>
              </w:r>
            </w:p>
            <w:p>
              <w:pPr>
                <w:suppressLineNumbers/>
                <w:jc w:val="both"/>
                <w:rPr>
                  <w:rFonts w:eastAsia="Andale Sans UI"/>
                  <w:szCs w:val="24"/>
                  <w:lang w:bidi="en-US"/>
                </w:rPr>
              </w:pPr>
              <w:r>
                <w:rPr>
                  <w:rFonts w:eastAsia="Andale Sans UI"/>
                  <w:szCs w:val="24"/>
                  <w:lang w:bidi="en-US"/>
                </w:rPr>
                <w:t>Lietuvos autoverslininkų asociacijai</w:t>
              </w:r>
            </w:p>
            <w:p>
              <w:pPr>
                <w:suppressLineNumbers/>
                <w:jc w:val="both"/>
                <w:rPr>
                  <w:rFonts w:eastAsia="Andale Sans UI"/>
                  <w:szCs w:val="24"/>
                  <w:lang w:bidi="en-US"/>
                </w:rPr>
              </w:pPr>
              <w:r>
                <w:rPr>
                  <w:rFonts w:eastAsia="Andale Sans UI"/>
                  <w:szCs w:val="24"/>
                  <w:lang w:bidi="en-US"/>
                </w:rPr>
                <w:t>Lietuvos komunalininkų ir atliekų tvarkytojų asociacijai</w:t>
              </w:r>
            </w:p>
            <w:p>
              <w:pPr>
                <w:suppressLineNumbers/>
                <w:jc w:val="both"/>
                <w:rPr>
                  <w:rFonts w:eastAsia="Andale Sans UI"/>
                  <w:szCs w:val="24"/>
                  <w:lang w:bidi="en-US"/>
                </w:rPr>
              </w:pPr>
              <w:r>
                <w:rPr>
                  <w:rFonts w:eastAsia="Andale Sans UI"/>
                  <w:szCs w:val="24"/>
                  <w:lang w:bidi="en-US"/>
                </w:rPr>
                <w:t>Lietuvos pramonininkų konfederacijai</w:t>
              </w:r>
            </w:p>
            <w:p>
              <w:pPr>
                <w:suppressLineNumbers/>
                <w:jc w:val="both"/>
                <w:rPr>
                  <w:rFonts w:eastAsia="Andale Sans UI"/>
                  <w:szCs w:val="24"/>
                  <w:lang w:bidi="en-US"/>
                </w:rPr>
              </w:pPr>
              <w:r>
                <w:rPr>
                  <w:rFonts w:eastAsia="Andale Sans UI"/>
                  <w:szCs w:val="24"/>
                  <w:lang w:bidi="en-US"/>
                </w:rPr>
                <w:t>Lietuvos prekybos, pramonės ir amatų rūmų asociacijai</w:t>
              </w:r>
            </w:p>
            <w:p>
              <w:pPr>
                <w:suppressLineNumbers/>
                <w:jc w:val="both"/>
                <w:rPr>
                  <w:rFonts w:eastAsia="Andale Sans UI"/>
                  <w:szCs w:val="24"/>
                  <w:lang w:bidi="en-US"/>
                </w:rPr>
              </w:pPr>
              <w:r>
                <w:rPr>
                  <w:rFonts w:eastAsia="Andale Sans UI"/>
                  <w:szCs w:val="24"/>
                  <w:lang w:bidi="en-US"/>
                </w:rPr>
                <w:t>Lietuvos regioninių atliekų tvarkymo centrų asociacijai</w:t>
              </w:r>
            </w:p>
            <w:p>
              <w:pPr>
                <w:suppressLineNumbers/>
                <w:jc w:val="both"/>
                <w:rPr>
                  <w:szCs w:val="24"/>
                  <w:lang w:bidi="en-US"/>
                </w:rPr>
              </w:pPr>
              <w:r>
                <w:rPr>
                  <w:szCs w:val="24"/>
                  <w:lang w:bidi="en-US"/>
                </w:rPr>
                <w:t>Lietuvos Respublikos Vyriausybės kanceliarijos Šešėlinės ekonomikos mažinimo koordinavimo komisijai</w:t>
              </w:r>
            </w:p>
            <w:p>
              <w:pPr>
                <w:suppressLineNumbers/>
                <w:jc w:val="both"/>
                <w:rPr>
                  <w:rFonts w:eastAsia="Andale Sans UI"/>
                  <w:szCs w:val="24"/>
                  <w:lang w:bidi="en-US"/>
                </w:rPr>
              </w:pPr>
              <w:r>
                <w:rPr>
                  <w:rFonts w:eastAsia="Andale Sans UI"/>
                  <w:szCs w:val="24"/>
                  <w:lang w:bidi="en-US"/>
                </w:rPr>
                <w:t>Lietuvos savivaldybių komunalinių įmonių asociacijai</w:t>
              </w:r>
            </w:p>
            <w:p>
              <w:pPr>
                <w:suppressLineNumbers/>
                <w:jc w:val="both"/>
                <w:rPr>
                  <w:rFonts w:eastAsia="Andale Sans UI"/>
                  <w:szCs w:val="24"/>
                  <w:lang w:bidi="en-US"/>
                </w:rPr>
              </w:pPr>
              <w:r>
                <w:rPr>
                  <w:rFonts w:eastAsia="Andale Sans UI"/>
                  <w:szCs w:val="24"/>
                  <w:lang w:bidi="en-US"/>
                </w:rPr>
                <w:t>Lietuvos smulkiojo ir vidutinio verslo tarybai</w:t>
              </w:r>
            </w:p>
            <w:p>
              <w:pPr>
                <w:suppressLineNumbers/>
                <w:jc w:val="both"/>
                <w:rPr>
                  <w:rFonts w:eastAsia="Andale Sans UI"/>
                  <w:szCs w:val="24"/>
                  <w:lang w:bidi="en-US"/>
                </w:rPr>
              </w:pPr>
              <w:r>
                <w:rPr>
                  <w:rFonts w:eastAsia="Andale Sans UI"/>
                  <w:szCs w:val="24"/>
                  <w:lang w:bidi="en-US"/>
                </w:rPr>
                <w:t>Lietuvos standartizacijos departamentui</w:t>
              </w:r>
            </w:p>
            <w:p>
              <w:pPr>
                <w:suppressLineNumbers/>
                <w:jc w:val="both"/>
                <w:rPr>
                  <w:rFonts w:eastAsia="Andale Sans UI"/>
                  <w:szCs w:val="24"/>
                  <w:lang w:bidi="en-US"/>
                </w:rPr>
              </w:pPr>
              <w:r>
                <w:rPr>
                  <w:rFonts w:eastAsia="Andale Sans UI"/>
                  <w:szCs w:val="24"/>
                  <w:lang w:bidi="en-US"/>
                </w:rPr>
                <w:t xml:space="preserve">Lietuvos transporto saugos administracijai </w:t>
              </w:r>
            </w:p>
            <w:p>
              <w:pPr>
                <w:suppressLineNumbers/>
                <w:jc w:val="both"/>
                <w:rPr>
                  <w:rFonts w:eastAsia="Andale Sans UI"/>
                  <w:szCs w:val="24"/>
                  <w:lang w:bidi="en-US"/>
                </w:rPr>
              </w:pPr>
              <w:r>
                <w:rPr>
                  <w:rFonts w:eastAsia="Andale Sans UI"/>
                  <w:szCs w:val="24"/>
                  <w:lang w:bidi="en-US"/>
                </w:rPr>
                <w:t>Lietuvos verslo konfederacijai</w:t>
              </w:r>
            </w:p>
            <w:p>
              <w:pPr>
                <w:suppressLineNumbers/>
                <w:jc w:val="both"/>
                <w:rPr>
                  <w:rFonts w:eastAsia="Andale Sans UI" w:cs="Tahoma"/>
                  <w:szCs w:val="24"/>
                  <w:lang w:bidi="en-US"/>
                </w:rPr>
              </w:pPr>
              <w:r>
                <w:rPr>
                  <w:rFonts w:eastAsia="Andale Sans UI" w:cs="Tahoma"/>
                  <w:szCs w:val="24"/>
                  <w:lang w:bidi="en-US"/>
                </w:rPr>
                <w:t>Lietuvos vyriausiojo archyvaro tarnybai</w:t>
              </w:r>
            </w:p>
            <w:p>
              <w:pPr>
                <w:suppressLineNumbers/>
                <w:jc w:val="both"/>
                <w:rPr>
                  <w:rFonts w:eastAsia="Andale Sans UI"/>
                  <w:szCs w:val="24"/>
                  <w:lang w:bidi="en-US"/>
                </w:rPr>
              </w:pPr>
              <w:r>
                <w:rPr>
                  <w:rFonts w:eastAsia="Andale Sans UI"/>
                  <w:szCs w:val="24"/>
                  <w:lang w:bidi="en-US"/>
                </w:rPr>
                <w:t>Pavojingųjų atliekų tvarkytojų asociacijai</w:t>
              </w:r>
            </w:p>
            <w:p>
              <w:pPr>
                <w:suppressLineNumbers/>
                <w:jc w:val="both"/>
                <w:rPr>
                  <w:rFonts w:eastAsia="Andale Sans UI"/>
                  <w:szCs w:val="24"/>
                  <w:lang w:bidi="en-US"/>
                </w:rPr>
              </w:pPr>
              <w:r>
                <w:rPr>
                  <w:rFonts w:eastAsia="Andale Sans UI"/>
                  <w:szCs w:val="24"/>
                  <w:lang w:bidi="en-US"/>
                </w:rPr>
                <w:t>Priešgaisrinės apsaugos ir gelbėjimo departamentui prie Vidaus reikalų ministerijos</w:t>
              </w:r>
            </w:p>
            <w:p>
              <w:pPr>
                <w:suppressLineNumbers/>
                <w:jc w:val="both"/>
                <w:rPr>
                  <w:rFonts w:eastAsia="Andale Sans UI"/>
                  <w:szCs w:val="24"/>
                  <w:lang w:bidi="en-US"/>
                </w:rPr>
              </w:pPr>
              <w:r>
                <w:rPr>
                  <w:rFonts w:eastAsia="Andale Sans UI"/>
                  <w:szCs w:val="24"/>
                  <w:lang w:bidi="en-US"/>
                </w:rPr>
                <w:t>Specialiųjų tyrimų tarnybai</w:t>
              </w:r>
            </w:p>
            <w:p>
              <w:pPr>
                <w:suppressLineNumbers/>
                <w:jc w:val="both"/>
                <w:rPr>
                  <w:rFonts w:eastAsia="Andale Sans UI"/>
                  <w:szCs w:val="24"/>
                  <w:lang w:bidi="en-US"/>
                </w:rPr>
              </w:pPr>
              <w:r>
                <w:rPr>
                  <w:rFonts w:eastAsia="Andale Sans UI"/>
                  <w:szCs w:val="24"/>
                  <w:lang w:bidi="en-US"/>
                </w:rPr>
                <w:t>Švietimo, mokslo ir sporto ministerijai</w:t>
              </w:r>
            </w:p>
            <w:p>
              <w:pPr>
                <w:suppressLineNumbers/>
                <w:jc w:val="both"/>
                <w:rPr>
                  <w:rFonts w:eastAsia="Andale Sans UI"/>
                  <w:szCs w:val="24"/>
                  <w:lang w:bidi="en-US"/>
                </w:rPr>
              </w:pPr>
              <w:r>
                <w:rPr>
                  <w:rFonts w:eastAsia="Andale Sans UI"/>
                  <w:szCs w:val="24"/>
                  <w:lang w:bidi="en-US"/>
                </w:rPr>
                <w:t>Teisingumo ministerijai</w:t>
              </w:r>
            </w:p>
            <w:p>
              <w:pPr>
                <w:jc w:val="both"/>
                <w:rPr>
                  <w:rFonts w:eastAsia="Andale Sans UI"/>
                  <w:szCs w:val="24"/>
                  <w:lang w:bidi="en-US"/>
                </w:rPr>
              </w:pPr>
              <w:r>
                <w:rPr>
                  <w:rFonts w:eastAsia="Andale Sans UI"/>
                  <w:szCs w:val="24"/>
                  <w:lang w:bidi="en-US"/>
                </w:rPr>
                <w:t>Valstybinei mokesčių inspekcija prie Lietuvos Respublikos finansų ministerijos</w:t>
              </w:r>
            </w:p>
            <w:p>
              <w:pPr>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suppressAutoHyphens/>
        <w:rPr>
          <w:sz w:val="18"/>
          <w:szCs w:val="18"/>
          <w:lang w:eastAsia="lt-LT"/>
        </w:rPr>
      </w:pPr>
      <w:r>
        <w:rPr>
          <w:sz w:val="18"/>
          <w:szCs w:val="18"/>
          <w:vertAlign w:val="superscript"/>
          <w:lang w:eastAsia="lt-LT"/>
        </w:rPr>
        <w:footnoteRef/>
      </w:r>
      <w:r>
        <w:rPr>
          <w:sz w:val="18"/>
          <w:szCs w:val="18"/>
          <w:lang w:eastAsia="lt-LT"/>
        </w:rPr>
        <w:t xml:space="preserve"> TAIS Reg. nr.</w:t>
      </w:r>
      <w:r>
        <w:rPr>
          <w:color w:val="000000"/>
          <w:sz w:val="18"/>
          <w:szCs w:val="18"/>
          <w:lang w:eastAsia="lt-LT"/>
        </w:rPr>
        <w:t xml:space="preserve"> 22-10610. Prieiga internete: </w:t>
      </w:r>
      <w:r>
        <w:rPr>
          <w:color w:val="000080"/>
          <w:sz w:val="18"/>
          <w:szCs w:val="18"/>
          <w:u w:val="single"/>
          <w:lang w:eastAsia="lt-LT"/>
        </w:rPr>
        <w:t>https://e-seimas.lrs.lt/portal/legalAct/lt/TAP/44c8884009a511edbfe9c72e552dd5bd</w:t>
      </w:r>
      <w:r>
        <w:rPr>
          <w:color w:val="000000"/>
          <w:sz w:val="18"/>
          <w:szCs w:val="18"/>
          <w:lang w:eastAsia="lt-LT"/>
        </w:rPr>
        <w:t>.</w:t>
      </w:r>
    </w:p>
  </w:footnote>
  <w:footnote w:id="2">
    <w:p>
      <w:pPr>
        <w:suppressAutoHyphens/>
        <w:jc w:val="both"/>
        <w:rPr>
          <w:sz w:val="18"/>
          <w:szCs w:val="18"/>
          <w:lang w:eastAsia="lt-LT"/>
        </w:rPr>
      </w:pPr>
      <w:r>
        <w:rPr>
          <w:sz w:val="18"/>
          <w:szCs w:val="18"/>
          <w:vertAlign w:val="superscript"/>
          <w:lang w:eastAsia="lt-LT"/>
        </w:rPr>
        <w:footnoteRef/>
      </w:r>
      <w:r>
        <w:rPr>
          <w:sz w:val="18"/>
          <w:szCs w:val="18"/>
          <w:lang w:eastAsia="lt-LT"/>
        </w:rPr>
        <w:t xml:space="preserve"> Patvirtintame aplinkos ministro 2007 m. liepos 13 d. įsakymu Nr. D1-405 „Dėl Aplinkos apsaugos reikalavimų transporto priemonių techninei priežiūrai ir remontui aprašo patvirtinimo“ (toliau – Aprašas).</w:t>
      </w:r>
    </w:p>
  </w:footnote>
  <w:footnote w:id="3">
    <w:p>
      <w:pPr>
        <w:suppressAutoHyphens/>
        <w:jc w:val="both"/>
        <w:rPr>
          <w:sz w:val="18"/>
          <w:lang w:eastAsia="lt-LT"/>
        </w:rPr>
      </w:pPr>
      <w:r>
        <w:rPr>
          <w:sz w:val="18"/>
          <w:szCs w:val="18"/>
          <w:vertAlign w:val="superscript"/>
          <w:lang w:eastAsia="lt-LT"/>
        </w:rPr>
        <w:footnoteRef/>
      </w:r>
      <w:r>
        <w:rPr>
          <w:sz w:val="18"/>
          <w:szCs w:val="18"/>
          <w:lang w:eastAsia="lt-LT"/>
        </w:rPr>
        <w:t xml:space="preserve"> Ten pat, 1 ir 2 punktai.</w:t>
      </w:r>
    </w:p>
  </w:footnote>
  <w:footnote w:id="4">
    <w:p>
      <w:pPr>
        <w:suppressAutoHyphens/>
        <w:rPr>
          <w:sz w:val="20"/>
          <w:lang w:eastAsia="lt-LT"/>
        </w:rPr>
      </w:pPr>
      <w:r>
        <w:rPr>
          <w:sz w:val="20"/>
          <w:vertAlign w:val="superscript"/>
          <w:lang w:eastAsia="lt-LT"/>
        </w:rPr>
        <w:footnoteRef/>
      </w:r>
      <w:r>
        <w:rPr>
          <w:sz w:val="20"/>
          <w:lang w:eastAsia="lt-LT"/>
        </w:rPr>
        <w:t xml:space="preserve"> Paslaugų aprašo 1 punktas.</w:t>
      </w:r>
    </w:p>
  </w:footnote>
  <w:footnote w:id="5">
    <w:p>
      <w:pPr>
        <w:suppressAutoHyphens/>
        <w:jc w:val="both"/>
        <w:rPr>
          <w:sz w:val="20"/>
          <w:lang w:eastAsia="lt-LT"/>
        </w:rPr>
      </w:pPr>
      <w:r>
        <w:rPr>
          <w:sz w:val="20"/>
          <w:vertAlign w:val="superscript"/>
          <w:lang w:eastAsia="lt-LT"/>
        </w:rPr>
        <w:footnoteRef/>
      </w:r>
      <w:r>
        <w:rPr>
          <w:sz w:val="20"/>
          <w:lang w:eastAsia="lt-LT"/>
        </w:rPr>
        <w:t xml:space="preserve"> Sąvoka perdirbimas suprantama taip, kaip ji apibrėžta </w:t>
      </w:r>
      <w:r>
        <w:rPr>
          <w:rFonts w:eastAsia="Andale Sans UI"/>
          <w:color w:val="000000"/>
          <w:sz w:val="20"/>
          <w:bdr w:val="none" w:sz="0" w:space="0" w:color="auto" w:frame="1"/>
          <w:lang w:eastAsia="lt-LT"/>
        </w:rPr>
        <w:t>Motorinių transporto priemonių, jų priekabų gamybos ir perdirbimo ir techninės ekspertizės atlikimo tvarkos apraše, patvirtiname Valstybinės kelių transporto inspekcijos prie Susisiekimo ministerijos viršininko 2008 m. gruodžio 23 d. įsakymu Nr. 2B-515 „Dėl Motorinių transporto priemonių, jų priekabų gamybos ir perdirbimo ir techninės ekspertizės atlikimo tvarkos aprašo patvirtinimo“.</w:t>
      </w:r>
    </w:p>
  </w:footnote>
  <w:footnote w:id="6">
    <w:p>
      <w:pPr>
        <w:suppressAutoHyphens/>
        <w:jc w:val="both"/>
        <w:rPr>
          <w:sz w:val="20"/>
          <w:lang w:eastAsia="lt-LT"/>
        </w:rPr>
      </w:pPr>
      <w:r>
        <w:rPr>
          <w:sz w:val="20"/>
          <w:vertAlign w:val="superscript"/>
          <w:lang w:eastAsia="lt-LT"/>
        </w:rPr>
        <w:footnoteRef/>
      </w:r>
      <w:r>
        <w:rPr>
          <w:sz w:val="20"/>
          <w:lang w:eastAsia="lt-LT"/>
        </w:rPr>
        <w:t xml:space="preserve"> Patvirtintos Lietuvos Respublikos aplinkos ministro 2011 m. gegužės 3 d. įsakymu Nr. D1-367 „Dėl Atliekų susidarymo ir tvarkymo apskaitos ir ataskaitų teikimo taisyklių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81"/>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6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519896">
      <w:bodyDiv w:val="1"/>
      <w:marLeft w:val="0"/>
      <w:marRight w:val="0"/>
      <w:marTop w:val="0"/>
      <w:marBottom w:val="0"/>
      <w:divBdr>
        <w:top w:val="none" w:sz="0" w:space="0" w:color="auto"/>
        <w:left w:val="none" w:sz="0" w:space="0" w:color="auto"/>
        <w:bottom w:val="none" w:sz="0" w:space="0" w:color="auto"/>
        <w:right w:val="none" w:sz="0" w:space="0" w:color="auto"/>
      </w:divBdr>
      <w:divsChild>
        <w:div w:id="1401368047">
          <w:marLeft w:val="0"/>
          <w:marRight w:val="0"/>
          <w:marTop w:val="0"/>
          <w:marBottom w:val="0"/>
          <w:divBdr>
            <w:top w:val="none" w:sz="0" w:space="0" w:color="auto"/>
            <w:left w:val="none" w:sz="0" w:space="0" w:color="auto"/>
            <w:bottom w:val="none" w:sz="0" w:space="0" w:color="auto"/>
            <w:right w:val="none" w:sz="0" w:space="0" w:color="auto"/>
          </w:divBdr>
        </w:div>
        <w:div w:id="1160273558">
          <w:marLeft w:val="0"/>
          <w:marRight w:val="0"/>
          <w:marTop w:val="0"/>
          <w:marBottom w:val="0"/>
          <w:divBdr>
            <w:top w:val="none" w:sz="0" w:space="0" w:color="auto"/>
            <w:left w:val="none" w:sz="0" w:space="0" w:color="auto"/>
            <w:bottom w:val="none" w:sz="0" w:space="0" w:color="auto"/>
            <w:right w:val="none" w:sz="0" w:space="0" w:color="auto"/>
          </w:divBdr>
        </w:div>
        <w:div w:id="999891017">
          <w:marLeft w:val="0"/>
          <w:marRight w:val="0"/>
          <w:marTop w:val="0"/>
          <w:marBottom w:val="0"/>
          <w:divBdr>
            <w:top w:val="none" w:sz="0" w:space="0" w:color="auto"/>
            <w:left w:val="none" w:sz="0" w:space="0" w:color="auto"/>
            <w:bottom w:val="none" w:sz="0" w:space="0" w:color="auto"/>
            <w:right w:val="none" w:sz="0" w:space="0" w:color="auto"/>
          </w:divBdr>
        </w:div>
      </w:divsChild>
    </w:div>
    <w:div w:id="1026828615">
      <w:bodyDiv w:val="1"/>
      <w:marLeft w:val="0"/>
      <w:marRight w:val="0"/>
      <w:marTop w:val="0"/>
      <w:marBottom w:val="0"/>
      <w:divBdr>
        <w:top w:val="none" w:sz="0" w:space="0" w:color="auto"/>
        <w:left w:val="none" w:sz="0" w:space="0" w:color="auto"/>
        <w:bottom w:val="none" w:sz="0" w:space="0" w:color="auto"/>
        <w:right w:val="none" w:sz="0" w:space="0" w:color="auto"/>
      </w:divBdr>
    </w:div>
    <w:div w:id="1078677520">
      <w:bodyDiv w:val="1"/>
      <w:marLeft w:val="0"/>
      <w:marRight w:val="0"/>
      <w:marTop w:val="0"/>
      <w:marBottom w:val="0"/>
      <w:divBdr>
        <w:top w:val="none" w:sz="0" w:space="0" w:color="auto"/>
        <w:left w:val="none" w:sz="0" w:space="0" w:color="auto"/>
        <w:bottom w:val="none" w:sz="0" w:space="0" w:color="auto"/>
        <w:right w:val="none" w:sz="0" w:space="0" w:color="auto"/>
      </w:divBdr>
    </w:div>
    <w:div w:id="1809318433">
      <w:bodyDiv w:val="1"/>
      <w:marLeft w:val="0"/>
      <w:marRight w:val="0"/>
      <w:marTop w:val="0"/>
      <w:marBottom w:val="0"/>
      <w:divBdr>
        <w:top w:val="none" w:sz="0" w:space="0" w:color="auto"/>
        <w:left w:val="none" w:sz="0" w:space="0" w:color="auto"/>
        <w:bottom w:val="none" w:sz="0" w:space="0" w:color="auto"/>
        <w:right w:val="none" w:sz="0" w:space="0" w:color="auto"/>
      </w:divBdr>
      <w:divsChild>
        <w:div w:id="1592548683">
          <w:marLeft w:val="0"/>
          <w:marRight w:val="0"/>
          <w:marTop w:val="0"/>
          <w:marBottom w:val="0"/>
          <w:divBdr>
            <w:top w:val="none" w:sz="0" w:space="0" w:color="auto"/>
            <w:left w:val="none" w:sz="0" w:space="0" w:color="auto"/>
            <w:bottom w:val="none" w:sz="0" w:space="0" w:color="auto"/>
            <w:right w:val="none" w:sz="0" w:space="0" w:color="auto"/>
          </w:divBdr>
        </w:div>
        <w:div w:id="843783670">
          <w:marLeft w:val="0"/>
          <w:marRight w:val="0"/>
          <w:marTop w:val="0"/>
          <w:marBottom w:val="0"/>
          <w:divBdr>
            <w:top w:val="none" w:sz="0" w:space="0" w:color="auto"/>
            <w:left w:val="none" w:sz="0" w:space="0" w:color="auto"/>
            <w:bottom w:val="none" w:sz="0" w:space="0" w:color="auto"/>
            <w:right w:val="none" w:sz="0" w:space="0" w:color="auto"/>
          </w:divBdr>
        </w:div>
      </w:divsChild>
    </w:div>
    <w:div w:id="2050059119">
      <w:bodyDiv w:val="1"/>
      <w:marLeft w:val="0"/>
      <w:marRight w:val="0"/>
      <w:marTop w:val="0"/>
      <w:marBottom w:val="0"/>
      <w:divBdr>
        <w:top w:val="none" w:sz="0" w:space="0" w:color="auto"/>
        <w:left w:val="none" w:sz="0" w:space="0" w:color="auto"/>
        <w:bottom w:val="none" w:sz="0" w:space="0" w:color="auto"/>
        <w:right w:val="none" w:sz="0" w:space="0" w:color="auto"/>
      </w:divBdr>
      <w:divsChild>
        <w:div w:id="665128770">
          <w:marLeft w:val="0"/>
          <w:marRight w:val="0"/>
          <w:marTop w:val="0"/>
          <w:marBottom w:val="0"/>
          <w:divBdr>
            <w:top w:val="none" w:sz="0" w:space="0" w:color="auto"/>
            <w:left w:val="none" w:sz="0" w:space="0" w:color="auto"/>
            <w:bottom w:val="none" w:sz="0" w:space="0" w:color="auto"/>
            <w:right w:val="none" w:sz="0" w:space="0" w:color="auto"/>
          </w:divBdr>
        </w:div>
        <w:div w:id="1631403314">
          <w:marLeft w:val="0"/>
          <w:marRight w:val="0"/>
          <w:marTop w:val="0"/>
          <w:marBottom w:val="0"/>
          <w:divBdr>
            <w:top w:val="none" w:sz="0" w:space="0" w:color="auto"/>
            <w:left w:val="none" w:sz="0" w:space="0" w:color="auto"/>
            <w:bottom w:val="none" w:sz="0" w:space="0" w:color="auto"/>
            <w:right w:val="none" w:sz="0" w:space="0" w:color="auto"/>
          </w:divBdr>
        </w:div>
        <w:div w:id="10816366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Aistė Rakauskienė</DisplayName>
        <AccountId>317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ba87b49b2f574d9f91cb9648c32cedfe" PartId="f1f7c3d28d8145e48c7735fd5f476251"/>
  <Part Type="pastraipa" DocPartId="4854db18e5c54aac8f6652f07a9a779b" PartId="8b896b417f17463f8586bfa772eb95c1"/>
  <Part Type="pastraipa" DocPartId="ca7c0ce1fd734825b0802507147a991c" PartId="e1fb7970a0e44af79587a9ffaf675309"/>
  <Part Type="pastraipa" DocPartId="11f41fdbdbab4a57811476945fb249f2" PartId="f90fbb20b79e438f9e6ab970f589a7ae">
    <Part Type="punktas" Nr="1" Abbr="1 p." DocPartId="1f2cc891a6f246098758099370648f0b" PartId="f665ed4689fe4dfd92f9db6c22a75f2f"/>
    <Part Type="punktas" Nr="2" Abbr="2 p." DocPartId="290c1dcb026148279abb5d0ea34d0d11" PartId="83e1986bb3104f1fa5c06696a051779b"/>
    <Part Type="punktas" Nr="3" Abbr="3 p." DocPartId="30593fb73a0c448ab0dc1e5dd2b87c73" PartId="c835731dfb8a48bebbea0622b7d5aa92"/>
    <Part Type="punktas" Nr="4" Abbr="4 p." DocPartId="dab37ec6177e475e82cf1784f83969e9" PartId="c4d5389c51bb4ea4be67c668a0d8acbd"/>
    <Part Type="punktas" Nr="5" Abbr="5 p." DocPartId="049413b44d844d43947d6cd843cfc64c" PartId="717427cc25e24574becd6c83e209bf82"/>
    <Part Type="punktas" Nr="1" Abbr="1 p." Notes="Numeris ne iš eilės. Trūksta dalių? [DocDalys]" DocPartId="a2b1f01b2a004b3394ba1bd988b71525" PartId="f940eb25d89a4a97be6f4d04ad40187b"/>
    <Part Type="punktas" Nr="2" Abbr="2 p." DocPartId="7f9a970af9944d76956a78f8c5c6bc48" PartId="5cb4eb9c354242c098ac66f270cfbde5"/>
    <Part Type="punktas" Nr="1" Abbr="1 p." Notes="Numeris ne iš eilės. Trūksta dalių? [DocDalys]" DocPartId="e91f4f5f81f149bea6cf726543cd9a88" PartId="94c178be46bf46d4ac5871187c214348"/>
    <Part Type="punktas" Nr="2" Abbr="2 p." DocPartId="3d88ac9b97ee464087c272c9c33f79c4" PartId="afba3c31a3b54c5aba83c533cdcb2926"/>
    <Part Type="punktas" Nr="3" Abbr="3 p." DocPartId="49b2e93a406645f9bf753ba908753fe0" PartId="395adfc5816e475f97dff3ac9042b33c"/>
    <Part Type="punktas" Nr="4" Abbr="4 p." DocPartId="33b6282ed2b447d3a9533db6a48d4456" PartId="ad4c215ae6044d2ab97621091b0132d4"/>
    <Part Type="punktas" Nr="5" Abbr="5 p." DocPartId="bdaee1f9b2034d27abb1b5d02e61162e" PartId="e4575903a5b54f769c6fc4ce24b09da1"/>
    <Part Type="punktas" Nr="6" Abbr="6 p." DocPartId="f420d90900494adc9892781821a4b4f3" PartId="3c0893d77ae3490a9ac80bec880ff15d"/>
    <Part Type="punktas" Nr="7" Abbr="7 p." DocPartId="0c8bea2e09404efd8c63b248a88209bc" PartId="d1b7d62a7f21487dbf150502f81a5c31"/>
  </Part>
</Parts>
</file>

<file path=customXml/itemProps1.xml><?xml version="1.0" encoding="utf-8"?>
<ds:datastoreItem xmlns:ds="http://schemas.openxmlformats.org/officeDocument/2006/customXml" ds:itemID="{DDF7FC42-FE5D-4359-93A0-7FE417E11A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D316FC-25DA-471E-9C8F-0D3EFFB1B39A}">
  <ds:schemaRefs>
    <ds:schemaRef ds:uri="http://schemas.microsoft.com/sharepoint/v3/contenttype/forms"/>
  </ds:schemaRefs>
</ds:datastoreItem>
</file>

<file path=customXml/itemProps3.xml><?xml version="1.0" encoding="utf-8"?>
<ds:datastoreItem xmlns:ds="http://schemas.openxmlformats.org/officeDocument/2006/customXml" ds:itemID="{EA6B633D-7CB2-4FAE-8F89-5653EE8C83F0}">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F19B3D0-CEAD-4FC5-9A6A-CBB3E227063E}">
  <ds:schemaRefs>
    <ds:schemaRef ds:uri="http://schemas.openxmlformats.org/officeDocument/2006/bibliography"/>
  </ds:schemaRefs>
</ds:datastoreItem>
</file>

<file path=customXml/itemProps5.xml><?xml version="1.0" encoding="utf-8"?>
<ds:datastoreItem xmlns:ds="http://schemas.openxmlformats.org/officeDocument/2006/customXml" ds:itemID="{1E9DBEBE-A5A3-4E74-8AE1-8603E8606E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1169</Words>
  <Characters>9177</Characters>
  <Application>Microsoft Office Word</Application>
  <DocSecurity>4</DocSecurity>
  <Lines>176</Lines>
  <Paragraphs>80</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10266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2022-11-03T09:01:00Z</dcterms:created>
  <dcterms:modified xsi:type="dcterms:W3CDTF">2022-11-03T09:01:00Z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