
<file path=[Content_Types].xml><?xml version="1.0" encoding="utf-8"?>
<Types xmlns="http://schemas.openxmlformats.org/package/2006/content-types">
  <Default Extension="rels" ContentType="application/vnd.openxmlformats-package.relationships+xml"/>
  <Default Extension="xlsx" ContentType="application/vnd.openxmlformats-officedocument.spreadsheetml.sheet"/>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harts/chart1.xml" ContentType="application/vnd.openxmlformats-officedocument.drawingml.chart+xml"/>
  <Override PartName="/word/charts/chart2.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style1.xml" ContentType="application/vnd.ms-office.chartstyle+xml"/>
  <Override PartName="/word/charts/style2.xml" ContentType="application/vnd.ms-office.chartsty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2fb13e191584783b5a49cfaba0d1275"/>
        <w:lock w:val="sdtLocked"/>
        <w:richText/>
      </w:sdtPr>
      <w:sdtContent>
        <w:p>
          <w:pPr>
            <w:spacing w:line="256" w:lineRule="auto"/>
            <w:ind w:left="2204"/>
            <w:jc w:val="center"/>
            <w:rPr>
              <w:color w:val="000000"/>
              <w:kern w:val="2"/>
              <w:szCs w:val="22"/>
              <w:lang w:eastAsia="lt-LT"/>
            </w:rPr>
          </w:pPr>
        </w:p>
        <w:p>
          <w:pPr>
            <w:keepNext/>
            <w:keepLines/>
            <w:spacing w:line="256" w:lineRule="auto"/>
            <w:ind w:left="10" w:right="120" w:hanging="10"/>
            <w:jc w:val="center"/>
            <w:rPr>
              <w:b/>
              <w:bCs/>
              <w:color w:val="000000"/>
              <w:kern w:val="2"/>
              <w:szCs w:val="22"/>
              <w:lang w:eastAsia="lt-LT"/>
            </w:rPr>
          </w:pPr>
          <w:r>
            <w:rPr>
              <w:b/>
              <w:bCs/>
              <w:color w:val="000000"/>
              <w:kern w:val="2"/>
              <w:szCs w:val="22"/>
              <w:lang w:eastAsia="lt-LT"/>
            </w:rPr>
            <w:t xml:space="preserve">2024 METŲ RADVILIŠKIO RAJONO SAVIVALDYBĖS BIUDŽETO VYKDYMO ATASKAITŲ AIŠKINAMASIS RAŠTAS </w:t>
          </w:r>
        </w:p>
        <w:p>
          <w:pPr>
            <w:spacing w:line="256" w:lineRule="auto"/>
            <w:ind w:right="77"/>
            <w:jc w:val="center"/>
            <w:rPr>
              <w:color w:val="000000"/>
              <w:kern w:val="2"/>
              <w:szCs w:val="22"/>
              <w:lang w:eastAsia="lt-LT"/>
            </w:rPr>
          </w:pPr>
        </w:p>
        <w:p>
          <w:pPr>
            <w:rPr>
              <w:sz w:val="2"/>
              <w:szCs w:val="2"/>
            </w:rPr>
          </w:pPr>
        </w:p>
        <w:p>
          <w:pPr>
            <w:spacing w:line="256" w:lineRule="auto"/>
            <w:ind w:right="62"/>
            <w:jc w:val="center"/>
            <w:rPr>
              <w:color w:val="000000"/>
              <w:kern w:val="2"/>
              <w:szCs w:val="22"/>
              <w:lang w:eastAsia="lt-LT"/>
            </w:rPr>
          </w:pPr>
        </w:p>
        <w:p>
          <w:pPr>
            <w:keepNext/>
            <w:keepLines/>
            <w:spacing w:line="256" w:lineRule="auto"/>
            <w:ind w:left="10" w:right="127" w:hanging="10"/>
            <w:jc w:val="center"/>
            <w:rPr>
              <w:color w:val="000000"/>
              <w:kern w:val="2"/>
              <w:szCs w:val="22"/>
              <w:lang w:eastAsia="lt-LT"/>
            </w:rPr>
          </w:pPr>
          <w:r>
            <w:rPr>
              <w:color w:val="000000"/>
              <w:kern w:val="2"/>
              <w:szCs w:val="22"/>
              <w:lang w:eastAsia="lt-LT"/>
            </w:rPr>
            <w:t xml:space="preserve">I SKYRIUS BENDROSIOS NUOSTATOS </w:t>
          </w:r>
        </w:p>
        <w:p>
          <w:pPr>
            <w:spacing w:line="256" w:lineRule="auto"/>
            <w:ind w:firstLine="53"/>
            <w:rPr>
              <w:color w:val="000000"/>
              <w:kern w:val="2"/>
              <w:szCs w:val="22"/>
              <w:lang w:eastAsia="lt-LT"/>
            </w:rPr>
          </w:pPr>
        </w:p>
        <w:sdt>
          <w:sdtPr>
            <w:alias w:val="preambule"/>
            <w:tag w:val="part_33fc22224ba8402a950c39a4d876f6a3"/>
            <w:lock w:val="sdtLocked"/>
            <w:richText/>
          </w:sdtPr>
          <w:sdtContent>
            <w:p>
              <w:pPr>
                <w:spacing w:line="247" w:lineRule="auto"/>
                <w:ind w:left="-13" w:right="108" w:firstLine="540"/>
                <w:jc w:val="both"/>
                <w:rPr>
                  <w:color w:val="000000"/>
                  <w:kern w:val="2"/>
                  <w:szCs w:val="22"/>
                  <w:lang w:eastAsia="lt-LT"/>
                </w:rPr>
              </w:pPr>
              <w:r>
                <w:rPr>
                  <w:color w:val="000000"/>
                  <w:kern w:val="2"/>
                  <w:szCs w:val="22"/>
                  <w:lang w:eastAsia="lt-LT"/>
                </w:rPr>
                <w:t>2024 metų savivaldybės biudžeto vykdymo ataskaitų rinkinys, kuriam reikalavimus nustato Viešojo sektoriaus atskaitomybės įstatymas</w:t>
              </w:r>
              <w:r>
                <w:rPr>
                  <w:color w:val="000000"/>
                  <w:kern w:val="2"/>
                  <w:szCs w:val="22"/>
                  <w:vertAlign w:val="superscript"/>
                  <w:lang w:eastAsia="lt-LT"/>
                </w:rPr>
                <w:footnoteReference w:id="1"/>
              </w:r>
              <w:r>
                <w:rPr>
                  <w:color w:val="000000"/>
                  <w:kern w:val="2"/>
                  <w:szCs w:val="22"/>
                  <w:lang w:eastAsia="lt-LT"/>
                </w:rPr>
                <w:t>, parengtas Lietuvos Respublikos Vyriausybės patvirtintomis Valstybės biudžeto ir savivaldybių biudžetų sudarymo ir vykdymo taisyklėmis</w:t>
              </w:r>
              <w:r>
                <w:rPr>
                  <w:color w:val="000000"/>
                  <w:kern w:val="2"/>
                  <w:szCs w:val="22"/>
                  <w:vertAlign w:val="superscript"/>
                  <w:lang w:eastAsia="lt-LT"/>
                </w:rPr>
                <w:footnoteReference w:id="2"/>
              </w:r>
              <w:r>
                <w:rPr>
                  <w:color w:val="000000"/>
                  <w:kern w:val="2"/>
                  <w:szCs w:val="22"/>
                  <w:lang w:eastAsia="lt-LT"/>
                </w:rPr>
                <w:t xml:space="preserve"> (toliau – Biudžetų sudarymo ir vykdymo taisyklės). Valstybės ir savivaldybių biudžetų vykdymo, biudžetinių įstaigų ir kitų subjektų programų sąmatų vykdymo apskaitos ir ataskaitų sudarymo taisyklės ir formos patvirtintos finansų ministro įsakymu</w:t>
              </w:r>
              <w:r>
                <w:rPr>
                  <w:color w:val="000000"/>
                  <w:kern w:val="2"/>
                  <w:szCs w:val="22"/>
                  <w:vertAlign w:val="superscript"/>
                  <w:lang w:eastAsia="lt-LT"/>
                </w:rPr>
                <w:footnoteReference w:id="3"/>
              </w:r>
              <w:r>
                <w:rPr>
                  <w:color w:val="000000"/>
                  <w:kern w:val="2"/>
                  <w:szCs w:val="22"/>
                  <w:lang w:eastAsia="lt-LT"/>
                </w:rPr>
                <w:t xml:space="preserve">. </w:t>
              </w:r>
            </w:p>
          </w:sdtContent>
        </w:sdt>
        <w:sdt>
          <w:sdtPr>
            <w:alias w:val="pastraipa"/>
            <w:tag w:val="part_6422ab439d004006940889c52a24d9c6"/>
            <w:lock w:val="sdtLocked"/>
            <w:richText/>
          </w:sdtPr>
          <w:sdtContent>
            <w:p>
              <w:pPr>
                <w:spacing w:line="247" w:lineRule="auto"/>
                <w:ind w:left="-13" w:right="108" w:firstLine="540"/>
                <w:jc w:val="both"/>
                <w:rPr>
                  <w:color w:val="000000"/>
                  <w:kern w:val="2"/>
                  <w:szCs w:val="22"/>
                  <w:lang w:eastAsia="lt-LT"/>
                </w:rPr>
              </w:pPr>
              <w:r>
                <w:rPr>
                  <w:color w:val="000000"/>
                  <w:kern w:val="2"/>
                  <w:szCs w:val="22"/>
                  <w:lang w:eastAsia="lt-LT"/>
                </w:rPr>
                <w:t xml:space="preserve">Savivaldybės biudžeto vykdymo ataskaitų rinkinio rengimo tikslas – parodyti savivaldybės biudžeto pajamų planų pagal mokesčių ir kitų pajamų rūšis ir išlaidų pagal valstybės funkcines ir ekonomines klasifikacijas vykdymą, pateikti visuomenei informaciją apie savivaldybės veiklos srityse vykdomas programas, programų finansavimo šaltinius, asignavimų paskirstymą ir naudojimą, nepanaudojimo priežastis. </w:t>
              </w:r>
            </w:p>
            <w:p>
              <w:pPr>
                <w:spacing w:line="247" w:lineRule="auto"/>
                <w:ind w:left="-13" w:right="108" w:firstLine="540"/>
                <w:jc w:val="both"/>
                <w:rPr>
                  <w:color w:val="000000"/>
                  <w:kern w:val="2"/>
                  <w:szCs w:val="22"/>
                  <w:lang w:eastAsia="lt-LT"/>
                </w:rPr>
              </w:pPr>
              <w:r>
                <w:rPr>
                  <w:color w:val="000000"/>
                  <w:kern w:val="2"/>
                  <w:szCs w:val="22"/>
                  <w:lang w:eastAsia="lt-LT"/>
                </w:rPr>
                <w:t xml:space="preserve">Savivaldybės biudžeto vykdymo ataskaitų rinkinį rengia Radviliškio rajono savivaldybės administracijos Finansų skyrius, remdamasis savivaldybės iždo buhalterinės apskaitos duomenimis – į savivaldybės biudžetą gautų pajamų ir savivaldybės biudžeto asignavimų valdytojų pateiktais biudžeto vykdymo ataskaitų rinkiniais. Metinis ataskaitų rinkinys skelbiamas viešai Radviliškio rajono savivaldybės interneto svetainėje adresu www.radviliskis.lt. </w:t>
              </w:r>
            </w:p>
            <w:p>
              <w:pPr>
                <w:spacing w:line="247" w:lineRule="auto"/>
                <w:ind w:left="-13" w:right="108" w:firstLine="540"/>
                <w:jc w:val="both"/>
                <w:rPr>
                  <w:color w:val="000000"/>
                  <w:kern w:val="2"/>
                  <w:szCs w:val="22"/>
                  <w:lang w:eastAsia="lt-LT"/>
                </w:rPr>
              </w:pPr>
            </w:p>
          </w:sdtContent>
        </w:sdt>
        <w:sdt>
          <w:sdtPr>
            <w:alias w:val="skirsnis"/>
            <w:tag w:val="part_cc1879d42d5d447482ea2d5aef4c0b43"/>
            <w:lock w:val="sdtLocked"/>
            <w:richText/>
          </w:sdtPr>
          <w:sdtContent>
            <w:p>
              <w:pPr>
                <w:keepNext/>
                <w:keepLines/>
                <w:spacing w:line="256" w:lineRule="auto"/>
                <w:ind w:left="10" w:right="125" w:hanging="10"/>
                <w:jc w:val="center"/>
                <w:rPr>
                  <w:color w:val="000000"/>
                  <w:kern w:val="2"/>
                  <w:szCs w:val="22"/>
                  <w:lang w:eastAsia="lt-LT"/>
                </w:rPr>
              </w:pPr>
              <w:sdt>
                <w:sdtPr>
                  <w:alias w:val="Pavadinimas"/>
                  <w:tag w:val="title_cc1879d42d5d447482ea2d5aef4c0b43"/>
                  <w:lock w:val="sdtLocked"/>
                  <w:richText/>
                </w:sdtPr>
                <w:sdtContent>
                  <w:r>
                    <w:rPr>
                      <w:color w:val="000000"/>
                      <w:kern w:val="2"/>
                      <w:szCs w:val="22"/>
                      <w:lang w:eastAsia="lt-LT"/>
                    </w:rPr>
                    <w:t xml:space="preserve">II SKYRIUS APSKAITOS POLITIKA </w:t>
                  </w:r>
                </w:sdtContent>
              </w:sdt>
            </w:p>
            <w:p>
              <w:pPr>
                <w:spacing w:line="259" w:lineRule="auto"/>
                <w:ind w:right="62" w:firstLine="62"/>
                <w:jc w:val="center"/>
                <w:rPr>
                  <w:color w:val="000000"/>
                  <w:kern w:val="2"/>
                  <w:szCs w:val="22"/>
                  <w:lang w:eastAsia="lt-LT"/>
                </w:rPr>
              </w:pPr>
            </w:p>
            <w:p>
              <w:pPr>
                <w:spacing w:line="247" w:lineRule="auto"/>
                <w:ind w:left="-13" w:right="108" w:firstLine="540"/>
                <w:jc w:val="both"/>
                <w:rPr>
                  <w:color w:val="000000"/>
                  <w:kern w:val="2"/>
                  <w:szCs w:val="22"/>
                  <w:lang w:eastAsia="lt-LT"/>
                </w:rPr>
              </w:pPr>
              <w:r>
                <w:rPr>
                  <w:color w:val="000000"/>
                  <w:kern w:val="2"/>
                  <w:szCs w:val="22"/>
                  <w:lang w:eastAsia="lt-LT"/>
                </w:rPr>
                <w:t xml:space="preserve">Sudarant metinį savivaldybės biudžeto vykdymo ataskaitų rinkinį buvo vadovautasi šiais bendraisiais apskaitos principais: </w:t>
              </w:r>
            </w:p>
            <w:sdt>
              <w:sdtPr>
                <w:alias w:val="1 p."/>
                <w:tag w:val="part_8018fa7943c84a77bc82ac990f5f9777"/>
                <w:lock w:val="sdtLocked"/>
                <w:richText/>
              </w:sdtPr>
              <w:sdtContent>
                <w:p>
                  <w:pPr>
                    <w:spacing w:line="248" w:lineRule="auto"/>
                    <w:ind w:right="108" w:firstLine="540"/>
                    <w:jc w:val="both"/>
                    <w:rPr>
                      <w:color w:val="000000"/>
                      <w:kern w:val="2"/>
                      <w:szCs w:val="22"/>
                      <w:lang w:eastAsia="lt-LT"/>
                    </w:rPr>
                  </w:pPr>
                  <w:sdt>
                    <w:sdtPr>
                      <w:alias w:val="Numeris"/>
                      <w:tag w:val="nr_8018fa7943c84a77bc82ac990f5f9777"/>
                      <w:lock w:val="sdtLocked"/>
                      <w:richText/>
                    </w:sdtPr>
                    <w:sdtContent>
                      <w:r>
                        <w:rPr>
                          <w:color w:val="000000"/>
                          <w:kern w:val="2"/>
                          <w:szCs w:val="24"/>
                          <w:lang w:eastAsia="lt-LT"/>
                        </w:rPr>
                        <w:t>1</w:t>
                      </w:r>
                    </w:sdtContent>
                  </w:sdt>
                  <w:r>
                    <w:rPr>
                      <w:color w:val="000000"/>
                      <w:kern w:val="2"/>
                      <w:szCs w:val="24"/>
                      <w:lang w:eastAsia="lt-LT"/>
                    </w:rPr>
                    <w:t>.</w:t>
                    <w:tab/>
                  </w:r>
                  <w:r>
                    <w:rPr>
                      <w:color w:val="000000"/>
                      <w:kern w:val="2"/>
                      <w:szCs w:val="22"/>
                      <w:lang w:eastAsia="lt-LT"/>
                    </w:rPr>
                    <w:t xml:space="preserve">Grynųjų pinigų principu – ataskaitose pajamos pripažįstamos, kai pinigai gaunami į sąskaitas, o išlaidos pripažįstamos, kai jos apmokamos. </w:t>
                  </w:r>
                </w:p>
              </w:sdtContent>
            </w:sdt>
            <w:sdt>
              <w:sdtPr>
                <w:alias w:val="2 p."/>
                <w:tag w:val="part_02c67b4713aa4b40ba96ae22c737db4d"/>
                <w:lock w:val="sdtLocked"/>
                <w:richText/>
              </w:sdtPr>
              <w:sdtContent>
                <w:p>
                  <w:pPr>
                    <w:spacing w:line="248" w:lineRule="auto"/>
                    <w:ind w:right="108" w:firstLine="540"/>
                    <w:jc w:val="both"/>
                    <w:rPr>
                      <w:color w:val="000000"/>
                      <w:kern w:val="2"/>
                      <w:szCs w:val="22"/>
                      <w:lang w:eastAsia="lt-LT"/>
                    </w:rPr>
                  </w:pPr>
                  <w:sdt>
                    <w:sdtPr>
                      <w:alias w:val="Numeris"/>
                      <w:tag w:val="nr_02c67b4713aa4b40ba96ae22c737db4d"/>
                      <w:lock w:val="sdtLocked"/>
                      <w:richText/>
                    </w:sdtPr>
                    <w:sdtContent>
                      <w:r>
                        <w:rPr>
                          <w:color w:val="000000"/>
                          <w:kern w:val="2"/>
                          <w:szCs w:val="24"/>
                          <w:lang w:eastAsia="lt-LT"/>
                        </w:rPr>
                        <w:t>2</w:t>
                      </w:r>
                    </w:sdtContent>
                  </w:sdt>
                  <w:r>
                    <w:rPr>
                      <w:color w:val="000000"/>
                      <w:kern w:val="2"/>
                      <w:szCs w:val="24"/>
                      <w:lang w:eastAsia="lt-LT"/>
                    </w:rPr>
                    <w:t>.</w:t>
                    <w:tab/>
                  </w:r>
                  <w:r>
                    <w:rPr>
                      <w:color w:val="000000"/>
                      <w:kern w:val="2"/>
                      <w:szCs w:val="22"/>
                      <w:lang w:eastAsia="lt-LT"/>
                    </w:rPr>
                    <w:t xml:space="preserve">Subjekto principu – apskaitoje registruojama ir ataskaitose rodoma tik savivaldybės biudžeto asignavimų valdytojų, savivaldybės biudžeto vykdymo informacija. </w:t>
                  </w:r>
                </w:p>
              </w:sdtContent>
            </w:sdt>
            <w:sdt>
              <w:sdtPr>
                <w:alias w:val="3 p."/>
                <w:tag w:val="part_4ba1b851ca8e467b985e833bf698f14f"/>
                <w:lock w:val="sdtLocked"/>
                <w:richText/>
              </w:sdtPr>
              <w:sdtContent>
                <w:p>
                  <w:pPr>
                    <w:spacing w:line="248" w:lineRule="auto"/>
                    <w:ind w:right="108" w:firstLine="510"/>
                    <w:jc w:val="both"/>
                    <w:rPr>
                      <w:color w:val="000000"/>
                      <w:kern w:val="2"/>
                      <w:szCs w:val="22"/>
                      <w:lang w:eastAsia="lt-LT"/>
                    </w:rPr>
                  </w:pPr>
                  <w:sdt>
                    <w:sdtPr>
                      <w:alias w:val="Numeris"/>
                      <w:tag w:val="nr_4ba1b851ca8e467b985e833bf698f14f"/>
                      <w:lock w:val="sdtLocked"/>
                      <w:richText/>
                    </w:sdtPr>
                    <w:sdtContent>
                      <w:r>
                        <w:rPr>
                          <w:color w:val="000000"/>
                          <w:kern w:val="2"/>
                          <w:szCs w:val="24"/>
                          <w:lang w:eastAsia="lt-LT"/>
                        </w:rPr>
                        <w:t>3</w:t>
                      </w:r>
                    </w:sdtContent>
                  </w:sdt>
                  <w:r>
                    <w:rPr>
                      <w:color w:val="000000"/>
                      <w:kern w:val="2"/>
                      <w:szCs w:val="24"/>
                      <w:lang w:eastAsia="lt-LT"/>
                    </w:rPr>
                    <w:t>.</w:t>
                    <w:tab/>
                  </w:r>
                  <w:r>
                    <w:rPr>
                      <w:color w:val="000000"/>
                      <w:kern w:val="2"/>
                      <w:szCs w:val="22"/>
                      <w:lang w:eastAsia="lt-LT"/>
                    </w:rPr>
                    <w:t xml:space="preserve">Periodiškumo principu – į biudžetinių metų pajamas įskaitytos įmokos, kurios į savivaldybės iždo sąskaitas, pateko iki 2025 metų sausio 10 dienos įskaitytinai. Į savivaldybės biudžeto panaudotus asignavimus įskaitytos lėšos, kurių pervedimo įvykdymo pradžia nustatyta iki gruodžio 31 dienos įskaitytinai.  </w:t>
                  </w:r>
                </w:p>
              </w:sdtContent>
            </w:sdt>
            <w:sdt>
              <w:sdtPr>
                <w:alias w:val="4 p."/>
                <w:tag w:val="part_a7422e83245344eaa093cd812e162021"/>
                <w:lock w:val="sdtLocked"/>
                <w:richText/>
              </w:sdtPr>
              <w:sdtContent>
                <w:p>
                  <w:pPr>
                    <w:spacing w:line="248" w:lineRule="auto"/>
                    <w:ind w:right="108" w:firstLine="510"/>
                    <w:jc w:val="both"/>
                    <w:rPr>
                      <w:color w:val="000000"/>
                      <w:kern w:val="2"/>
                      <w:szCs w:val="22"/>
                      <w:lang w:eastAsia="lt-LT"/>
                    </w:rPr>
                  </w:pPr>
                  <w:sdt>
                    <w:sdtPr>
                      <w:alias w:val="Numeris"/>
                      <w:tag w:val="nr_a7422e83245344eaa093cd812e162021"/>
                      <w:lock w:val="sdtLocked"/>
                      <w:richText/>
                    </w:sdtPr>
                    <w:sdtContent>
                      <w:r>
                        <w:rPr>
                          <w:color w:val="000000"/>
                          <w:kern w:val="2"/>
                          <w:szCs w:val="24"/>
                          <w:lang w:eastAsia="lt-LT"/>
                        </w:rPr>
                        <w:t>4</w:t>
                      </w:r>
                    </w:sdtContent>
                  </w:sdt>
                  <w:r>
                    <w:rPr>
                      <w:color w:val="000000"/>
                      <w:kern w:val="2"/>
                      <w:szCs w:val="24"/>
                      <w:lang w:eastAsia="lt-LT"/>
                    </w:rPr>
                    <w:t>.</w:t>
                    <w:tab/>
                  </w:r>
                  <w:r>
                    <w:rPr>
                      <w:color w:val="000000"/>
                      <w:kern w:val="2"/>
                      <w:szCs w:val="22"/>
                      <w:lang w:eastAsia="lt-LT"/>
                    </w:rPr>
                    <w:t xml:space="preserve">Pastovumo principu – taikomas apskaitos metodas, analogiškas kaip ir ankstesniais metais. </w:t>
                  </w:r>
                </w:p>
              </w:sdtContent>
            </w:sdt>
            <w:sdt>
              <w:sdtPr>
                <w:alias w:val="5 p."/>
                <w:tag w:val="part_1764bd47e6774d91ab6ccd0a237168d9"/>
                <w:lock w:val="sdtLocked"/>
                <w:richText/>
              </w:sdtPr>
              <w:sdtContent>
                <w:p>
                  <w:pPr>
                    <w:spacing w:line="248" w:lineRule="auto"/>
                    <w:ind w:right="108" w:firstLine="510"/>
                    <w:jc w:val="both"/>
                    <w:rPr>
                      <w:color w:val="000000"/>
                      <w:kern w:val="2"/>
                      <w:szCs w:val="22"/>
                      <w:lang w:eastAsia="lt-LT"/>
                    </w:rPr>
                  </w:pPr>
                  <w:sdt>
                    <w:sdtPr>
                      <w:alias w:val="Numeris"/>
                      <w:tag w:val="nr_1764bd47e6774d91ab6ccd0a237168d9"/>
                      <w:lock w:val="sdtLocked"/>
                      <w:richText/>
                    </w:sdtPr>
                    <w:sdtContent>
                      <w:r>
                        <w:rPr>
                          <w:color w:val="000000"/>
                          <w:kern w:val="2"/>
                          <w:szCs w:val="24"/>
                          <w:lang w:eastAsia="lt-LT"/>
                        </w:rPr>
                        <w:t>5</w:t>
                      </w:r>
                    </w:sdtContent>
                  </w:sdt>
                  <w:r>
                    <w:rPr>
                      <w:color w:val="000000"/>
                      <w:kern w:val="2"/>
                      <w:szCs w:val="24"/>
                      <w:lang w:eastAsia="lt-LT"/>
                    </w:rPr>
                    <w:t>.</w:t>
                    <w:tab/>
                  </w:r>
                  <w:r>
                    <w:rPr>
                      <w:color w:val="000000"/>
                      <w:kern w:val="2"/>
                      <w:szCs w:val="22"/>
                      <w:lang w:eastAsia="lt-LT"/>
                    </w:rPr>
                    <w:t xml:space="preserve">Piniginio mato principu – informacija ataskaitose ir aiškinamajame išreikšta tūkstančiais eurų su vieno ženklo po kablelio tikslumu. Atskirose ataskaitose dėl skaičių apvalinimo galimi nedideli skaičių nuokrypiai. </w:t>
                  </w:r>
                </w:p>
              </w:sdtContent>
            </w:sdt>
            <w:sdt>
              <w:sdtPr>
                <w:alias w:val="6 p."/>
                <w:tag w:val="part_b2798e7e94b34af595561b7e5896917c"/>
                <w:lock w:val="sdtLocked"/>
                <w:richText/>
              </w:sdtPr>
              <w:sdtContent>
                <w:p>
                  <w:pPr>
                    <w:spacing w:line="248" w:lineRule="auto"/>
                    <w:ind w:right="108" w:firstLine="510"/>
                    <w:jc w:val="both"/>
                    <w:rPr>
                      <w:color w:val="000000"/>
                      <w:kern w:val="2"/>
                      <w:szCs w:val="22"/>
                      <w:lang w:eastAsia="lt-LT"/>
                    </w:rPr>
                  </w:pPr>
                  <w:sdt>
                    <w:sdtPr>
                      <w:alias w:val="Numeris"/>
                      <w:tag w:val="nr_b2798e7e94b34af595561b7e5896917c"/>
                      <w:lock w:val="sdtLocked"/>
                      <w:richText/>
                    </w:sdtPr>
                    <w:sdtContent>
                      <w:r>
                        <w:rPr>
                          <w:color w:val="000000"/>
                          <w:kern w:val="2"/>
                          <w:szCs w:val="24"/>
                          <w:lang w:eastAsia="lt-LT"/>
                        </w:rPr>
                        <w:t>6</w:t>
                      </w:r>
                    </w:sdtContent>
                  </w:sdt>
                  <w:r>
                    <w:rPr>
                      <w:color w:val="000000"/>
                      <w:kern w:val="2"/>
                      <w:szCs w:val="24"/>
                      <w:lang w:eastAsia="lt-LT"/>
                    </w:rPr>
                    <w:t>.</w:t>
                    <w:tab/>
                  </w:r>
                  <w:r>
                    <w:rPr>
                      <w:color w:val="000000"/>
                      <w:kern w:val="2"/>
                      <w:szCs w:val="22"/>
                      <w:lang w:eastAsia="lt-LT"/>
                    </w:rPr>
                    <w:t>Palyginimo principu</w:t>
                  </w:r>
                  <w:r>
                    <w:rPr>
                      <w:color w:val="000000"/>
                      <w:kern w:val="2"/>
                      <w:sz w:val="20"/>
                      <w:szCs w:val="22"/>
                      <w:lang w:eastAsia="lt-LT"/>
                    </w:rPr>
                    <w:t xml:space="preserve"> – </w:t>
                  </w:r>
                  <w:r>
                    <w:rPr>
                      <w:color w:val="000000"/>
                      <w:kern w:val="2"/>
                      <w:szCs w:val="22"/>
                      <w:lang w:eastAsia="lt-LT"/>
                    </w:rPr>
                    <w:t xml:space="preserve">aiškinamajame rašte pateikiama ankstesnių metų savivaldybės biudžeto pajamų ir išlaidų informacija palyginimui.  </w:t>
                  </w:r>
                </w:p>
                <w:p>
                  <w:pPr>
                    <w:spacing w:line="256" w:lineRule="auto"/>
                    <w:ind w:right="62" w:firstLine="62"/>
                    <w:jc w:val="center"/>
                    <w:rPr>
                      <w:color w:val="000000"/>
                      <w:kern w:val="2"/>
                      <w:szCs w:val="22"/>
                      <w:lang w:eastAsia="lt-LT"/>
                    </w:rPr>
                  </w:pPr>
                </w:p>
              </w:sdtContent>
            </w:sdt>
          </w:sdtContent>
        </w:sdt>
        <w:sdt>
          <w:sdtPr>
            <w:alias w:val="skirsnis"/>
            <w:tag w:val="part_3a453748dc624b28ad1d8ca4b1d860cf"/>
            <w:lock w:val="sdtLocked"/>
            <w:richText/>
          </w:sdtPr>
          <w:sdtContent>
            <w:p>
              <w:pPr>
                <w:keepNext/>
                <w:keepLines/>
                <w:spacing w:line="256" w:lineRule="auto"/>
                <w:ind w:left="10" w:right="118" w:hanging="10"/>
                <w:jc w:val="center"/>
                <w:rPr>
                  <w:color w:val="000000"/>
                  <w:kern w:val="2"/>
                  <w:szCs w:val="22"/>
                  <w:lang w:eastAsia="lt-LT"/>
                </w:rPr>
              </w:pPr>
              <w:sdt>
                <w:sdtPr>
                  <w:alias w:val="Pavadinimas"/>
                  <w:tag w:val="title_3a453748dc624b28ad1d8ca4b1d860cf"/>
                  <w:lock w:val="sdtLocked"/>
                  <w:richText/>
                </w:sdtPr>
                <w:sdtContent>
                  <w:r>
                    <w:rPr>
                      <w:color w:val="000000"/>
                      <w:kern w:val="2"/>
                      <w:szCs w:val="22"/>
                      <w:lang w:eastAsia="lt-LT"/>
                    </w:rPr>
                    <w:t xml:space="preserve">III SKYRIUS SAVIVALDYBĖS BIUDŽETO PAJAMŲ PLANO VYKDYMAS </w:t>
                  </w:r>
                </w:sdtContent>
              </w:sdt>
            </w:p>
            <w:p>
              <w:pPr>
                <w:spacing w:line="256" w:lineRule="auto"/>
                <w:ind w:right="57" w:firstLine="62"/>
                <w:jc w:val="center"/>
                <w:rPr>
                  <w:color w:val="000000"/>
                  <w:kern w:val="2"/>
                  <w:szCs w:val="22"/>
                  <w:lang w:eastAsia="lt-LT"/>
                </w:rPr>
              </w:pPr>
            </w:p>
            <w:p>
              <w:pPr>
                <w:spacing w:line="247" w:lineRule="auto"/>
                <w:ind w:left="-13" w:right="108" w:firstLine="566"/>
                <w:jc w:val="both"/>
                <w:rPr>
                  <w:color w:val="000000"/>
                  <w:kern w:val="2"/>
                  <w:szCs w:val="22"/>
                  <w:lang w:eastAsia="lt-LT"/>
                </w:rPr>
              </w:pPr>
              <w:r>
                <w:rPr>
                  <w:color w:val="000000"/>
                  <w:kern w:val="2"/>
                  <w:szCs w:val="22"/>
                  <w:lang w:eastAsia="lt-LT"/>
                </w:rPr>
                <w:t xml:space="preserve">2024 metų savivaldybės biudžeto pajamų planas, įvykdytas 100,89 proc. – gauta 74 243,6 tūkst. eurų (652,8 tūkst. eurų daugiau nei planuota). </w:t>
              </w:r>
            </w:p>
            <w:p>
              <w:pPr>
                <w:spacing w:line="256" w:lineRule="auto"/>
                <w:ind w:left="710" w:firstLine="62"/>
                <w:rPr>
                  <w:color w:val="000000"/>
                  <w:kern w:val="2"/>
                  <w:szCs w:val="22"/>
                  <w:lang w:eastAsia="lt-LT"/>
                </w:rPr>
              </w:pPr>
            </w:p>
            <w:p>
              <w:pPr>
                <w:spacing w:line="247" w:lineRule="auto"/>
                <w:ind w:left="-3" w:right="108" w:hanging="10"/>
                <w:jc w:val="both"/>
                <w:rPr>
                  <w:color w:val="000000"/>
                  <w:kern w:val="2"/>
                  <w:szCs w:val="22"/>
                  <w:lang w:eastAsia="lt-LT"/>
                </w:rPr>
              </w:pPr>
              <w:r>
                <w:rPr>
                  <w:color w:val="000000"/>
                  <w:kern w:val="2"/>
                  <w:szCs w:val="22"/>
                  <w:lang w:eastAsia="lt-LT"/>
                </w:rPr>
                <w:t xml:space="preserve">1 lentelė. 2024 metų savivaldybės biudžeto pajamų plano vykdymas, tūkst. eurų. </w:t>
              </w:r>
            </w:p>
            <w:tbl>
              <w:tblPr>
                <w:tblW w:w="9498" w:type="dxa"/>
                <w:tblInd w:w="-5" w:type="dxa"/>
                <w:tblCellMar>
                  <w:top w:w="47" w:type="dxa"/>
                  <w:right w:w="58" w:type="dxa"/>
                </w:tblCellMar>
                <w:tblLook w:val="04A0" w:firstRow="1" w:lastRow="0" w:firstColumn="1" w:lastColumn="0" w:noHBand="0" w:noVBand="1"/>
              </w:tblPr>
              <w:tblGrid>
                <w:gridCol w:w="2289"/>
                <w:gridCol w:w="1070"/>
                <w:gridCol w:w="1054"/>
                <w:gridCol w:w="1177"/>
                <w:gridCol w:w="1011"/>
                <w:gridCol w:w="935"/>
                <w:gridCol w:w="1026"/>
                <w:gridCol w:w="936"/>
              </w:tblGrid>
              <w:tr>
                <w:trPr>
                  <w:trHeight w:val="732"/>
                </w:trPr>
                <w:tc>
                  <w:tcPr>
                    <w:tcW w:w="2424" w:type="dxa"/>
                    <w:vMerge w:val="restart"/>
                    <w:tcBorders>
                      <w:top w:val="single" w:sz="4" w:space="0" w:color="000000"/>
                      <w:left w:val="single" w:sz="4" w:space="0" w:color="000000"/>
                      <w:bottom w:val="single" w:sz="4" w:space="0" w:color="000000"/>
                      <w:right w:val="single" w:sz="4" w:space="0" w:color="000000"/>
                    </w:tcBorders>
                    <w:hideMark/>
                  </w:tcPr>
                  <w:p>
                    <w:pPr>
                      <w:spacing w:line="256" w:lineRule="auto"/>
                      <w:ind w:firstLine="106"/>
                      <w:rPr>
                        <w:color w:val="000000"/>
                        <w:kern w:val="2"/>
                        <w:szCs w:val="22"/>
                        <w:lang w:eastAsia="lt-LT"/>
                      </w:rPr>
                    </w:pPr>
                  </w:p>
                </w:tc>
                <w:tc>
                  <w:tcPr>
                    <w:tcW w:w="1100" w:type="dxa"/>
                    <w:vMerge w:val="restart"/>
                    <w:tcBorders>
                      <w:top w:val="single" w:sz="4" w:space="0" w:color="000000"/>
                      <w:left w:val="single" w:sz="4" w:space="0" w:color="000000"/>
                      <w:bottom w:val="single" w:sz="4" w:space="0" w:color="000000"/>
                      <w:right w:val="single" w:sz="4" w:space="0" w:color="000000"/>
                    </w:tcBorders>
                    <w:vAlign w:val="center"/>
                    <w:hideMark/>
                  </w:tcPr>
                  <w:p>
                    <w:pPr>
                      <w:spacing w:line="256" w:lineRule="auto"/>
                      <w:ind w:right="52"/>
                      <w:jc w:val="center"/>
                      <w:rPr>
                        <w:color w:val="000000"/>
                        <w:kern w:val="2"/>
                        <w:szCs w:val="22"/>
                        <w:lang w:eastAsia="lt-LT"/>
                      </w:rPr>
                    </w:pPr>
                    <w:r>
                      <w:rPr>
                        <w:color w:val="000000"/>
                        <w:kern w:val="2"/>
                        <w:sz w:val="20"/>
                        <w:szCs w:val="22"/>
                        <w:lang w:eastAsia="lt-LT"/>
                      </w:rPr>
                      <w:t xml:space="preserve">2023 m. </w:t>
                    </w:r>
                  </w:p>
                  <w:p>
                    <w:pPr>
                      <w:spacing w:line="256" w:lineRule="auto"/>
                      <w:jc w:val="center"/>
                      <w:rPr>
                        <w:color w:val="000000"/>
                        <w:kern w:val="2"/>
                        <w:szCs w:val="22"/>
                        <w:lang w:eastAsia="lt-LT"/>
                      </w:rPr>
                    </w:pPr>
                    <w:r>
                      <w:rPr>
                        <w:color w:val="000000"/>
                        <w:kern w:val="2"/>
                        <w:sz w:val="20"/>
                        <w:szCs w:val="22"/>
                        <w:lang w:eastAsia="lt-LT"/>
                      </w:rPr>
                      <w:t xml:space="preserve">pajamos faktas </w:t>
                    </w:r>
                  </w:p>
                </w:tc>
                <w:tc>
                  <w:tcPr>
                    <w:tcW w:w="1092" w:type="dxa"/>
                    <w:vMerge w:val="restart"/>
                    <w:tcBorders>
                      <w:top w:val="single" w:sz="4" w:space="0" w:color="000000"/>
                      <w:left w:val="single" w:sz="4" w:space="0" w:color="000000"/>
                      <w:bottom w:val="single" w:sz="4" w:space="0" w:color="000000"/>
                      <w:right w:val="single" w:sz="4" w:space="0" w:color="000000"/>
                    </w:tcBorders>
                    <w:vAlign w:val="center"/>
                    <w:hideMark/>
                  </w:tcPr>
                  <w:p>
                    <w:pPr>
                      <w:spacing w:line="256" w:lineRule="auto"/>
                      <w:jc w:val="center"/>
                      <w:rPr>
                        <w:color w:val="000000"/>
                        <w:kern w:val="2"/>
                        <w:szCs w:val="22"/>
                        <w:lang w:eastAsia="lt-LT"/>
                      </w:rPr>
                    </w:pPr>
                    <w:r>
                      <w:rPr>
                        <w:color w:val="000000"/>
                        <w:kern w:val="2"/>
                        <w:sz w:val="20"/>
                        <w:szCs w:val="22"/>
                        <w:lang w:eastAsia="lt-LT"/>
                      </w:rPr>
                      <w:t xml:space="preserve">2024 m. pajamų planas </w:t>
                    </w:r>
                  </w:p>
                </w:tc>
                <w:tc>
                  <w:tcPr>
                    <w:tcW w:w="1220" w:type="dxa"/>
                    <w:vMerge w:val="restart"/>
                    <w:tcBorders>
                      <w:top w:val="single" w:sz="4" w:space="0" w:color="000000"/>
                      <w:left w:val="single" w:sz="4" w:space="0" w:color="000000"/>
                      <w:bottom w:val="single" w:sz="4" w:space="0" w:color="000000"/>
                      <w:right w:val="single" w:sz="4" w:space="0" w:color="000000"/>
                    </w:tcBorders>
                    <w:vAlign w:val="center"/>
                    <w:hideMark/>
                  </w:tcPr>
                  <w:p>
                    <w:pPr>
                      <w:spacing w:line="256" w:lineRule="auto"/>
                      <w:ind w:right="57"/>
                      <w:jc w:val="center"/>
                      <w:rPr>
                        <w:color w:val="000000"/>
                        <w:kern w:val="2"/>
                        <w:szCs w:val="22"/>
                        <w:lang w:eastAsia="lt-LT"/>
                      </w:rPr>
                    </w:pPr>
                    <w:r>
                      <w:rPr>
                        <w:color w:val="000000"/>
                        <w:kern w:val="2"/>
                        <w:sz w:val="20"/>
                        <w:szCs w:val="22"/>
                        <w:lang w:eastAsia="lt-LT"/>
                      </w:rPr>
                      <w:t xml:space="preserve">2024 m. </w:t>
                    </w:r>
                  </w:p>
                  <w:p>
                    <w:pPr>
                      <w:spacing w:line="256" w:lineRule="auto"/>
                      <w:jc w:val="center"/>
                      <w:rPr>
                        <w:color w:val="000000"/>
                        <w:kern w:val="2"/>
                        <w:szCs w:val="22"/>
                        <w:lang w:eastAsia="lt-LT"/>
                      </w:rPr>
                    </w:pPr>
                    <w:r>
                      <w:rPr>
                        <w:color w:val="000000"/>
                        <w:kern w:val="2"/>
                        <w:sz w:val="20"/>
                        <w:szCs w:val="22"/>
                        <w:lang w:eastAsia="lt-LT"/>
                      </w:rPr>
                      <w:t xml:space="preserve">pajamos faktas </w:t>
                    </w:r>
                  </w:p>
                </w:tc>
                <w:tc>
                  <w:tcPr>
                    <w:tcW w:w="1823" w:type="dxa"/>
                    <w:gridSpan w:val="2"/>
                    <w:tcBorders>
                      <w:top w:val="single" w:sz="4" w:space="0" w:color="000000"/>
                      <w:left w:val="single" w:sz="4" w:space="0" w:color="000000"/>
                      <w:bottom w:val="single" w:sz="4" w:space="0" w:color="000000"/>
                      <w:right w:val="single" w:sz="4" w:space="0" w:color="000000"/>
                    </w:tcBorders>
                    <w:vAlign w:val="center"/>
                    <w:hideMark/>
                  </w:tcPr>
                  <w:p>
                    <w:pPr>
                      <w:spacing w:line="256" w:lineRule="auto"/>
                      <w:jc w:val="center"/>
                      <w:rPr>
                        <w:color w:val="000000"/>
                        <w:kern w:val="2"/>
                        <w:szCs w:val="22"/>
                        <w:lang w:eastAsia="lt-LT"/>
                      </w:rPr>
                    </w:pPr>
                    <w:r>
                      <w:rPr>
                        <w:color w:val="000000"/>
                        <w:kern w:val="2"/>
                        <w:sz w:val="20"/>
                        <w:szCs w:val="22"/>
                        <w:lang w:eastAsia="lt-LT"/>
                      </w:rPr>
                      <w:t xml:space="preserve">2024 m. pajamų plano įvykdymas </w:t>
                    </w:r>
                  </w:p>
                </w:tc>
                <w:tc>
                  <w:tcPr>
                    <w:tcW w:w="1839" w:type="dxa"/>
                    <w:gridSpan w:val="2"/>
                    <w:tcBorders>
                      <w:top w:val="single" w:sz="4" w:space="0" w:color="000000"/>
                      <w:left w:val="single" w:sz="4" w:space="0" w:color="000000"/>
                      <w:bottom w:val="single" w:sz="4" w:space="0" w:color="000000"/>
                      <w:right w:val="single" w:sz="4" w:space="0" w:color="000000"/>
                    </w:tcBorders>
                    <w:vAlign w:val="center"/>
                    <w:hideMark/>
                  </w:tcPr>
                  <w:p>
                    <w:pPr>
                      <w:spacing w:line="256" w:lineRule="auto"/>
                      <w:jc w:val="center"/>
                      <w:rPr>
                        <w:color w:val="000000"/>
                        <w:kern w:val="2"/>
                        <w:szCs w:val="22"/>
                        <w:lang w:eastAsia="lt-LT"/>
                      </w:rPr>
                    </w:pPr>
                    <w:r>
                      <w:rPr>
                        <w:color w:val="000000"/>
                        <w:kern w:val="2"/>
                        <w:sz w:val="20"/>
                        <w:szCs w:val="22"/>
                        <w:lang w:eastAsia="lt-LT"/>
                      </w:rPr>
                      <w:t xml:space="preserve">2024 m. palyginimas su 2023 m. </w:t>
                    </w:r>
                  </w:p>
                </w:tc>
              </w:tr>
              <w:tr>
                <w:trPr>
                  <w:trHeight w:val="278"/>
                </w:trPr>
                <w:tc>
                  <w:tcPr>
                    <w:tcW w:w="2424" w:type="dxa"/>
                    <w:vMerge/>
                    <w:tcBorders>
                      <w:top w:val="single" w:sz="4" w:space="0" w:color="000000"/>
                      <w:left w:val="single" w:sz="4" w:space="0" w:color="000000"/>
                      <w:bottom w:val="single" w:sz="4" w:space="0" w:color="000000"/>
                      <w:right w:val="single" w:sz="4" w:space="0" w:color="000000"/>
                    </w:tcBorders>
                    <w:vAlign w:val="center"/>
                    <w:hideMark/>
                  </w:tcPr>
                  <w:p>
                    <w:pPr>
                      <w:rPr>
                        <w:color w:val="000000"/>
                        <w:kern w:val="2"/>
                        <w:szCs w:val="22"/>
                        <w:lang w:eastAsia="lt-LT"/>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color w:val="000000"/>
                        <w:kern w:val="2"/>
                        <w:szCs w:val="22"/>
                        <w:lang w:eastAsia="lt-LT"/>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color w:val="000000"/>
                        <w:kern w:val="2"/>
                        <w:szCs w:val="22"/>
                        <w:lang w:eastAsia="lt-LT"/>
                      </w:rPr>
                    </w:pPr>
                  </w:p>
                </w:tc>
                <w:tc>
                  <w:tcPr>
                    <w:tcW w:w="0" w:type="auto"/>
                    <w:vMerge/>
                    <w:tcBorders>
                      <w:top w:val="single" w:sz="4" w:space="0" w:color="000000"/>
                      <w:left w:val="single" w:sz="4" w:space="0" w:color="000000"/>
                      <w:bottom w:val="single" w:sz="4" w:space="0" w:color="000000"/>
                      <w:right w:val="single" w:sz="4" w:space="0" w:color="000000"/>
                    </w:tcBorders>
                    <w:vAlign w:val="center"/>
                    <w:hideMark/>
                  </w:tcPr>
                  <w:p>
                    <w:pPr>
                      <w:rPr>
                        <w:color w:val="000000"/>
                        <w:kern w:val="2"/>
                        <w:szCs w:val="22"/>
                        <w:lang w:eastAsia="lt-LT"/>
                      </w:rPr>
                    </w:pPr>
                  </w:p>
                </w:tc>
                <w:tc>
                  <w:tcPr>
                    <w:tcW w:w="1054" w:type="dxa"/>
                    <w:tcBorders>
                      <w:top w:val="single" w:sz="4" w:space="0" w:color="000000"/>
                      <w:left w:val="single" w:sz="4" w:space="0" w:color="000000"/>
                      <w:bottom w:val="single" w:sz="4" w:space="0" w:color="000000"/>
                      <w:right w:val="single" w:sz="4" w:space="0" w:color="000000"/>
                    </w:tcBorders>
                    <w:hideMark/>
                  </w:tcPr>
                  <w:p>
                    <w:pPr>
                      <w:spacing w:line="256" w:lineRule="auto"/>
                      <w:ind w:right="52"/>
                      <w:jc w:val="center"/>
                      <w:rPr>
                        <w:color w:val="000000"/>
                        <w:kern w:val="2"/>
                        <w:szCs w:val="22"/>
                        <w:lang w:eastAsia="lt-LT"/>
                      </w:rPr>
                    </w:pPr>
                    <w:r>
                      <w:rPr>
                        <w:color w:val="000000"/>
                        <w:kern w:val="2"/>
                        <w:sz w:val="20"/>
                        <w:szCs w:val="22"/>
                        <w:lang w:eastAsia="lt-LT"/>
                      </w:rPr>
                      <w:t xml:space="preserve">+/- </w:t>
                    </w:r>
                  </w:p>
                </w:tc>
                <w:tc>
                  <w:tcPr>
                    <w:tcW w:w="769" w:type="dxa"/>
                    <w:tcBorders>
                      <w:top w:val="single" w:sz="4" w:space="0" w:color="000000"/>
                      <w:left w:val="single" w:sz="4" w:space="0" w:color="000000"/>
                      <w:bottom w:val="single" w:sz="4" w:space="0" w:color="000000"/>
                      <w:right w:val="single" w:sz="4" w:space="0" w:color="000000"/>
                    </w:tcBorders>
                    <w:hideMark/>
                  </w:tcPr>
                  <w:p>
                    <w:pPr>
                      <w:spacing w:line="256" w:lineRule="auto"/>
                      <w:ind w:right="50"/>
                      <w:jc w:val="center"/>
                      <w:rPr>
                        <w:color w:val="000000"/>
                        <w:kern w:val="2"/>
                        <w:szCs w:val="22"/>
                        <w:lang w:eastAsia="lt-LT"/>
                      </w:rPr>
                    </w:pPr>
                    <w:r>
                      <w:rPr>
                        <w:color w:val="000000"/>
                        <w:kern w:val="2"/>
                        <w:sz w:val="20"/>
                        <w:szCs w:val="22"/>
                        <w:lang w:eastAsia="lt-LT"/>
                      </w:rPr>
                      <w:t xml:space="preserve">% </w:t>
                    </w:r>
                  </w:p>
                </w:tc>
                <w:tc>
                  <w:tcPr>
                    <w:tcW w:w="1070" w:type="dxa"/>
                    <w:tcBorders>
                      <w:top w:val="single" w:sz="4" w:space="0" w:color="000000"/>
                      <w:left w:val="single" w:sz="4" w:space="0" w:color="000000"/>
                      <w:bottom w:val="single" w:sz="4" w:space="0" w:color="000000"/>
                      <w:right w:val="single" w:sz="4" w:space="0" w:color="000000"/>
                    </w:tcBorders>
                    <w:hideMark/>
                  </w:tcPr>
                  <w:p>
                    <w:pPr>
                      <w:spacing w:line="256" w:lineRule="auto"/>
                      <w:ind w:right="59"/>
                      <w:jc w:val="center"/>
                      <w:rPr>
                        <w:color w:val="000000"/>
                        <w:kern w:val="2"/>
                        <w:szCs w:val="22"/>
                        <w:lang w:eastAsia="lt-LT"/>
                      </w:rPr>
                    </w:pPr>
                    <w:r>
                      <w:rPr>
                        <w:color w:val="000000"/>
                        <w:kern w:val="2"/>
                        <w:sz w:val="20"/>
                        <w:szCs w:val="22"/>
                        <w:lang w:eastAsia="lt-LT"/>
                      </w:rPr>
                      <w:t xml:space="preserve">+/- </w:t>
                    </w:r>
                  </w:p>
                </w:tc>
                <w:tc>
                  <w:tcPr>
                    <w:tcW w:w="769" w:type="dxa"/>
                    <w:tcBorders>
                      <w:top w:val="single" w:sz="4" w:space="0" w:color="000000"/>
                      <w:left w:val="single" w:sz="4" w:space="0" w:color="000000"/>
                      <w:bottom w:val="single" w:sz="4" w:space="0" w:color="000000"/>
                      <w:right w:val="single" w:sz="4" w:space="0" w:color="000000"/>
                    </w:tcBorders>
                    <w:hideMark/>
                  </w:tcPr>
                  <w:p>
                    <w:pPr>
                      <w:spacing w:line="256" w:lineRule="auto"/>
                      <w:ind w:right="49"/>
                      <w:jc w:val="center"/>
                      <w:rPr>
                        <w:color w:val="000000"/>
                        <w:kern w:val="2"/>
                        <w:szCs w:val="22"/>
                        <w:lang w:eastAsia="lt-LT"/>
                      </w:rPr>
                    </w:pPr>
                    <w:r>
                      <w:rPr>
                        <w:color w:val="000000"/>
                        <w:kern w:val="2"/>
                        <w:sz w:val="20"/>
                        <w:szCs w:val="22"/>
                        <w:lang w:eastAsia="lt-LT"/>
                      </w:rPr>
                      <w:t xml:space="preserve">% </w:t>
                    </w:r>
                  </w:p>
                </w:tc>
              </w:tr>
              <w:tr>
                <w:trPr>
                  <w:trHeight w:val="312"/>
                </w:trPr>
                <w:tc>
                  <w:tcPr>
                    <w:tcW w:w="2424" w:type="dxa"/>
                    <w:tcBorders>
                      <w:top w:val="single" w:sz="4" w:space="0" w:color="000000"/>
                      <w:left w:val="single" w:sz="4" w:space="0" w:color="000000"/>
                      <w:bottom w:val="single" w:sz="4" w:space="0" w:color="000000"/>
                      <w:right w:val="single" w:sz="4" w:space="0" w:color="000000"/>
                    </w:tcBorders>
                    <w:hideMark/>
                  </w:tcPr>
                  <w:p>
                    <w:pPr>
                      <w:spacing w:line="256" w:lineRule="auto"/>
                      <w:ind w:right="52"/>
                      <w:jc w:val="both"/>
                      <w:rPr>
                        <w:color w:val="000000"/>
                        <w:kern w:val="2"/>
                        <w:szCs w:val="22"/>
                        <w:lang w:eastAsia="lt-LT"/>
                      </w:rPr>
                    </w:pPr>
                    <w:r>
                      <w:rPr>
                        <w:color w:val="000000"/>
                        <w:kern w:val="2"/>
                        <w:sz w:val="20"/>
                        <w:szCs w:val="22"/>
                        <w:lang w:eastAsia="lt-LT"/>
                      </w:rPr>
                      <w:t xml:space="preserve">Mokesčiai </w:t>
                    </w:r>
                  </w:p>
                </w:tc>
                <w:tc>
                  <w:tcPr>
                    <w:tcW w:w="1100" w:type="dxa"/>
                    <w:tcBorders>
                      <w:top w:val="single" w:sz="4" w:space="0" w:color="000000"/>
                      <w:left w:val="single" w:sz="4" w:space="0" w:color="000000"/>
                      <w:bottom w:val="single" w:sz="4" w:space="0" w:color="000000"/>
                      <w:right w:val="single" w:sz="4" w:space="0" w:color="000000"/>
                    </w:tcBorders>
                    <w:vAlign w:val="bottom"/>
                  </w:tcPr>
                  <w:p>
                    <w:pPr>
                      <w:spacing w:line="256" w:lineRule="auto"/>
                      <w:ind w:right="55"/>
                      <w:jc w:val="right"/>
                      <w:rPr>
                        <w:color w:val="000000"/>
                        <w:kern w:val="2"/>
                        <w:sz w:val="20"/>
                        <w:lang w:eastAsia="lt-LT"/>
                      </w:rPr>
                    </w:pPr>
                    <w:r>
                      <w:rPr>
                        <w:color w:val="000000"/>
                        <w:kern w:val="2"/>
                        <w:sz w:val="20"/>
                        <w:lang w:eastAsia="lt-LT"/>
                      </w:rPr>
                      <w:t>38 027,5</w:t>
                    </w:r>
                  </w:p>
                </w:tc>
                <w:tc>
                  <w:tcPr>
                    <w:tcW w:w="1092" w:type="dxa"/>
                    <w:tcBorders>
                      <w:top w:val="single" w:sz="4" w:space="0" w:color="000000"/>
                      <w:left w:val="single" w:sz="4" w:space="0" w:color="000000"/>
                      <w:bottom w:val="single" w:sz="4" w:space="0" w:color="000000"/>
                      <w:right w:val="single" w:sz="4" w:space="0" w:color="000000"/>
                    </w:tcBorders>
                    <w:vAlign w:val="bottom"/>
                    <w:hideMark/>
                  </w:tcPr>
                  <w:p>
                    <w:pPr>
                      <w:spacing w:line="256" w:lineRule="auto"/>
                      <w:ind w:right="52"/>
                      <w:jc w:val="right"/>
                      <w:rPr>
                        <w:color w:val="000000"/>
                        <w:kern w:val="2"/>
                        <w:sz w:val="20"/>
                        <w:lang w:eastAsia="lt-LT"/>
                      </w:rPr>
                    </w:pPr>
                    <w:r>
                      <w:rPr>
                        <w:color w:val="000000"/>
                        <w:kern w:val="2"/>
                        <w:sz w:val="20"/>
                        <w:lang w:eastAsia="lt-LT"/>
                      </w:rPr>
                      <w:t>39 921,1</w:t>
                    </w:r>
                  </w:p>
                </w:tc>
                <w:tc>
                  <w:tcPr>
                    <w:tcW w:w="1220" w:type="dxa"/>
                    <w:tcBorders>
                      <w:top w:val="single" w:sz="4" w:space="0" w:color="000000"/>
                      <w:left w:val="single" w:sz="4" w:space="0" w:color="000000"/>
                      <w:bottom w:val="single" w:sz="4" w:space="0" w:color="000000"/>
                      <w:right w:val="single" w:sz="4" w:space="0" w:color="000000"/>
                    </w:tcBorders>
                    <w:vAlign w:val="bottom"/>
                    <w:hideMark/>
                  </w:tcPr>
                  <w:p>
                    <w:pPr>
                      <w:spacing w:line="256" w:lineRule="auto"/>
                      <w:ind w:right="55"/>
                      <w:jc w:val="right"/>
                      <w:rPr>
                        <w:color w:val="000000"/>
                        <w:kern w:val="2"/>
                        <w:sz w:val="20"/>
                        <w:lang w:eastAsia="lt-LT"/>
                      </w:rPr>
                    </w:pPr>
                    <w:r>
                      <w:rPr>
                        <w:color w:val="000000"/>
                        <w:kern w:val="2"/>
                        <w:sz w:val="20"/>
                        <w:lang w:eastAsia="lt-LT"/>
                      </w:rPr>
                      <w:t>41 456,1</w:t>
                    </w:r>
                  </w:p>
                </w:tc>
                <w:tc>
                  <w:tcPr>
                    <w:tcW w:w="1054" w:type="dxa"/>
                    <w:tcBorders>
                      <w:top w:val="single" w:sz="4" w:space="0" w:color="000000"/>
                      <w:left w:val="single" w:sz="4" w:space="0" w:color="000000"/>
                      <w:bottom w:val="single" w:sz="4" w:space="0" w:color="000000"/>
                      <w:right w:val="single" w:sz="4" w:space="0" w:color="000000"/>
                    </w:tcBorders>
                    <w:vAlign w:val="bottom"/>
                    <w:hideMark/>
                  </w:tcPr>
                  <w:p>
                    <w:pPr>
                      <w:spacing w:line="256" w:lineRule="auto"/>
                      <w:ind w:right="49"/>
                      <w:jc w:val="right"/>
                      <w:rPr>
                        <w:color w:val="000000"/>
                        <w:kern w:val="2"/>
                        <w:sz w:val="20"/>
                        <w:lang w:eastAsia="lt-LT"/>
                      </w:rPr>
                    </w:pPr>
                    <w:r>
                      <w:rPr>
                        <w:color w:val="000000"/>
                        <w:kern w:val="2"/>
                        <w:sz w:val="20"/>
                        <w:lang w:eastAsia="lt-LT"/>
                      </w:rPr>
                      <w:t>1 535,0</w:t>
                    </w:r>
                  </w:p>
                </w:tc>
                <w:tc>
                  <w:tcPr>
                    <w:tcW w:w="769" w:type="dxa"/>
                    <w:tcBorders>
                      <w:top w:val="single" w:sz="4" w:space="0" w:color="000000"/>
                      <w:left w:val="single" w:sz="4" w:space="0" w:color="000000"/>
                      <w:bottom w:val="single" w:sz="4" w:space="0" w:color="000000"/>
                      <w:right w:val="single" w:sz="4" w:space="0" w:color="000000"/>
                    </w:tcBorders>
                    <w:vAlign w:val="bottom"/>
                    <w:hideMark/>
                  </w:tcPr>
                  <w:p>
                    <w:pPr>
                      <w:spacing w:line="256" w:lineRule="auto"/>
                      <w:ind w:right="51"/>
                      <w:jc w:val="right"/>
                      <w:rPr>
                        <w:color w:val="000000"/>
                        <w:kern w:val="2"/>
                        <w:sz w:val="20"/>
                        <w:lang w:eastAsia="lt-LT"/>
                      </w:rPr>
                    </w:pPr>
                    <w:r>
                      <w:rPr>
                        <w:color w:val="000000"/>
                        <w:kern w:val="2"/>
                        <w:sz w:val="20"/>
                        <w:lang w:eastAsia="lt-LT"/>
                      </w:rPr>
                      <w:t>103,85%</w:t>
                    </w:r>
                  </w:p>
                </w:tc>
                <w:tc>
                  <w:tcPr>
                    <w:tcW w:w="1070" w:type="dxa"/>
                    <w:tcBorders>
                      <w:top w:val="single" w:sz="4" w:space="0" w:color="000000"/>
                      <w:left w:val="single" w:sz="4" w:space="0" w:color="000000"/>
                      <w:bottom w:val="single" w:sz="4" w:space="0" w:color="000000"/>
                      <w:right w:val="single" w:sz="4" w:space="0" w:color="000000"/>
                    </w:tcBorders>
                    <w:vAlign w:val="bottom"/>
                    <w:hideMark/>
                  </w:tcPr>
                  <w:p>
                    <w:pPr>
                      <w:spacing w:line="256" w:lineRule="auto"/>
                      <w:ind w:right="55"/>
                      <w:jc w:val="right"/>
                      <w:rPr>
                        <w:color w:val="000000"/>
                        <w:kern w:val="2"/>
                        <w:sz w:val="20"/>
                        <w:lang w:eastAsia="lt-LT"/>
                      </w:rPr>
                    </w:pPr>
                    <w:r>
                      <w:rPr>
                        <w:color w:val="000000"/>
                        <w:kern w:val="2"/>
                        <w:sz w:val="20"/>
                        <w:lang w:eastAsia="lt-LT"/>
                      </w:rPr>
                      <w:t>3 428,6</w:t>
                    </w:r>
                  </w:p>
                </w:tc>
                <w:tc>
                  <w:tcPr>
                    <w:tcW w:w="769" w:type="dxa"/>
                    <w:tcBorders>
                      <w:top w:val="single" w:sz="4" w:space="0" w:color="000000"/>
                      <w:left w:val="single" w:sz="4" w:space="0" w:color="000000"/>
                      <w:bottom w:val="single" w:sz="4" w:space="0" w:color="000000"/>
                      <w:right w:val="single" w:sz="4" w:space="0" w:color="000000"/>
                    </w:tcBorders>
                    <w:vAlign w:val="bottom"/>
                    <w:hideMark/>
                  </w:tcPr>
                  <w:p>
                    <w:pPr>
                      <w:spacing w:line="256" w:lineRule="auto"/>
                      <w:ind w:right="52"/>
                      <w:jc w:val="right"/>
                      <w:rPr>
                        <w:color w:val="000000"/>
                        <w:kern w:val="2"/>
                        <w:sz w:val="20"/>
                        <w:lang w:eastAsia="lt-LT"/>
                      </w:rPr>
                    </w:pPr>
                    <w:r>
                      <w:rPr>
                        <w:color w:val="000000"/>
                        <w:kern w:val="2"/>
                        <w:sz w:val="20"/>
                        <w:lang w:eastAsia="lt-LT"/>
                      </w:rPr>
                      <w:t>109,02%</w:t>
                    </w:r>
                  </w:p>
                </w:tc>
              </w:tr>
              <w:tr>
                <w:trPr>
                  <w:trHeight w:val="219"/>
                </w:trPr>
                <w:tc>
                  <w:tcPr>
                    <w:tcW w:w="2424" w:type="dxa"/>
                    <w:tcBorders>
                      <w:top w:val="single" w:sz="4" w:space="0" w:color="000000"/>
                      <w:left w:val="single" w:sz="4" w:space="0" w:color="000000"/>
                      <w:bottom w:val="single" w:sz="4" w:space="0" w:color="000000"/>
                      <w:right w:val="single" w:sz="4" w:space="0" w:color="000000"/>
                    </w:tcBorders>
                    <w:hideMark/>
                  </w:tcPr>
                  <w:p>
                    <w:pPr>
                      <w:spacing w:line="256" w:lineRule="auto"/>
                      <w:rPr>
                        <w:color w:val="000000"/>
                        <w:kern w:val="2"/>
                        <w:szCs w:val="22"/>
                        <w:lang w:eastAsia="lt-LT"/>
                      </w:rPr>
                    </w:pPr>
                    <w:r>
                      <w:rPr>
                        <w:color w:val="000000"/>
                        <w:kern w:val="2"/>
                        <w:sz w:val="20"/>
                        <w:szCs w:val="22"/>
                        <w:lang w:eastAsia="lt-LT"/>
                      </w:rPr>
                      <w:t xml:space="preserve">Dotacijos </w:t>
                    </w:r>
                  </w:p>
                </w:tc>
                <w:tc>
                  <w:tcPr>
                    <w:tcW w:w="1100" w:type="dxa"/>
                    <w:tcBorders>
                      <w:top w:val="single" w:sz="4" w:space="0" w:color="000000"/>
                      <w:left w:val="single" w:sz="4" w:space="0" w:color="000000"/>
                      <w:bottom w:val="single" w:sz="4" w:space="0" w:color="000000"/>
                      <w:right w:val="single" w:sz="4" w:space="0" w:color="000000"/>
                    </w:tcBorders>
                    <w:vAlign w:val="bottom"/>
                  </w:tcPr>
                  <w:p>
                    <w:pPr>
                      <w:spacing w:line="256" w:lineRule="auto"/>
                      <w:ind w:right="53"/>
                      <w:jc w:val="right"/>
                      <w:rPr>
                        <w:color w:val="000000"/>
                        <w:kern w:val="2"/>
                        <w:sz w:val="20"/>
                        <w:lang w:eastAsia="lt-LT"/>
                      </w:rPr>
                    </w:pPr>
                    <w:r>
                      <w:rPr>
                        <w:color w:val="000000"/>
                        <w:kern w:val="2"/>
                        <w:sz w:val="20"/>
                        <w:lang w:eastAsia="lt-LT"/>
                      </w:rPr>
                      <w:t>23 556,0</w:t>
                    </w:r>
                  </w:p>
                </w:tc>
                <w:tc>
                  <w:tcPr>
                    <w:tcW w:w="1092" w:type="dxa"/>
                    <w:tcBorders>
                      <w:top w:val="single" w:sz="4" w:space="0" w:color="000000"/>
                      <w:left w:val="single" w:sz="4" w:space="0" w:color="000000"/>
                      <w:bottom w:val="single" w:sz="4" w:space="0" w:color="000000"/>
                      <w:right w:val="single" w:sz="4" w:space="0" w:color="000000"/>
                    </w:tcBorders>
                    <w:vAlign w:val="bottom"/>
                    <w:hideMark/>
                  </w:tcPr>
                  <w:p>
                    <w:pPr>
                      <w:spacing w:line="256" w:lineRule="auto"/>
                      <w:ind w:right="50"/>
                      <w:jc w:val="right"/>
                      <w:rPr>
                        <w:color w:val="000000"/>
                        <w:kern w:val="2"/>
                        <w:sz w:val="20"/>
                        <w:lang w:eastAsia="lt-LT"/>
                      </w:rPr>
                    </w:pPr>
                    <w:r>
                      <w:rPr>
                        <w:color w:val="000000"/>
                        <w:kern w:val="2"/>
                        <w:sz w:val="20"/>
                        <w:lang w:eastAsia="lt-LT"/>
                      </w:rPr>
                      <w:t>27 984,9</w:t>
                    </w:r>
                  </w:p>
                </w:tc>
                <w:tc>
                  <w:tcPr>
                    <w:tcW w:w="1220" w:type="dxa"/>
                    <w:tcBorders>
                      <w:top w:val="single" w:sz="4" w:space="0" w:color="000000"/>
                      <w:left w:val="single" w:sz="4" w:space="0" w:color="000000"/>
                      <w:bottom w:val="single" w:sz="4" w:space="0" w:color="000000"/>
                      <w:right w:val="single" w:sz="4" w:space="0" w:color="000000"/>
                    </w:tcBorders>
                    <w:vAlign w:val="bottom"/>
                    <w:hideMark/>
                  </w:tcPr>
                  <w:p>
                    <w:pPr>
                      <w:spacing w:line="256" w:lineRule="auto"/>
                      <w:ind w:right="53"/>
                      <w:jc w:val="right"/>
                      <w:rPr>
                        <w:color w:val="000000"/>
                        <w:kern w:val="2"/>
                        <w:sz w:val="20"/>
                        <w:lang w:eastAsia="lt-LT"/>
                      </w:rPr>
                    </w:pPr>
                    <w:r>
                      <w:rPr>
                        <w:color w:val="000000"/>
                        <w:kern w:val="2"/>
                        <w:sz w:val="20"/>
                        <w:lang w:eastAsia="lt-LT"/>
                      </w:rPr>
                      <w:t>27 406,0</w:t>
                    </w:r>
                  </w:p>
                </w:tc>
                <w:tc>
                  <w:tcPr>
                    <w:tcW w:w="1054" w:type="dxa"/>
                    <w:tcBorders>
                      <w:top w:val="single" w:sz="4" w:space="0" w:color="000000"/>
                      <w:left w:val="single" w:sz="4" w:space="0" w:color="000000"/>
                      <w:bottom w:val="single" w:sz="4" w:space="0" w:color="000000"/>
                      <w:right w:val="single" w:sz="4" w:space="0" w:color="000000"/>
                    </w:tcBorders>
                    <w:vAlign w:val="bottom"/>
                    <w:hideMark/>
                  </w:tcPr>
                  <w:p>
                    <w:pPr>
                      <w:spacing w:line="256" w:lineRule="auto"/>
                      <w:ind w:left="39"/>
                      <w:jc w:val="right"/>
                      <w:rPr>
                        <w:color w:val="000000"/>
                        <w:kern w:val="2"/>
                        <w:sz w:val="20"/>
                        <w:lang w:eastAsia="lt-LT"/>
                      </w:rPr>
                    </w:pPr>
                    <w:r>
                      <w:rPr>
                        <w:color w:val="000000"/>
                        <w:kern w:val="2"/>
                        <w:sz w:val="20"/>
                        <w:lang w:eastAsia="lt-LT"/>
                      </w:rPr>
                      <w:t>-578,9</w:t>
                    </w:r>
                  </w:p>
                </w:tc>
                <w:tc>
                  <w:tcPr>
                    <w:tcW w:w="769" w:type="dxa"/>
                    <w:tcBorders>
                      <w:top w:val="single" w:sz="4" w:space="0" w:color="000000"/>
                      <w:left w:val="single" w:sz="4" w:space="0" w:color="000000"/>
                      <w:bottom w:val="single" w:sz="4" w:space="0" w:color="000000"/>
                      <w:right w:val="single" w:sz="4" w:space="0" w:color="000000"/>
                    </w:tcBorders>
                    <w:vAlign w:val="bottom"/>
                    <w:hideMark/>
                  </w:tcPr>
                  <w:p>
                    <w:pPr>
                      <w:spacing w:line="256" w:lineRule="auto"/>
                      <w:ind w:right="51"/>
                      <w:jc w:val="right"/>
                      <w:rPr>
                        <w:color w:val="000000"/>
                        <w:kern w:val="2"/>
                        <w:sz w:val="20"/>
                        <w:lang w:eastAsia="lt-LT"/>
                      </w:rPr>
                    </w:pPr>
                    <w:r>
                      <w:rPr>
                        <w:color w:val="000000"/>
                        <w:kern w:val="2"/>
                        <w:sz w:val="20"/>
                        <w:lang w:eastAsia="lt-LT"/>
                      </w:rPr>
                      <w:t>97,93%</w:t>
                    </w:r>
                  </w:p>
                </w:tc>
                <w:tc>
                  <w:tcPr>
                    <w:tcW w:w="1070" w:type="dxa"/>
                    <w:tcBorders>
                      <w:top w:val="single" w:sz="4" w:space="0" w:color="000000"/>
                      <w:left w:val="single" w:sz="4" w:space="0" w:color="000000"/>
                      <w:bottom w:val="single" w:sz="4" w:space="0" w:color="000000"/>
                      <w:right w:val="single" w:sz="4" w:space="0" w:color="000000"/>
                    </w:tcBorders>
                    <w:vAlign w:val="bottom"/>
                    <w:hideMark/>
                  </w:tcPr>
                  <w:p>
                    <w:pPr>
                      <w:spacing w:line="256" w:lineRule="auto"/>
                      <w:ind w:right="59"/>
                      <w:jc w:val="right"/>
                      <w:rPr>
                        <w:color w:val="000000"/>
                        <w:kern w:val="2"/>
                        <w:sz w:val="20"/>
                        <w:lang w:eastAsia="lt-LT"/>
                      </w:rPr>
                    </w:pPr>
                    <w:r>
                      <w:rPr>
                        <w:color w:val="000000"/>
                        <w:kern w:val="2"/>
                        <w:sz w:val="20"/>
                        <w:lang w:eastAsia="lt-LT"/>
                      </w:rPr>
                      <w:t>3 850,0</w:t>
                    </w:r>
                  </w:p>
                </w:tc>
                <w:tc>
                  <w:tcPr>
                    <w:tcW w:w="769" w:type="dxa"/>
                    <w:tcBorders>
                      <w:top w:val="single" w:sz="4" w:space="0" w:color="000000"/>
                      <w:left w:val="single" w:sz="4" w:space="0" w:color="000000"/>
                      <w:bottom w:val="single" w:sz="4" w:space="0" w:color="000000"/>
                      <w:right w:val="single" w:sz="4" w:space="0" w:color="000000"/>
                    </w:tcBorders>
                    <w:vAlign w:val="bottom"/>
                    <w:hideMark/>
                  </w:tcPr>
                  <w:p>
                    <w:pPr>
                      <w:spacing w:line="256" w:lineRule="auto"/>
                      <w:ind w:right="51"/>
                      <w:jc w:val="right"/>
                      <w:rPr>
                        <w:color w:val="000000"/>
                        <w:kern w:val="2"/>
                        <w:sz w:val="20"/>
                        <w:lang w:eastAsia="lt-LT"/>
                      </w:rPr>
                    </w:pPr>
                    <w:r>
                      <w:rPr>
                        <w:color w:val="000000"/>
                        <w:kern w:val="2"/>
                        <w:sz w:val="20"/>
                        <w:lang w:eastAsia="lt-LT"/>
                      </w:rPr>
                      <w:t>116,34%</w:t>
                    </w:r>
                  </w:p>
                </w:tc>
              </w:tr>
              <w:tr>
                <w:trPr>
                  <w:trHeight w:val="208"/>
                </w:trPr>
                <w:tc>
                  <w:tcPr>
                    <w:tcW w:w="2424" w:type="dxa"/>
                    <w:tcBorders>
                      <w:top w:val="single" w:sz="4" w:space="0" w:color="000000"/>
                      <w:left w:val="single" w:sz="4" w:space="0" w:color="000000"/>
                      <w:bottom w:val="single" w:sz="4" w:space="0" w:color="000000"/>
                      <w:right w:val="single" w:sz="4" w:space="0" w:color="000000"/>
                    </w:tcBorders>
                  </w:tcPr>
                  <w:p>
                    <w:pPr>
                      <w:spacing w:line="256" w:lineRule="auto"/>
                      <w:rPr>
                        <w:color w:val="000000"/>
                        <w:kern w:val="2"/>
                        <w:sz w:val="20"/>
                        <w:szCs w:val="22"/>
                        <w:lang w:eastAsia="lt-LT"/>
                      </w:rPr>
                    </w:pPr>
                    <w:r>
                      <w:rPr>
                        <w:color w:val="000000"/>
                        <w:kern w:val="2"/>
                        <w:sz w:val="20"/>
                        <w:szCs w:val="22"/>
                        <w:lang w:eastAsia="lt-LT"/>
                      </w:rPr>
                      <w:t>Kitos pajamos</w:t>
                    </w:r>
                  </w:p>
                </w:tc>
                <w:tc>
                  <w:tcPr>
                    <w:tcW w:w="1100" w:type="dxa"/>
                    <w:tcBorders>
                      <w:top w:val="single" w:sz="4" w:space="0" w:color="000000"/>
                      <w:left w:val="single" w:sz="4" w:space="0" w:color="000000"/>
                      <w:bottom w:val="single" w:sz="4" w:space="0" w:color="000000"/>
                      <w:right w:val="single" w:sz="4" w:space="0" w:color="000000"/>
                    </w:tcBorders>
                    <w:vAlign w:val="bottom"/>
                  </w:tcPr>
                  <w:p>
                    <w:pPr>
                      <w:spacing w:line="256" w:lineRule="auto"/>
                      <w:ind w:right="53"/>
                      <w:jc w:val="right"/>
                      <w:rPr>
                        <w:color w:val="000000"/>
                        <w:kern w:val="2"/>
                        <w:sz w:val="20"/>
                        <w:lang w:eastAsia="lt-LT"/>
                      </w:rPr>
                    </w:pPr>
                    <w:r>
                      <w:rPr>
                        <w:color w:val="000000"/>
                        <w:kern w:val="2"/>
                        <w:sz w:val="20"/>
                        <w:lang w:eastAsia="lt-LT"/>
                      </w:rPr>
                      <w:t>6 229,3</w:t>
                    </w:r>
                  </w:p>
                </w:tc>
                <w:tc>
                  <w:tcPr>
                    <w:tcW w:w="1092" w:type="dxa"/>
                    <w:tcBorders>
                      <w:top w:val="single" w:sz="4" w:space="0" w:color="000000"/>
                      <w:left w:val="single" w:sz="4" w:space="0" w:color="000000"/>
                      <w:bottom w:val="single" w:sz="4" w:space="0" w:color="000000"/>
                      <w:right w:val="single" w:sz="4" w:space="0" w:color="000000"/>
                    </w:tcBorders>
                    <w:vAlign w:val="bottom"/>
                  </w:tcPr>
                  <w:p>
                    <w:pPr>
                      <w:spacing w:line="256" w:lineRule="auto"/>
                      <w:ind w:right="50"/>
                      <w:jc w:val="right"/>
                      <w:rPr>
                        <w:color w:val="000000"/>
                        <w:kern w:val="2"/>
                        <w:sz w:val="20"/>
                        <w:lang w:eastAsia="lt-LT"/>
                      </w:rPr>
                    </w:pPr>
                    <w:r>
                      <w:rPr>
                        <w:color w:val="000000"/>
                        <w:kern w:val="2"/>
                        <w:sz w:val="20"/>
                        <w:lang w:eastAsia="lt-LT"/>
                      </w:rPr>
                      <w:t>5 684,8</w:t>
                    </w:r>
                  </w:p>
                </w:tc>
                <w:tc>
                  <w:tcPr>
                    <w:tcW w:w="1220" w:type="dxa"/>
                    <w:tcBorders>
                      <w:top w:val="single" w:sz="4" w:space="0" w:color="000000"/>
                      <w:left w:val="single" w:sz="4" w:space="0" w:color="000000"/>
                      <w:bottom w:val="single" w:sz="4" w:space="0" w:color="000000"/>
                      <w:right w:val="single" w:sz="4" w:space="0" w:color="000000"/>
                    </w:tcBorders>
                    <w:vAlign w:val="bottom"/>
                  </w:tcPr>
                  <w:p>
                    <w:pPr>
                      <w:spacing w:line="256" w:lineRule="auto"/>
                      <w:ind w:right="53"/>
                      <w:jc w:val="right"/>
                      <w:rPr>
                        <w:color w:val="000000"/>
                        <w:kern w:val="2"/>
                        <w:sz w:val="20"/>
                        <w:lang w:eastAsia="lt-LT"/>
                      </w:rPr>
                    </w:pPr>
                    <w:r>
                      <w:rPr>
                        <w:color w:val="000000"/>
                        <w:kern w:val="2"/>
                        <w:sz w:val="20"/>
                        <w:lang w:eastAsia="lt-LT"/>
                      </w:rPr>
                      <w:t>5 381,5</w:t>
                    </w:r>
                  </w:p>
                </w:tc>
                <w:tc>
                  <w:tcPr>
                    <w:tcW w:w="1054" w:type="dxa"/>
                    <w:tcBorders>
                      <w:top w:val="single" w:sz="4" w:space="0" w:color="000000"/>
                      <w:left w:val="single" w:sz="4" w:space="0" w:color="000000"/>
                      <w:bottom w:val="single" w:sz="4" w:space="0" w:color="000000"/>
                      <w:right w:val="single" w:sz="4" w:space="0" w:color="000000"/>
                    </w:tcBorders>
                    <w:vAlign w:val="bottom"/>
                  </w:tcPr>
                  <w:p>
                    <w:pPr>
                      <w:spacing w:line="256" w:lineRule="auto"/>
                      <w:ind w:left="39"/>
                      <w:jc w:val="right"/>
                      <w:rPr>
                        <w:color w:val="000000"/>
                        <w:kern w:val="2"/>
                        <w:sz w:val="20"/>
                        <w:lang w:eastAsia="lt-LT"/>
                      </w:rPr>
                    </w:pPr>
                    <w:r>
                      <w:rPr>
                        <w:color w:val="000000"/>
                        <w:kern w:val="2"/>
                        <w:sz w:val="20"/>
                        <w:lang w:eastAsia="lt-LT"/>
                      </w:rPr>
                      <w:t>-303,3</w:t>
                    </w:r>
                  </w:p>
                </w:tc>
                <w:tc>
                  <w:tcPr>
                    <w:tcW w:w="769" w:type="dxa"/>
                    <w:tcBorders>
                      <w:top w:val="single" w:sz="4" w:space="0" w:color="000000"/>
                      <w:left w:val="single" w:sz="4" w:space="0" w:color="000000"/>
                      <w:bottom w:val="single" w:sz="4" w:space="0" w:color="000000"/>
                      <w:right w:val="single" w:sz="4" w:space="0" w:color="000000"/>
                    </w:tcBorders>
                    <w:vAlign w:val="bottom"/>
                  </w:tcPr>
                  <w:p>
                    <w:pPr>
                      <w:spacing w:line="256" w:lineRule="auto"/>
                      <w:ind w:right="51"/>
                      <w:jc w:val="right"/>
                      <w:rPr>
                        <w:color w:val="000000"/>
                        <w:kern w:val="2"/>
                        <w:sz w:val="20"/>
                        <w:lang w:eastAsia="lt-LT"/>
                      </w:rPr>
                    </w:pPr>
                    <w:r>
                      <w:rPr>
                        <w:color w:val="000000"/>
                        <w:kern w:val="2"/>
                        <w:sz w:val="20"/>
                        <w:lang w:eastAsia="lt-LT"/>
                      </w:rPr>
                      <w:t>94,66%</w:t>
                    </w:r>
                  </w:p>
                </w:tc>
                <w:tc>
                  <w:tcPr>
                    <w:tcW w:w="1070" w:type="dxa"/>
                    <w:tcBorders>
                      <w:top w:val="single" w:sz="4" w:space="0" w:color="000000"/>
                      <w:left w:val="single" w:sz="4" w:space="0" w:color="000000"/>
                      <w:bottom w:val="single" w:sz="4" w:space="0" w:color="000000"/>
                      <w:right w:val="single" w:sz="4" w:space="0" w:color="000000"/>
                    </w:tcBorders>
                    <w:vAlign w:val="bottom"/>
                  </w:tcPr>
                  <w:p>
                    <w:pPr>
                      <w:spacing w:line="256" w:lineRule="auto"/>
                      <w:ind w:right="59"/>
                      <w:jc w:val="right"/>
                      <w:rPr>
                        <w:color w:val="000000"/>
                        <w:kern w:val="2"/>
                        <w:sz w:val="20"/>
                        <w:lang w:eastAsia="lt-LT"/>
                      </w:rPr>
                    </w:pPr>
                    <w:r>
                      <w:rPr>
                        <w:color w:val="000000"/>
                        <w:kern w:val="2"/>
                        <w:sz w:val="20"/>
                        <w:lang w:eastAsia="lt-LT"/>
                      </w:rPr>
                      <w:t>-847,8</w:t>
                    </w:r>
                  </w:p>
                </w:tc>
                <w:tc>
                  <w:tcPr>
                    <w:tcW w:w="769" w:type="dxa"/>
                    <w:tcBorders>
                      <w:top w:val="single" w:sz="4" w:space="0" w:color="000000"/>
                      <w:left w:val="single" w:sz="4" w:space="0" w:color="000000"/>
                      <w:bottom w:val="single" w:sz="4" w:space="0" w:color="000000"/>
                      <w:right w:val="single" w:sz="4" w:space="0" w:color="000000"/>
                    </w:tcBorders>
                    <w:vAlign w:val="bottom"/>
                  </w:tcPr>
                  <w:p>
                    <w:pPr>
                      <w:spacing w:line="256" w:lineRule="auto"/>
                      <w:ind w:right="51"/>
                      <w:jc w:val="right"/>
                      <w:rPr>
                        <w:color w:val="000000"/>
                        <w:kern w:val="2"/>
                        <w:sz w:val="20"/>
                        <w:lang w:eastAsia="lt-LT"/>
                      </w:rPr>
                    </w:pPr>
                    <w:r>
                      <w:rPr>
                        <w:color w:val="000000"/>
                        <w:kern w:val="2"/>
                        <w:sz w:val="20"/>
                        <w:lang w:eastAsia="lt-LT"/>
                      </w:rPr>
                      <w:t>86,39%</w:t>
                    </w:r>
                  </w:p>
                </w:tc>
              </w:tr>
              <w:tr>
                <w:trPr>
                  <w:trHeight w:val="470"/>
                </w:trPr>
                <w:tc>
                  <w:tcPr>
                    <w:tcW w:w="2424" w:type="dxa"/>
                    <w:tcBorders>
                      <w:top w:val="single" w:sz="4" w:space="0" w:color="000000"/>
                      <w:left w:val="single" w:sz="4" w:space="0" w:color="000000"/>
                      <w:bottom w:val="single" w:sz="4" w:space="0" w:color="000000"/>
                      <w:right w:val="single" w:sz="4" w:space="0" w:color="000000"/>
                    </w:tcBorders>
                    <w:hideMark/>
                  </w:tcPr>
                  <w:p>
                    <w:pPr>
                      <w:tabs>
                        <w:tab w:val="right" w:pos="2467"/>
                      </w:tabs>
                      <w:spacing w:line="256" w:lineRule="auto"/>
                      <w:rPr>
                        <w:color w:val="000000"/>
                        <w:kern w:val="2"/>
                        <w:szCs w:val="22"/>
                        <w:lang w:eastAsia="lt-LT"/>
                      </w:rPr>
                    </w:pPr>
                    <w:r>
                      <w:rPr>
                        <w:color w:val="000000"/>
                        <w:kern w:val="2"/>
                        <w:sz w:val="20"/>
                        <w:szCs w:val="22"/>
                        <w:lang w:eastAsia="lt-LT"/>
                      </w:rPr>
                      <w:t xml:space="preserve">Savivaldybės biudžeto </w:t>
                    </w:r>
                  </w:p>
                  <w:p>
                    <w:pPr>
                      <w:spacing w:line="256" w:lineRule="auto"/>
                      <w:rPr>
                        <w:color w:val="000000"/>
                        <w:kern w:val="2"/>
                        <w:szCs w:val="22"/>
                        <w:lang w:eastAsia="lt-LT"/>
                      </w:rPr>
                    </w:pPr>
                    <w:r>
                      <w:rPr>
                        <w:color w:val="000000"/>
                        <w:kern w:val="2"/>
                        <w:sz w:val="20"/>
                        <w:szCs w:val="22"/>
                        <w:lang w:eastAsia="lt-LT"/>
                      </w:rPr>
                      <w:t xml:space="preserve">pajamos, iš viso </w:t>
                    </w:r>
                  </w:p>
                </w:tc>
                <w:tc>
                  <w:tcPr>
                    <w:tcW w:w="1100" w:type="dxa"/>
                    <w:tcBorders>
                      <w:top w:val="single" w:sz="4" w:space="0" w:color="000000"/>
                      <w:left w:val="single" w:sz="4" w:space="0" w:color="000000"/>
                      <w:bottom w:val="single" w:sz="4" w:space="0" w:color="000000"/>
                      <w:right w:val="single" w:sz="4" w:space="0" w:color="000000"/>
                    </w:tcBorders>
                    <w:vAlign w:val="bottom"/>
                  </w:tcPr>
                  <w:p>
                    <w:pPr>
                      <w:spacing w:line="256" w:lineRule="auto"/>
                      <w:ind w:right="55"/>
                      <w:jc w:val="right"/>
                      <w:rPr>
                        <w:color w:val="000000"/>
                        <w:kern w:val="2"/>
                        <w:sz w:val="20"/>
                        <w:lang w:eastAsia="lt-LT"/>
                      </w:rPr>
                    </w:pPr>
                    <w:r>
                      <w:rPr>
                        <w:color w:val="000000"/>
                        <w:kern w:val="2"/>
                        <w:sz w:val="20"/>
                        <w:lang w:eastAsia="lt-LT"/>
                      </w:rPr>
                      <w:t>67 812,8</w:t>
                    </w:r>
                  </w:p>
                </w:tc>
                <w:tc>
                  <w:tcPr>
                    <w:tcW w:w="1092" w:type="dxa"/>
                    <w:tcBorders>
                      <w:top w:val="single" w:sz="4" w:space="0" w:color="000000"/>
                      <w:left w:val="single" w:sz="4" w:space="0" w:color="000000"/>
                      <w:bottom w:val="single" w:sz="4" w:space="0" w:color="000000"/>
                      <w:right w:val="single" w:sz="4" w:space="0" w:color="000000"/>
                    </w:tcBorders>
                    <w:vAlign w:val="bottom"/>
                    <w:hideMark/>
                  </w:tcPr>
                  <w:p>
                    <w:pPr>
                      <w:spacing w:line="256" w:lineRule="auto"/>
                      <w:ind w:right="52"/>
                      <w:jc w:val="right"/>
                      <w:rPr>
                        <w:color w:val="000000"/>
                        <w:kern w:val="2"/>
                        <w:sz w:val="20"/>
                        <w:lang w:eastAsia="lt-LT"/>
                      </w:rPr>
                    </w:pPr>
                    <w:r>
                      <w:rPr>
                        <w:color w:val="000000"/>
                        <w:kern w:val="2"/>
                        <w:sz w:val="20"/>
                        <w:lang w:eastAsia="lt-LT"/>
                      </w:rPr>
                      <w:t>73 590,8</w:t>
                    </w:r>
                  </w:p>
                </w:tc>
                <w:tc>
                  <w:tcPr>
                    <w:tcW w:w="1220" w:type="dxa"/>
                    <w:tcBorders>
                      <w:top w:val="single" w:sz="4" w:space="0" w:color="000000"/>
                      <w:left w:val="single" w:sz="4" w:space="0" w:color="000000"/>
                      <w:bottom w:val="single" w:sz="4" w:space="0" w:color="000000"/>
                      <w:right w:val="single" w:sz="4" w:space="0" w:color="000000"/>
                    </w:tcBorders>
                    <w:vAlign w:val="bottom"/>
                    <w:hideMark/>
                  </w:tcPr>
                  <w:p>
                    <w:pPr>
                      <w:spacing w:line="256" w:lineRule="auto"/>
                      <w:ind w:right="55"/>
                      <w:jc w:val="right"/>
                      <w:rPr>
                        <w:color w:val="000000"/>
                        <w:kern w:val="2"/>
                        <w:sz w:val="20"/>
                        <w:lang w:eastAsia="lt-LT"/>
                      </w:rPr>
                    </w:pPr>
                    <w:r>
                      <w:rPr>
                        <w:color w:val="000000"/>
                        <w:kern w:val="2"/>
                        <w:sz w:val="20"/>
                        <w:lang w:eastAsia="lt-LT"/>
                      </w:rPr>
                      <w:t>74 243,6</w:t>
                    </w:r>
                  </w:p>
                </w:tc>
                <w:tc>
                  <w:tcPr>
                    <w:tcW w:w="1054" w:type="dxa"/>
                    <w:tcBorders>
                      <w:top w:val="single" w:sz="4" w:space="0" w:color="000000"/>
                      <w:left w:val="single" w:sz="4" w:space="0" w:color="000000"/>
                      <w:bottom w:val="single" w:sz="4" w:space="0" w:color="000000"/>
                      <w:right w:val="single" w:sz="4" w:space="0" w:color="000000"/>
                    </w:tcBorders>
                    <w:vAlign w:val="bottom"/>
                    <w:hideMark/>
                  </w:tcPr>
                  <w:p>
                    <w:pPr>
                      <w:spacing w:line="256" w:lineRule="auto"/>
                      <w:ind w:right="51"/>
                      <w:jc w:val="right"/>
                      <w:rPr>
                        <w:color w:val="000000"/>
                        <w:kern w:val="2"/>
                        <w:sz w:val="20"/>
                        <w:lang w:eastAsia="lt-LT"/>
                      </w:rPr>
                    </w:pPr>
                    <w:r>
                      <w:rPr>
                        <w:color w:val="000000"/>
                        <w:kern w:val="2"/>
                        <w:sz w:val="20"/>
                        <w:lang w:eastAsia="lt-LT"/>
                      </w:rPr>
                      <w:t>652,8</w:t>
                    </w:r>
                  </w:p>
                </w:tc>
                <w:tc>
                  <w:tcPr>
                    <w:tcW w:w="769" w:type="dxa"/>
                    <w:tcBorders>
                      <w:top w:val="single" w:sz="4" w:space="0" w:color="000000"/>
                      <w:left w:val="single" w:sz="4" w:space="0" w:color="000000"/>
                      <w:bottom w:val="single" w:sz="4" w:space="0" w:color="000000"/>
                      <w:right w:val="single" w:sz="4" w:space="0" w:color="000000"/>
                    </w:tcBorders>
                    <w:vAlign w:val="bottom"/>
                    <w:hideMark/>
                  </w:tcPr>
                  <w:p>
                    <w:pPr>
                      <w:spacing w:line="256" w:lineRule="auto"/>
                      <w:ind w:right="52"/>
                      <w:jc w:val="right"/>
                      <w:rPr>
                        <w:color w:val="000000"/>
                        <w:kern w:val="2"/>
                        <w:sz w:val="20"/>
                        <w:lang w:eastAsia="lt-LT"/>
                      </w:rPr>
                    </w:pPr>
                    <w:r>
                      <w:rPr>
                        <w:color w:val="000000"/>
                        <w:kern w:val="2"/>
                        <w:sz w:val="20"/>
                        <w:lang w:eastAsia="lt-LT"/>
                      </w:rPr>
                      <w:t>100,89%</w:t>
                    </w:r>
                  </w:p>
                </w:tc>
                <w:tc>
                  <w:tcPr>
                    <w:tcW w:w="1070" w:type="dxa"/>
                    <w:tcBorders>
                      <w:top w:val="single" w:sz="4" w:space="0" w:color="000000"/>
                      <w:left w:val="single" w:sz="4" w:space="0" w:color="000000"/>
                      <w:bottom w:val="single" w:sz="4" w:space="0" w:color="000000"/>
                      <w:right w:val="single" w:sz="4" w:space="0" w:color="000000"/>
                    </w:tcBorders>
                    <w:vAlign w:val="bottom"/>
                    <w:hideMark/>
                  </w:tcPr>
                  <w:p>
                    <w:pPr>
                      <w:spacing w:line="256" w:lineRule="auto"/>
                      <w:ind w:right="57"/>
                      <w:jc w:val="right"/>
                      <w:rPr>
                        <w:color w:val="000000"/>
                        <w:kern w:val="2"/>
                        <w:sz w:val="20"/>
                        <w:lang w:eastAsia="lt-LT"/>
                      </w:rPr>
                    </w:pPr>
                    <w:r>
                      <w:rPr>
                        <w:color w:val="000000"/>
                        <w:kern w:val="2"/>
                        <w:sz w:val="20"/>
                        <w:lang w:eastAsia="lt-LT"/>
                      </w:rPr>
                      <w:t>6 430,8</w:t>
                    </w:r>
                  </w:p>
                </w:tc>
                <w:tc>
                  <w:tcPr>
                    <w:tcW w:w="769" w:type="dxa"/>
                    <w:tcBorders>
                      <w:top w:val="single" w:sz="4" w:space="0" w:color="000000"/>
                      <w:left w:val="single" w:sz="4" w:space="0" w:color="000000"/>
                      <w:bottom w:val="single" w:sz="4" w:space="0" w:color="000000"/>
                      <w:right w:val="single" w:sz="4" w:space="0" w:color="000000"/>
                    </w:tcBorders>
                    <w:vAlign w:val="bottom"/>
                    <w:hideMark/>
                  </w:tcPr>
                  <w:p>
                    <w:pPr>
                      <w:spacing w:line="256" w:lineRule="auto"/>
                      <w:ind w:right="53"/>
                      <w:jc w:val="right"/>
                      <w:rPr>
                        <w:color w:val="000000"/>
                        <w:kern w:val="2"/>
                        <w:sz w:val="20"/>
                        <w:lang w:eastAsia="lt-LT"/>
                      </w:rPr>
                    </w:pPr>
                    <w:r>
                      <w:rPr>
                        <w:color w:val="000000"/>
                        <w:kern w:val="2"/>
                        <w:sz w:val="20"/>
                        <w:lang w:eastAsia="lt-LT"/>
                      </w:rPr>
                      <w:t>109,48%</w:t>
                    </w:r>
                  </w:p>
                </w:tc>
              </w:tr>
            </w:tbl>
            <w:p>
              <w:pPr>
                <w:spacing w:line="256" w:lineRule="auto"/>
                <w:ind w:left="710"/>
                <w:rPr>
                  <w:color w:val="000000"/>
                  <w:kern w:val="2"/>
                  <w:szCs w:val="22"/>
                  <w:lang w:eastAsia="lt-LT"/>
                </w:rPr>
              </w:pPr>
            </w:p>
            <w:p>
              <w:pPr>
                <w:spacing w:line="256" w:lineRule="auto"/>
                <w:ind w:left="10" w:right="109" w:firstLine="557"/>
                <w:jc w:val="both"/>
                <w:rPr>
                  <w:color w:val="000000"/>
                  <w:kern w:val="2"/>
                  <w:szCs w:val="22"/>
                  <w:lang w:eastAsia="lt-LT"/>
                </w:rPr>
              </w:pPr>
              <w:r>
                <w:rPr>
                  <w:color w:val="000000"/>
                  <w:kern w:val="2"/>
                  <w:szCs w:val="22"/>
                  <w:lang w:eastAsia="lt-LT"/>
                </w:rPr>
                <w:t xml:space="preserve">Didžiausią visų savivaldybės biudžeto pajamų dalį 55,8 proc. sudaro pajamos iš mokesčių (2023 metais –  56,1 proc.).  Dotacijos 36,9 proc. pajamų (2023 metais - 34,7 proc.).  Kitos pajamos, kurias 2024 metais sudaro turto pajamos 1,13 proc. (2023 metais - 1,2 proc.), pajamos už prekes ir paslaugas 5,7 proc. (2023 metais -  6,2 proc.), pajamos iš baudų, konfiskuoto turto ir kitų netesybų bei kitos neišvardytos pajamos 0,21 proc. (2023 metais -  0,5 proc.). Materialiojo ir nematerialiojo turto realizavimo, finansinio turto sumažėjimo ir finansinių įsipareigojimų prisiėmimo pajamos sudarė 0,23 proc. (2023 metais - 1,3 proc.) visų pajamų. </w:t>
              </w:r>
            </w:p>
            <w:p>
              <w:pPr>
                <w:spacing w:line="256" w:lineRule="auto"/>
                <w:ind w:left="569" w:firstLine="62"/>
                <w:rPr>
                  <w:color w:val="000000"/>
                  <w:kern w:val="2"/>
                  <w:szCs w:val="22"/>
                  <w:lang w:eastAsia="lt-LT"/>
                </w:rPr>
              </w:pPr>
            </w:p>
            <w:p>
              <w:pPr>
                <w:spacing w:line="247" w:lineRule="auto"/>
                <w:ind w:left="180" w:right="108" w:hanging="180"/>
                <w:jc w:val="both"/>
                <w:rPr>
                  <w:color w:val="000000"/>
                  <w:kern w:val="2"/>
                  <w:szCs w:val="22"/>
                  <w:lang w:eastAsia="lt-LT"/>
                </w:rPr>
              </w:pPr>
              <w:r>
                <w:rPr>
                  <w:color w:val="000000"/>
                  <w:kern w:val="2"/>
                  <w:szCs w:val="24"/>
                  <w:bdr w:val="none" w:sz="0" w:space="0" w:color="auto" w:frame="1"/>
                  <w:lang w:eastAsia="lt-LT"/>
                </w:rPr>
                <w:t>1</w:t>
                <w:tab/>
              </w:r>
              <w:r>
                <w:rPr>
                  <w:color w:val="000000"/>
                  <w:kern w:val="2"/>
                  <w:szCs w:val="22"/>
                  <w:lang w:eastAsia="lt-LT"/>
                </w:rPr>
                <w:t>paveikslas. 2024 ir 2023 metų savivaldybės biudžeto pajamų palyginimas, tūkst. eurų.</w:t>
              </w:r>
            </w:p>
            <w:p>
              <w:pPr>
                <w:spacing w:line="247" w:lineRule="auto"/>
                <w:ind w:right="108"/>
                <w:jc w:val="both"/>
                <w:rPr>
                  <w:color w:val="000000"/>
                  <w:kern w:val="2"/>
                  <w:szCs w:val="22"/>
                  <w:lang w:eastAsia="lt-LT"/>
                </w:rPr>
              </w:pPr>
              <w:r>
                <w:rPr>
                  <w:color w:val="000000"/>
                  <w:kern w:val="2"/>
                  <w:szCs w:val="22"/>
                  <w:lang w:val="en-US"/>
                </w:rPr>
                <w:drawing>
                  <wp:inline distT="0" distB="0" distL="0" distR="0" wp14:anchorId="001897E7" wp14:editId="34C2111A">
                    <wp:extent cx="6048375" cy="3581400"/>
                    <wp:effectExtent l="0" t="0" r="9525" b="0"/>
                    <wp:docPr id="1564976509" name="Diagrama 1"/>
                    <wp:cNvGraphicFramePr/>
                    <a:graphic xmlns:a="http://schemas.openxmlformats.org/drawingml/2006/main">
                      <a:graphicData uri="http://schemas.openxmlformats.org/drawingml/2006/chart">
                        <c:chart xmlns:c="http://schemas.openxmlformats.org/drawingml/2006/chart" r:id="rId6"/>
                      </a:graphicData>
                    </a:graphic>
                  </wp:inline>
                </w:drawing>
              </w:r>
            </w:p>
            <w:p>
              <w:pPr>
                <w:spacing w:line="247" w:lineRule="auto"/>
                <w:ind w:right="108"/>
                <w:jc w:val="center"/>
                <w:rPr>
                  <w:color w:val="000000"/>
                  <w:kern w:val="2"/>
                  <w:szCs w:val="22"/>
                  <w:lang w:eastAsia="lt-LT"/>
                </w:rPr>
              </w:pPr>
            </w:p>
            <w:p>
              <w:pPr>
                <w:spacing w:line="247" w:lineRule="auto"/>
                <w:ind w:right="108"/>
                <w:jc w:val="center"/>
                <w:rPr>
                  <w:color w:val="000000"/>
                  <w:kern w:val="2"/>
                  <w:szCs w:val="22"/>
                  <w:lang w:eastAsia="lt-LT"/>
                </w:rPr>
              </w:pPr>
            </w:p>
            <w:p>
              <w:pPr>
                <w:spacing w:line="247" w:lineRule="auto"/>
                <w:ind w:right="108"/>
                <w:jc w:val="center"/>
                <w:rPr>
                  <w:color w:val="000000"/>
                  <w:kern w:val="2"/>
                  <w:szCs w:val="22"/>
                  <w:lang w:eastAsia="lt-LT"/>
                </w:rPr>
              </w:pPr>
            </w:p>
            <w:p>
              <w:pPr>
                <w:spacing w:line="247" w:lineRule="auto"/>
                <w:ind w:right="108"/>
                <w:jc w:val="center"/>
                <w:rPr>
                  <w:color w:val="000000"/>
                  <w:kern w:val="2"/>
                  <w:szCs w:val="22"/>
                  <w:lang w:eastAsia="lt-LT"/>
                </w:rPr>
              </w:pPr>
            </w:p>
            <w:p>
              <w:pPr>
                <w:spacing w:line="247" w:lineRule="auto"/>
                <w:ind w:right="108"/>
                <w:jc w:val="center"/>
                <w:rPr>
                  <w:color w:val="000000"/>
                  <w:kern w:val="2"/>
                  <w:szCs w:val="22"/>
                  <w:lang w:eastAsia="lt-LT"/>
                </w:rPr>
              </w:pPr>
            </w:p>
            <w:p>
              <w:pPr>
                <w:spacing w:line="247" w:lineRule="auto"/>
                <w:ind w:right="108"/>
                <w:jc w:val="center"/>
                <w:rPr>
                  <w:color w:val="000000"/>
                  <w:kern w:val="2"/>
                  <w:szCs w:val="22"/>
                  <w:lang w:eastAsia="lt-LT"/>
                </w:rPr>
              </w:pPr>
            </w:p>
          </w:sdtContent>
        </w:sdt>
        <w:sdt>
          <w:sdtPr>
            <w:alias w:val="skirsnis"/>
            <w:tag w:val="part_4c0845b7ffe54a82ba473eeb03c8e7bf"/>
            <w:lock w:val="sdtLocked"/>
            <w:richText/>
          </w:sdtPr>
          <w:sdtContent>
            <w:p>
              <w:pPr>
                <w:spacing w:line="247" w:lineRule="auto"/>
                <w:ind w:right="108"/>
                <w:jc w:val="center"/>
                <w:rPr>
                  <w:color w:val="000000"/>
                  <w:kern w:val="2"/>
                  <w:szCs w:val="22"/>
                  <w:lang w:eastAsia="lt-LT"/>
                </w:rPr>
              </w:pPr>
              <w:sdt>
                <w:sdtPr>
                  <w:alias w:val="Pavadinimas"/>
                  <w:tag w:val="title_4c0845b7ffe54a82ba473eeb03c8e7bf"/>
                  <w:lock w:val="sdtLocked"/>
                  <w:richText/>
                </w:sdtPr>
                <w:sdtContent>
                  <w:r>
                    <w:rPr>
                      <w:color w:val="000000"/>
                      <w:kern w:val="2"/>
                      <w:szCs w:val="22"/>
                      <w:lang w:eastAsia="lt-LT"/>
                    </w:rPr>
                    <w:t>IV SKYRIUS SAVIVALDYBĖS BIUDŽETO IŠLAIDŲ PLANO VYKDYMAS</w:t>
                  </w:r>
                </w:sdtContent>
              </w:sdt>
            </w:p>
            <w:p>
              <w:pPr>
                <w:spacing w:line="256" w:lineRule="auto"/>
                <w:ind w:left="779" w:firstLine="72"/>
                <w:jc w:val="center"/>
                <w:rPr>
                  <w:color w:val="000000"/>
                  <w:kern w:val="2"/>
                  <w:szCs w:val="22"/>
                  <w:lang w:eastAsia="lt-LT"/>
                </w:rPr>
              </w:pPr>
            </w:p>
          </w:sdtContent>
        </w:sdt>
        <w:sdt>
          <w:sdtPr>
            <w:alias w:val="skirsnis"/>
            <w:tag w:val="part_49dd8bb1ded24d2695081eb9b41ca1c3"/>
            <w:lock w:val="sdtLocked"/>
            <w:richText/>
          </w:sdtPr>
          <w:sdtContent>
            <w:p>
              <w:pPr>
                <w:keepNext/>
                <w:keepLines/>
                <w:spacing w:line="247" w:lineRule="auto"/>
                <w:ind w:firstLine="708"/>
                <w:jc w:val="center"/>
                <w:outlineLvl w:val="1"/>
                <w:rPr>
                  <w:color w:val="000000"/>
                  <w:kern w:val="2"/>
                  <w:sz w:val="22"/>
                  <w:szCs w:val="22"/>
                  <w:lang w:eastAsia="lt-LT"/>
                </w:rPr>
              </w:pPr>
              <w:sdt>
                <w:sdtPr>
                  <w:alias w:val="Pavadinimas"/>
                  <w:tag w:val="title_49dd8bb1ded24d2695081eb9b41ca1c3"/>
                  <w:lock w:val="sdtLocked"/>
                  <w:richText/>
                </w:sdtPr>
                <w:sdtContent>
                  <w:r>
                    <w:rPr>
                      <w:color w:val="000000"/>
                      <w:kern w:val="2"/>
                      <w:sz w:val="22"/>
                      <w:szCs w:val="22"/>
                      <w:lang w:eastAsia="lt-LT"/>
                    </w:rPr>
                    <w:t>INFORMACIJA</w:t>
                  </w:r>
                  <w:r>
                    <w:rPr>
                      <w:color w:val="000000"/>
                      <w:kern w:val="2"/>
                      <w:sz w:val="18"/>
                      <w:szCs w:val="22"/>
                      <w:lang w:eastAsia="lt-LT"/>
                    </w:rPr>
                    <w:t xml:space="preserve"> </w:t>
                  </w:r>
                  <w:r>
                    <w:rPr>
                      <w:color w:val="000000"/>
                      <w:kern w:val="2"/>
                      <w:sz w:val="22"/>
                      <w:szCs w:val="22"/>
                      <w:lang w:eastAsia="lt-LT"/>
                    </w:rPr>
                    <w:t>APIE</w:t>
                  </w:r>
                  <w:r>
                    <w:rPr>
                      <w:color w:val="000000"/>
                      <w:kern w:val="2"/>
                      <w:sz w:val="18"/>
                      <w:szCs w:val="22"/>
                      <w:lang w:eastAsia="lt-LT"/>
                    </w:rPr>
                    <w:t xml:space="preserve"> </w:t>
                  </w:r>
                  <w:r>
                    <w:rPr>
                      <w:color w:val="000000"/>
                      <w:kern w:val="2"/>
                      <w:sz w:val="22"/>
                      <w:szCs w:val="22"/>
                      <w:lang w:eastAsia="lt-LT"/>
                    </w:rPr>
                    <w:t>SAVIVALDYBĖS</w:t>
                  </w:r>
                  <w:r>
                    <w:rPr>
                      <w:color w:val="000000"/>
                      <w:kern w:val="2"/>
                      <w:sz w:val="18"/>
                      <w:szCs w:val="22"/>
                      <w:lang w:eastAsia="lt-LT"/>
                    </w:rPr>
                    <w:t xml:space="preserve"> </w:t>
                  </w:r>
                  <w:r>
                    <w:rPr>
                      <w:color w:val="000000"/>
                      <w:kern w:val="2"/>
                      <w:sz w:val="22"/>
                      <w:szCs w:val="22"/>
                      <w:lang w:eastAsia="lt-LT"/>
                    </w:rPr>
                    <w:t>BIUDŽETO</w:t>
                  </w:r>
                  <w:r>
                    <w:rPr>
                      <w:color w:val="000000"/>
                      <w:kern w:val="2"/>
                      <w:sz w:val="18"/>
                      <w:szCs w:val="22"/>
                      <w:lang w:eastAsia="lt-LT"/>
                    </w:rPr>
                    <w:t xml:space="preserve"> </w:t>
                  </w:r>
                  <w:r>
                    <w:rPr>
                      <w:color w:val="000000"/>
                      <w:kern w:val="2"/>
                      <w:sz w:val="22"/>
                      <w:szCs w:val="22"/>
                      <w:lang w:eastAsia="lt-LT"/>
                    </w:rPr>
                    <w:t>ASIGNAVIMŲ</w:t>
                  </w:r>
                  <w:r>
                    <w:rPr>
                      <w:color w:val="000000"/>
                      <w:kern w:val="2"/>
                      <w:sz w:val="18"/>
                      <w:szCs w:val="22"/>
                      <w:lang w:eastAsia="lt-LT"/>
                    </w:rPr>
                    <w:t xml:space="preserve"> </w:t>
                  </w:r>
                  <w:r>
                    <w:rPr>
                      <w:color w:val="000000"/>
                      <w:kern w:val="2"/>
                      <w:sz w:val="22"/>
                      <w:szCs w:val="22"/>
                      <w:lang w:eastAsia="lt-LT"/>
                    </w:rPr>
                    <w:t>POKYČIUS,</w:t>
                  </w:r>
                  <w:r>
                    <w:rPr>
                      <w:color w:val="000000"/>
                      <w:kern w:val="2"/>
                      <w:sz w:val="18"/>
                      <w:szCs w:val="22"/>
                      <w:lang w:eastAsia="lt-LT"/>
                    </w:rPr>
                    <w:t xml:space="preserve"> </w:t>
                  </w:r>
                  <w:r>
                    <w:rPr>
                      <w:color w:val="000000"/>
                      <w:kern w:val="2"/>
                      <w:sz w:val="22"/>
                      <w:szCs w:val="22"/>
                      <w:lang w:eastAsia="lt-LT"/>
                    </w:rPr>
                    <w:t>PLANO</w:t>
                  </w:r>
                  <w:r>
                    <w:rPr>
                      <w:color w:val="000000"/>
                      <w:kern w:val="2"/>
                      <w:sz w:val="18"/>
                      <w:szCs w:val="22"/>
                      <w:lang w:eastAsia="lt-LT"/>
                    </w:rPr>
                    <w:t xml:space="preserve"> </w:t>
                  </w:r>
                  <w:r>
                    <w:rPr>
                      <w:color w:val="000000"/>
                      <w:kern w:val="2"/>
                      <w:sz w:val="22"/>
                      <w:szCs w:val="22"/>
                      <w:lang w:eastAsia="lt-LT"/>
                    </w:rPr>
                    <w:t>VYKDYMĄ</w:t>
                  </w:r>
                  <w:r>
                    <w:rPr>
                      <w:color w:val="000000"/>
                      <w:kern w:val="2"/>
                      <w:sz w:val="18"/>
                      <w:szCs w:val="22"/>
                      <w:lang w:eastAsia="lt-LT"/>
                    </w:rPr>
                    <w:t xml:space="preserve"> </w:t>
                  </w:r>
                  <w:r>
                    <w:rPr>
                      <w:color w:val="000000"/>
                      <w:kern w:val="2"/>
                      <w:sz w:val="22"/>
                      <w:szCs w:val="22"/>
                      <w:lang w:eastAsia="lt-LT"/>
                    </w:rPr>
                    <w:t>IR</w:t>
                  </w:r>
                  <w:r>
                    <w:rPr>
                      <w:color w:val="000000"/>
                      <w:kern w:val="2"/>
                      <w:sz w:val="18"/>
                      <w:szCs w:val="22"/>
                      <w:lang w:eastAsia="lt-LT"/>
                    </w:rPr>
                    <w:t xml:space="preserve"> </w:t>
                  </w:r>
                  <w:r>
                    <w:rPr>
                      <w:color w:val="000000"/>
                      <w:kern w:val="2"/>
                      <w:sz w:val="22"/>
                      <w:szCs w:val="22"/>
                      <w:lang w:eastAsia="lt-LT"/>
                    </w:rPr>
                    <w:t>STRUKTŪRĄ</w:t>
                  </w:r>
                </w:sdtContent>
              </w:sdt>
            </w:p>
            <w:p>
              <w:pPr>
                <w:spacing w:line="256" w:lineRule="auto"/>
                <w:ind w:left="540" w:firstLine="62"/>
                <w:rPr>
                  <w:color w:val="000000"/>
                  <w:kern w:val="2"/>
                  <w:szCs w:val="22"/>
                  <w:lang w:eastAsia="lt-LT"/>
                </w:rPr>
              </w:pPr>
            </w:p>
            <w:p>
              <w:pPr>
                <w:spacing w:line="247" w:lineRule="auto"/>
                <w:ind w:left="-13" w:right="108" w:firstLine="600"/>
                <w:jc w:val="both"/>
                <w:rPr>
                  <w:color w:val="000000"/>
                  <w:kern w:val="2"/>
                  <w:szCs w:val="22"/>
                  <w:lang w:eastAsia="lt-LT"/>
                </w:rPr>
              </w:pPr>
              <w:r>
                <w:rPr>
                  <w:color w:val="000000"/>
                  <w:kern w:val="2"/>
                  <w:szCs w:val="22"/>
                  <w:lang w:eastAsia="lt-LT"/>
                </w:rPr>
                <w:t xml:space="preserve">Savivaldybės biudžete 2024 metais didžiausia savivaldybės biudžeto išlaidų dalis teko švietimui – 44,1 proc., socialinei apsaugai – 21,24 proc., ekonomikai skirta 9 proc.,  poilsiui, kultūrai ir religijai – 8,75 proc., bendrosioms valstybės paslaugoms – 6,51 proc., aplinkos apsaugai – 4,35 proc., būstui ir komunaliniam ūkiui – 4.63 proc., sveikatos apsaugai – 1,23 proc., viešajai tvarkai ir visuomenės apsaugai – 0,15 proc., gynybai – 0,08 proc. savivaldybės biudžeto lėšų. </w:t>
              </w:r>
            </w:p>
            <w:p>
              <w:pPr>
                <w:spacing w:line="247" w:lineRule="auto"/>
                <w:ind w:left="-13" w:right="108" w:firstLine="662"/>
                <w:jc w:val="both"/>
                <w:rPr>
                  <w:color w:val="000000"/>
                  <w:kern w:val="2"/>
                  <w:szCs w:val="22"/>
                  <w:lang w:eastAsia="lt-LT"/>
                </w:rPr>
              </w:pPr>
            </w:p>
            <w:p>
              <w:pPr>
                <w:spacing w:line="247" w:lineRule="auto"/>
                <w:ind w:left="180" w:right="108"/>
                <w:jc w:val="both"/>
                <w:rPr>
                  <w:color w:val="000000"/>
                  <w:kern w:val="2"/>
                  <w:szCs w:val="22"/>
                  <w:lang w:eastAsia="lt-LT"/>
                </w:rPr>
              </w:pPr>
              <w:r>
                <w:rPr>
                  <w:color w:val="000000"/>
                  <w:kern w:val="2"/>
                  <w:szCs w:val="22"/>
                  <w:lang w:eastAsia="lt-LT"/>
                </w:rPr>
                <w:t xml:space="preserve">2 paveikslas. 2024 metų ir 2023 metų biudžeto panaudoti asignavimai pagal valstybės funkcijas, tūkst. eurų </w:t>
              </w:r>
            </w:p>
            <w:p>
              <w:pPr>
                <w:spacing w:line="247" w:lineRule="auto"/>
                <w:ind w:left="10" w:right="108" w:hanging="10"/>
                <w:jc w:val="both"/>
                <w:rPr>
                  <w:color w:val="000000"/>
                  <w:kern w:val="2"/>
                  <w:szCs w:val="22"/>
                  <w:lang w:eastAsia="lt-LT"/>
                </w:rPr>
              </w:pPr>
            </w:p>
            <w:p>
              <w:pPr>
                <w:spacing w:line="247" w:lineRule="auto"/>
                <w:ind w:left="10" w:right="108" w:hanging="10"/>
                <w:jc w:val="both"/>
                <w:rPr>
                  <w:color w:val="000000"/>
                  <w:kern w:val="2"/>
                  <w:szCs w:val="22"/>
                  <w:lang w:eastAsia="lt-LT"/>
                </w:rPr>
              </w:pPr>
              <w:r>
                <w:rPr>
                  <w:color w:val="000000"/>
                  <w:kern w:val="2"/>
                  <w:szCs w:val="22"/>
                  <w:lang w:val="en-US"/>
                </w:rPr>
                <w:drawing>
                  <wp:inline distT="0" distB="0" distL="0" distR="0" wp14:anchorId="6486C127" wp14:editId="596C518E">
                    <wp:extent cx="6010275" cy="4029075"/>
                    <wp:effectExtent l="0" t="0" r="9525" b="9525"/>
                    <wp:docPr id="1512503846" name="Diagrama 2"/>
                    <wp:cNvGraphicFramePr/>
                    <a:graphic xmlns:a="http://schemas.openxmlformats.org/drawingml/2006/main">
                      <a:graphicData uri="http://schemas.openxmlformats.org/drawingml/2006/chart">
                        <c:chart xmlns:c="http://schemas.openxmlformats.org/drawingml/2006/chart" r:id="rId7"/>
                      </a:graphicData>
                    </a:graphic>
                  </wp:inline>
                </w:drawing>
              </w:r>
            </w:p>
            <w:p>
              <w:pPr>
                <w:spacing w:line="247" w:lineRule="auto"/>
                <w:ind w:left="10" w:right="108" w:hanging="10"/>
                <w:jc w:val="both"/>
                <w:rPr>
                  <w:color w:val="000000"/>
                  <w:kern w:val="2"/>
                  <w:szCs w:val="22"/>
                  <w:lang w:eastAsia="lt-LT"/>
                </w:rPr>
              </w:pPr>
            </w:p>
            <w:p>
              <w:pPr>
                <w:spacing w:line="247" w:lineRule="auto"/>
                <w:ind w:left="180" w:right="108"/>
                <w:jc w:val="both"/>
                <w:rPr>
                  <w:color w:val="000000"/>
                  <w:kern w:val="2"/>
                  <w:szCs w:val="22"/>
                  <w:lang w:eastAsia="lt-LT"/>
                </w:rPr>
              </w:pPr>
            </w:p>
            <w:p>
              <w:pPr>
                <w:spacing w:line="247" w:lineRule="auto"/>
                <w:ind w:left="180" w:right="108"/>
                <w:jc w:val="both"/>
                <w:rPr>
                  <w:color w:val="000000"/>
                  <w:kern w:val="2"/>
                  <w:szCs w:val="22"/>
                  <w:lang w:eastAsia="lt-LT"/>
                </w:rPr>
              </w:pPr>
              <w:r>
                <w:rPr>
                  <w:color w:val="000000"/>
                  <w:kern w:val="2"/>
                  <w:szCs w:val="22"/>
                  <w:lang w:eastAsia="lt-LT"/>
                </w:rPr>
                <w:t xml:space="preserve">2 lentelėje pateikiamos savivaldybės biudžeto išlaidos pagal ekonominę klasifikaciją, kuri leidžia atskleisti panaudotų lėšų paskirtį. </w:t>
              </w:r>
            </w:p>
            <w:p>
              <w:pPr>
                <w:spacing w:line="247" w:lineRule="auto"/>
                <w:ind w:left="180" w:right="108"/>
                <w:jc w:val="both"/>
                <w:rPr>
                  <w:color w:val="000000"/>
                  <w:kern w:val="2"/>
                  <w:szCs w:val="22"/>
                  <w:lang w:eastAsia="lt-LT"/>
                </w:rPr>
              </w:pPr>
            </w:p>
            <w:p>
              <w:pPr>
                <w:spacing w:line="256" w:lineRule="auto"/>
                <w:ind w:left="569"/>
                <w:rPr>
                  <w:color w:val="000000"/>
                  <w:kern w:val="2"/>
                  <w:szCs w:val="22"/>
                  <w:lang w:eastAsia="lt-LT"/>
                </w:rPr>
              </w:pPr>
            </w:p>
            <w:p>
              <w:pPr>
                <w:spacing w:line="247" w:lineRule="auto"/>
                <w:ind w:left="-3" w:right="108" w:hanging="10"/>
                <w:jc w:val="both"/>
                <w:rPr>
                  <w:color w:val="000000"/>
                  <w:kern w:val="2"/>
                  <w:szCs w:val="22"/>
                  <w:lang w:eastAsia="lt-LT"/>
                </w:rPr>
              </w:pPr>
              <w:r>
                <w:rPr>
                  <w:color w:val="000000"/>
                  <w:kern w:val="2"/>
                  <w:szCs w:val="22"/>
                  <w:lang w:eastAsia="lt-LT"/>
                </w:rPr>
                <w:t xml:space="preserve">2 lentelė. 2024 metų savivaldybės biudžeto asignavimai pagal ekonominę klasifikaciją, tūkst. eurų  </w:t>
              </w:r>
            </w:p>
            <w:tbl>
              <w:tblPr>
                <w:tblW w:w="9622" w:type="dxa"/>
                <w:tblInd w:w="-7" w:type="dxa"/>
                <w:tblCellMar>
                  <w:top w:w="51" w:type="dxa"/>
                  <w:right w:w="37" w:type="dxa"/>
                </w:tblCellMar>
                <w:tblLook w:val="04A0" w:firstRow="1" w:lastRow="0" w:firstColumn="1" w:lastColumn="0" w:noHBand="0" w:noVBand="1"/>
              </w:tblPr>
              <w:tblGrid>
                <w:gridCol w:w="2514"/>
                <w:gridCol w:w="1382"/>
                <w:gridCol w:w="1404"/>
                <w:gridCol w:w="1490"/>
                <w:gridCol w:w="1404"/>
                <w:gridCol w:w="1428"/>
              </w:tblGrid>
              <w:tr>
                <w:trPr>
                  <w:trHeight w:val="1171"/>
                  <w:tblHeader/>
                </w:trPr>
                <w:tc>
                  <w:tcPr>
                    <w:tcW w:w="2514" w:type="dxa"/>
                    <w:tcBorders>
                      <w:top w:val="single" w:sz="8" w:space="0" w:color="000000"/>
                      <w:left w:val="single" w:sz="8" w:space="0" w:color="000000"/>
                      <w:bottom w:val="single" w:sz="8" w:space="0" w:color="000000"/>
                      <w:right w:val="single" w:sz="8" w:space="0" w:color="000000"/>
                    </w:tcBorders>
                    <w:vAlign w:val="center"/>
                    <w:hideMark/>
                  </w:tcPr>
                  <w:p>
                    <w:pPr>
                      <w:spacing w:line="256" w:lineRule="auto"/>
                      <w:jc w:val="center"/>
                      <w:rPr>
                        <w:color w:val="000000"/>
                        <w:kern w:val="2"/>
                        <w:szCs w:val="22"/>
                        <w:lang w:eastAsia="lt-LT"/>
                      </w:rPr>
                    </w:pPr>
                    <w:r>
                      <w:rPr>
                        <w:color w:val="000000"/>
                        <w:kern w:val="2"/>
                        <w:sz w:val="20"/>
                        <w:szCs w:val="22"/>
                        <w:lang w:eastAsia="lt-LT"/>
                      </w:rPr>
                      <w:t xml:space="preserve">Išlaidų ekonominė klasifikacija </w:t>
                    </w:r>
                  </w:p>
                </w:tc>
                <w:tc>
                  <w:tcPr>
                    <w:tcW w:w="1382" w:type="dxa"/>
                    <w:tcBorders>
                      <w:top w:val="single" w:sz="8" w:space="0" w:color="000000"/>
                      <w:left w:val="single" w:sz="8" w:space="0" w:color="000000"/>
                      <w:bottom w:val="single" w:sz="8" w:space="0" w:color="000000"/>
                      <w:right w:val="single" w:sz="8" w:space="0" w:color="000000"/>
                    </w:tcBorders>
                    <w:vAlign w:val="center"/>
                    <w:hideMark/>
                  </w:tcPr>
                  <w:p>
                    <w:pPr>
                      <w:spacing w:line="256" w:lineRule="auto"/>
                      <w:jc w:val="center"/>
                      <w:rPr>
                        <w:color w:val="000000"/>
                        <w:kern w:val="2"/>
                        <w:szCs w:val="22"/>
                        <w:lang w:eastAsia="lt-LT"/>
                      </w:rPr>
                    </w:pPr>
                    <w:r>
                      <w:rPr>
                        <w:color w:val="000000"/>
                        <w:kern w:val="2"/>
                        <w:sz w:val="20"/>
                        <w:szCs w:val="22"/>
                        <w:lang w:eastAsia="lt-LT"/>
                      </w:rPr>
                      <w:t xml:space="preserve">Patikslintas asignavimų planas </w:t>
                    </w:r>
                  </w:p>
                </w:tc>
                <w:tc>
                  <w:tcPr>
                    <w:tcW w:w="1404" w:type="dxa"/>
                    <w:tcBorders>
                      <w:top w:val="single" w:sz="8" w:space="0" w:color="000000"/>
                      <w:left w:val="single" w:sz="8" w:space="0" w:color="000000"/>
                      <w:bottom w:val="single" w:sz="8" w:space="0" w:color="000000"/>
                      <w:right w:val="single" w:sz="8" w:space="0" w:color="000000"/>
                    </w:tcBorders>
                    <w:vAlign w:val="center"/>
                    <w:hideMark/>
                  </w:tcPr>
                  <w:p>
                    <w:pPr>
                      <w:spacing w:line="256" w:lineRule="auto"/>
                      <w:ind w:firstLine="3"/>
                      <w:jc w:val="center"/>
                      <w:rPr>
                        <w:color w:val="000000"/>
                        <w:kern w:val="2"/>
                        <w:szCs w:val="22"/>
                        <w:lang w:eastAsia="lt-LT"/>
                      </w:rPr>
                    </w:pPr>
                    <w:r>
                      <w:rPr>
                        <w:color w:val="000000"/>
                        <w:kern w:val="2"/>
                        <w:sz w:val="20"/>
                        <w:szCs w:val="22"/>
                        <w:lang w:eastAsia="lt-LT"/>
                      </w:rPr>
                      <w:t xml:space="preserve">2023 m. panaudoti asignavimai </w:t>
                    </w:r>
                  </w:p>
                </w:tc>
                <w:tc>
                  <w:tcPr>
                    <w:tcW w:w="1490" w:type="dxa"/>
                    <w:tcBorders>
                      <w:top w:val="single" w:sz="8" w:space="0" w:color="000000"/>
                      <w:left w:val="single" w:sz="8" w:space="0" w:color="000000"/>
                      <w:bottom w:val="single" w:sz="8" w:space="0" w:color="000000"/>
                      <w:right w:val="single" w:sz="8" w:space="0" w:color="000000"/>
                    </w:tcBorders>
                    <w:vAlign w:val="center"/>
                    <w:hideMark/>
                  </w:tcPr>
                  <w:p>
                    <w:pPr>
                      <w:jc w:val="center"/>
                      <w:rPr>
                        <w:color w:val="000000"/>
                        <w:kern w:val="2"/>
                        <w:szCs w:val="22"/>
                        <w:lang w:eastAsia="lt-LT"/>
                      </w:rPr>
                    </w:pPr>
                    <w:r>
                      <w:rPr>
                        <w:color w:val="000000"/>
                        <w:kern w:val="2"/>
                        <w:sz w:val="20"/>
                        <w:szCs w:val="22"/>
                        <w:lang w:eastAsia="lt-LT"/>
                      </w:rPr>
                      <w:t xml:space="preserve">Nepanaudoti asignavimai </w:t>
                    </w:r>
                  </w:p>
                  <w:p>
                    <w:pPr>
                      <w:spacing w:line="256" w:lineRule="auto"/>
                      <w:ind w:right="78"/>
                      <w:jc w:val="center"/>
                      <w:rPr>
                        <w:color w:val="000000"/>
                        <w:kern w:val="2"/>
                        <w:szCs w:val="22"/>
                        <w:lang w:eastAsia="lt-LT"/>
                      </w:rPr>
                    </w:pPr>
                    <w:r>
                      <w:rPr>
                        <w:color w:val="000000"/>
                        <w:kern w:val="2"/>
                        <w:sz w:val="20"/>
                        <w:szCs w:val="22"/>
                        <w:lang w:eastAsia="lt-LT"/>
                      </w:rPr>
                      <w:t xml:space="preserve">(skirtumas) </w:t>
                    </w:r>
                  </w:p>
                </w:tc>
                <w:tc>
                  <w:tcPr>
                    <w:tcW w:w="1404" w:type="dxa"/>
                    <w:tcBorders>
                      <w:top w:val="single" w:sz="8" w:space="0" w:color="000000"/>
                      <w:left w:val="single" w:sz="8" w:space="0" w:color="000000"/>
                      <w:bottom w:val="single" w:sz="8" w:space="0" w:color="000000"/>
                      <w:right w:val="single" w:sz="8" w:space="0" w:color="000000"/>
                    </w:tcBorders>
                    <w:vAlign w:val="center"/>
                    <w:hideMark/>
                  </w:tcPr>
                  <w:p>
                    <w:pPr>
                      <w:spacing w:line="256" w:lineRule="auto"/>
                      <w:ind w:firstLine="3"/>
                      <w:jc w:val="center"/>
                      <w:rPr>
                        <w:color w:val="000000"/>
                        <w:kern w:val="2"/>
                        <w:szCs w:val="22"/>
                        <w:lang w:eastAsia="lt-LT"/>
                      </w:rPr>
                    </w:pPr>
                    <w:r>
                      <w:rPr>
                        <w:color w:val="000000"/>
                        <w:kern w:val="2"/>
                        <w:sz w:val="20"/>
                        <w:szCs w:val="22"/>
                        <w:lang w:eastAsia="lt-LT"/>
                      </w:rPr>
                      <w:t xml:space="preserve">2022 m. panaudoti asignavimai </w:t>
                    </w:r>
                  </w:p>
                </w:tc>
                <w:tc>
                  <w:tcPr>
                    <w:tcW w:w="1428" w:type="dxa"/>
                    <w:tcBorders>
                      <w:top w:val="single" w:sz="8" w:space="0" w:color="000000"/>
                      <w:left w:val="single" w:sz="8" w:space="0" w:color="000000"/>
                      <w:bottom w:val="single" w:sz="8" w:space="0" w:color="000000"/>
                      <w:right w:val="single" w:sz="8" w:space="0" w:color="000000"/>
                    </w:tcBorders>
                    <w:hideMark/>
                  </w:tcPr>
                  <w:p>
                    <w:pPr>
                      <w:ind w:left="19"/>
                      <w:jc w:val="center"/>
                      <w:rPr>
                        <w:color w:val="000000"/>
                        <w:kern w:val="2"/>
                        <w:sz w:val="20"/>
                        <w:szCs w:val="22"/>
                        <w:lang w:eastAsia="lt-LT"/>
                      </w:rPr>
                    </w:pPr>
                    <w:r>
                      <w:rPr>
                        <w:color w:val="000000"/>
                        <w:kern w:val="2"/>
                        <w:sz w:val="20"/>
                        <w:szCs w:val="22"/>
                        <w:lang w:eastAsia="lt-LT"/>
                      </w:rPr>
                      <w:t xml:space="preserve">Palyginimas su praėjusiais metais       </w:t>
                    </w:r>
                  </w:p>
                  <w:p>
                    <w:pPr>
                      <w:ind w:left="19" w:firstLine="53"/>
                      <w:jc w:val="center"/>
                      <w:rPr>
                        <w:color w:val="000000"/>
                        <w:kern w:val="2"/>
                        <w:szCs w:val="22"/>
                        <w:lang w:eastAsia="lt-LT"/>
                      </w:rPr>
                    </w:pPr>
                    <w:r>
                      <w:rPr>
                        <w:color w:val="000000"/>
                        <w:kern w:val="2"/>
                        <w:sz w:val="20"/>
                        <w:szCs w:val="22"/>
                        <w:lang w:eastAsia="lt-LT"/>
                      </w:rPr>
                      <w:t xml:space="preserve">(- sumažėjo;   </w:t>
                    </w:r>
                  </w:p>
                  <w:p>
                    <w:pPr>
                      <w:spacing w:line="256" w:lineRule="auto"/>
                      <w:ind w:right="74"/>
                      <w:jc w:val="center"/>
                      <w:rPr>
                        <w:color w:val="000000"/>
                        <w:kern w:val="2"/>
                        <w:szCs w:val="22"/>
                        <w:lang w:eastAsia="lt-LT"/>
                      </w:rPr>
                    </w:pPr>
                    <w:r>
                      <w:rPr>
                        <w:color w:val="000000"/>
                        <w:kern w:val="2"/>
                        <w:sz w:val="20"/>
                        <w:szCs w:val="22"/>
                        <w:lang w:eastAsia="lt-LT"/>
                      </w:rPr>
                      <w:t xml:space="preserve">+ padidėjo) </w:t>
                    </w:r>
                  </w:p>
                </w:tc>
              </w:tr>
              <w:tr>
                <w:trPr>
                  <w:trHeight w:val="478"/>
                </w:trPr>
                <w:tc>
                  <w:tcPr>
                    <w:tcW w:w="2514" w:type="dxa"/>
                    <w:tcBorders>
                      <w:top w:val="single" w:sz="8" w:space="0" w:color="000000"/>
                      <w:left w:val="single" w:sz="8" w:space="0" w:color="000000"/>
                      <w:bottom w:val="single" w:sz="8" w:space="0" w:color="000000"/>
                      <w:right w:val="single" w:sz="8" w:space="0" w:color="000000"/>
                    </w:tcBorders>
                    <w:hideMark/>
                  </w:tcPr>
                  <w:p>
                    <w:pPr>
                      <w:spacing w:line="256" w:lineRule="auto"/>
                      <w:rPr>
                        <w:color w:val="000000"/>
                        <w:kern w:val="2"/>
                        <w:szCs w:val="22"/>
                        <w:lang w:eastAsia="lt-LT"/>
                      </w:rPr>
                    </w:pPr>
                    <w:r>
                      <w:rPr>
                        <w:color w:val="000000"/>
                        <w:kern w:val="2"/>
                        <w:sz w:val="20"/>
                        <w:szCs w:val="22"/>
                        <w:lang w:eastAsia="lt-LT"/>
                      </w:rPr>
                      <w:t xml:space="preserve">Darbo užmokestis ir socialinis draudimas </w:t>
                    </w:r>
                  </w:p>
                </w:tc>
                <w:tc>
                  <w:tcPr>
                    <w:tcW w:w="1382"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43 945,7</w:t>
                    </w:r>
                  </w:p>
                </w:tc>
                <w:tc>
                  <w:tcPr>
                    <w:tcW w:w="1404"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43 343,2</w:t>
                    </w:r>
                  </w:p>
                </w:tc>
                <w:tc>
                  <w:tcPr>
                    <w:tcW w:w="1490"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69"/>
                      <w:jc w:val="right"/>
                      <w:rPr>
                        <w:color w:val="000000"/>
                        <w:kern w:val="2"/>
                        <w:sz w:val="18"/>
                        <w:szCs w:val="18"/>
                        <w:lang w:eastAsia="lt-LT"/>
                      </w:rPr>
                    </w:pPr>
                    <w:r>
                      <w:rPr>
                        <w:color w:val="000000"/>
                        <w:kern w:val="2"/>
                        <w:sz w:val="18"/>
                        <w:szCs w:val="18"/>
                        <w:lang w:eastAsia="lt-LT"/>
                      </w:rPr>
                      <w:t>602,5</w:t>
                    </w:r>
                  </w:p>
                </w:tc>
                <w:tc>
                  <w:tcPr>
                    <w:tcW w:w="1404" w:type="dxa"/>
                    <w:tcBorders>
                      <w:top w:val="single" w:sz="8" w:space="0" w:color="000000"/>
                      <w:left w:val="single" w:sz="8" w:space="0" w:color="000000"/>
                      <w:bottom w:val="single" w:sz="8" w:space="0" w:color="000000"/>
                      <w:right w:val="single" w:sz="8" w:space="0" w:color="000000"/>
                    </w:tcBorders>
                    <w:vAlign w:val="bottom"/>
                    <w:hideMark/>
                  </w:tcPr>
                  <w:p>
                    <w:pPr>
                      <w:spacing w:line="256" w:lineRule="auto"/>
                      <w:ind w:right="70"/>
                      <w:jc w:val="right"/>
                      <w:rPr>
                        <w:color w:val="000000"/>
                        <w:kern w:val="2"/>
                        <w:sz w:val="18"/>
                        <w:szCs w:val="18"/>
                        <w:lang w:eastAsia="lt-LT"/>
                      </w:rPr>
                    </w:pPr>
                    <w:r>
                      <w:rPr>
                        <w:color w:val="000000"/>
                        <w:kern w:val="2"/>
                        <w:sz w:val="18"/>
                        <w:szCs w:val="18"/>
                        <w:lang w:eastAsia="lt-LT"/>
                      </w:rPr>
                      <w:t>36 302,6</w:t>
                    </w:r>
                  </w:p>
                </w:tc>
                <w:tc>
                  <w:tcPr>
                    <w:tcW w:w="1428"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7 040,6</w:t>
                    </w:r>
                  </w:p>
                </w:tc>
              </w:tr>
              <w:tr>
                <w:trPr>
                  <w:trHeight w:val="480"/>
                </w:trPr>
                <w:tc>
                  <w:tcPr>
                    <w:tcW w:w="2514" w:type="dxa"/>
                    <w:tcBorders>
                      <w:top w:val="single" w:sz="8" w:space="0" w:color="000000"/>
                      <w:left w:val="single" w:sz="8" w:space="0" w:color="000000"/>
                      <w:bottom w:val="single" w:sz="8" w:space="0" w:color="000000"/>
                      <w:right w:val="single" w:sz="8" w:space="0" w:color="000000"/>
                    </w:tcBorders>
                    <w:hideMark/>
                  </w:tcPr>
                  <w:p>
                    <w:pPr>
                      <w:spacing w:line="256" w:lineRule="auto"/>
                      <w:rPr>
                        <w:color w:val="000000"/>
                        <w:kern w:val="2"/>
                        <w:szCs w:val="22"/>
                        <w:lang w:eastAsia="lt-LT"/>
                      </w:rPr>
                    </w:pPr>
                    <w:r>
                      <w:rPr>
                        <w:color w:val="000000"/>
                        <w:kern w:val="2"/>
                        <w:sz w:val="20"/>
                        <w:szCs w:val="22"/>
                        <w:lang w:eastAsia="lt-LT"/>
                      </w:rPr>
                      <w:t xml:space="preserve">Prekių ir paslaugų naudojimas </w:t>
                    </w:r>
                  </w:p>
                </w:tc>
                <w:tc>
                  <w:tcPr>
                    <w:tcW w:w="1382"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16 397,4</w:t>
                    </w:r>
                  </w:p>
                </w:tc>
                <w:tc>
                  <w:tcPr>
                    <w:tcW w:w="1404"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14 743,9</w:t>
                    </w:r>
                  </w:p>
                </w:tc>
                <w:tc>
                  <w:tcPr>
                    <w:tcW w:w="1490"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69"/>
                      <w:jc w:val="right"/>
                      <w:rPr>
                        <w:color w:val="000000"/>
                        <w:kern w:val="2"/>
                        <w:sz w:val="18"/>
                        <w:szCs w:val="18"/>
                        <w:lang w:eastAsia="lt-LT"/>
                      </w:rPr>
                    </w:pPr>
                    <w:r>
                      <w:rPr>
                        <w:color w:val="000000"/>
                        <w:kern w:val="2"/>
                        <w:sz w:val="18"/>
                        <w:szCs w:val="18"/>
                        <w:lang w:eastAsia="lt-LT"/>
                      </w:rPr>
                      <w:t>1 653,5</w:t>
                    </w:r>
                  </w:p>
                </w:tc>
                <w:tc>
                  <w:tcPr>
                    <w:tcW w:w="1404" w:type="dxa"/>
                    <w:tcBorders>
                      <w:top w:val="single" w:sz="8" w:space="0" w:color="000000"/>
                      <w:left w:val="single" w:sz="8" w:space="0" w:color="000000"/>
                      <w:bottom w:val="single" w:sz="8" w:space="0" w:color="000000"/>
                      <w:right w:val="single" w:sz="8" w:space="0" w:color="000000"/>
                    </w:tcBorders>
                    <w:vAlign w:val="bottom"/>
                    <w:hideMark/>
                  </w:tcPr>
                  <w:p>
                    <w:pPr>
                      <w:spacing w:line="256" w:lineRule="auto"/>
                      <w:ind w:right="70"/>
                      <w:jc w:val="right"/>
                      <w:rPr>
                        <w:color w:val="000000"/>
                        <w:kern w:val="2"/>
                        <w:sz w:val="18"/>
                        <w:szCs w:val="18"/>
                        <w:lang w:eastAsia="lt-LT"/>
                      </w:rPr>
                    </w:pPr>
                    <w:r>
                      <w:rPr>
                        <w:color w:val="000000"/>
                        <w:kern w:val="2"/>
                        <w:sz w:val="18"/>
                        <w:szCs w:val="18"/>
                        <w:lang w:eastAsia="lt-LT"/>
                      </w:rPr>
                      <w:t>13 398,0</w:t>
                    </w:r>
                  </w:p>
                </w:tc>
                <w:tc>
                  <w:tcPr>
                    <w:tcW w:w="1428"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69"/>
                      <w:jc w:val="right"/>
                      <w:rPr>
                        <w:color w:val="000000"/>
                        <w:kern w:val="2"/>
                        <w:sz w:val="18"/>
                        <w:szCs w:val="18"/>
                        <w:lang w:eastAsia="lt-LT"/>
                      </w:rPr>
                    </w:pPr>
                    <w:r>
                      <w:rPr>
                        <w:color w:val="000000"/>
                        <w:kern w:val="2"/>
                        <w:sz w:val="18"/>
                        <w:szCs w:val="18"/>
                        <w:lang w:eastAsia="lt-LT"/>
                      </w:rPr>
                      <w:t>1 345,9</w:t>
                    </w:r>
                  </w:p>
                </w:tc>
              </w:tr>
              <w:tr>
                <w:trPr>
                  <w:trHeight w:val="252"/>
                </w:trPr>
                <w:tc>
                  <w:tcPr>
                    <w:tcW w:w="2514" w:type="dxa"/>
                    <w:tcBorders>
                      <w:top w:val="single" w:sz="8" w:space="0" w:color="000000"/>
                      <w:left w:val="single" w:sz="8" w:space="0" w:color="000000"/>
                      <w:bottom w:val="single" w:sz="8" w:space="0" w:color="000000"/>
                      <w:right w:val="single" w:sz="8" w:space="0" w:color="000000"/>
                    </w:tcBorders>
                    <w:hideMark/>
                  </w:tcPr>
                  <w:p>
                    <w:pPr>
                      <w:spacing w:line="256" w:lineRule="auto"/>
                      <w:rPr>
                        <w:color w:val="000000"/>
                        <w:kern w:val="2"/>
                        <w:szCs w:val="22"/>
                        <w:lang w:eastAsia="lt-LT"/>
                      </w:rPr>
                    </w:pPr>
                    <w:r>
                      <w:rPr>
                        <w:color w:val="000000"/>
                        <w:kern w:val="2"/>
                        <w:sz w:val="20"/>
                        <w:szCs w:val="22"/>
                        <w:lang w:eastAsia="lt-LT"/>
                      </w:rPr>
                      <w:t xml:space="preserve">Palūkanos </w:t>
                    </w:r>
                  </w:p>
                </w:tc>
                <w:tc>
                  <w:tcPr>
                    <w:tcW w:w="1382"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85,0</w:t>
                    </w:r>
                  </w:p>
                </w:tc>
                <w:tc>
                  <w:tcPr>
                    <w:tcW w:w="1404"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79,3</w:t>
                    </w:r>
                  </w:p>
                </w:tc>
                <w:tc>
                  <w:tcPr>
                    <w:tcW w:w="1490"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5,7</w:t>
                    </w:r>
                  </w:p>
                </w:tc>
                <w:tc>
                  <w:tcPr>
                    <w:tcW w:w="1404" w:type="dxa"/>
                    <w:tcBorders>
                      <w:top w:val="single" w:sz="8" w:space="0" w:color="000000"/>
                      <w:left w:val="single" w:sz="8" w:space="0" w:color="000000"/>
                      <w:bottom w:val="single" w:sz="8" w:space="0" w:color="000000"/>
                      <w:right w:val="single" w:sz="8" w:space="0" w:color="000000"/>
                    </w:tcBorders>
                    <w:vAlign w:val="bottom"/>
                    <w:hideMark/>
                  </w:tcPr>
                  <w:p>
                    <w:pPr>
                      <w:spacing w:line="256" w:lineRule="auto"/>
                      <w:ind w:right="70"/>
                      <w:jc w:val="right"/>
                      <w:rPr>
                        <w:color w:val="000000"/>
                        <w:kern w:val="2"/>
                        <w:sz w:val="18"/>
                        <w:szCs w:val="18"/>
                        <w:lang w:eastAsia="lt-LT"/>
                      </w:rPr>
                    </w:pPr>
                    <w:r>
                      <w:rPr>
                        <w:color w:val="000000"/>
                        <w:kern w:val="2"/>
                        <w:sz w:val="18"/>
                        <w:szCs w:val="18"/>
                        <w:lang w:eastAsia="lt-LT"/>
                      </w:rPr>
                      <w:t>72,8</w:t>
                    </w:r>
                  </w:p>
                </w:tc>
                <w:tc>
                  <w:tcPr>
                    <w:tcW w:w="1428"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2"/>
                      <w:jc w:val="right"/>
                      <w:rPr>
                        <w:color w:val="000000"/>
                        <w:kern w:val="2"/>
                        <w:sz w:val="18"/>
                        <w:szCs w:val="18"/>
                        <w:lang w:eastAsia="lt-LT"/>
                      </w:rPr>
                    </w:pPr>
                    <w:r>
                      <w:rPr>
                        <w:color w:val="000000"/>
                        <w:kern w:val="2"/>
                        <w:sz w:val="18"/>
                        <w:szCs w:val="18"/>
                        <w:lang w:eastAsia="lt-LT"/>
                      </w:rPr>
                      <w:t>6,5</w:t>
                    </w:r>
                  </w:p>
                </w:tc>
              </w:tr>
              <w:tr>
                <w:trPr>
                  <w:trHeight w:val="250"/>
                </w:trPr>
                <w:tc>
                  <w:tcPr>
                    <w:tcW w:w="2514" w:type="dxa"/>
                    <w:tcBorders>
                      <w:top w:val="single" w:sz="8" w:space="0" w:color="000000"/>
                      <w:left w:val="single" w:sz="8" w:space="0" w:color="000000"/>
                      <w:bottom w:val="single" w:sz="8" w:space="0" w:color="000000"/>
                      <w:right w:val="single" w:sz="8" w:space="0" w:color="000000"/>
                    </w:tcBorders>
                    <w:hideMark/>
                  </w:tcPr>
                  <w:p>
                    <w:pPr>
                      <w:spacing w:line="256" w:lineRule="auto"/>
                      <w:rPr>
                        <w:color w:val="000000"/>
                        <w:kern w:val="2"/>
                        <w:szCs w:val="22"/>
                        <w:lang w:eastAsia="lt-LT"/>
                      </w:rPr>
                    </w:pPr>
                    <w:r>
                      <w:rPr>
                        <w:color w:val="000000"/>
                        <w:kern w:val="2"/>
                        <w:sz w:val="20"/>
                        <w:szCs w:val="22"/>
                        <w:lang w:eastAsia="lt-LT"/>
                      </w:rPr>
                      <w:t xml:space="preserve">Subsidijos </w:t>
                    </w:r>
                  </w:p>
                </w:tc>
                <w:tc>
                  <w:tcPr>
                    <w:tcW w:w="1382"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930,5</w:t>
                    </w:r>
                  </w:p>
                </w:tc>
                <w:tc>
                  <w:tcPr>
                    <w:tcW w:w="1404"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900,1</w:t>
                    </w:r>
                  </w:p>
                </w:tc>
                <w:tc>
                  <w:tcPr>
                    <w:tcW w:w="1490"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30,4</w:t>
                    </w:r>
                  </w:p>
                </w:tc>
                <w:tc>
                  <w:tcPr>
                    <w:tcW w:w="1404"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677,4</w:t>
                    </w:r>
                  </w:p>
                </w:tc>
                <w:tc>
                  <w:tcPr>
                    <w:tcW w:w="1428"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1"/>
                      <w:jc w:val="right"/>
                      <w:rPr>
                        <w:color w:val="000000"/>
                        <w:kern w:val="2"/>
                        <w:sz w:val="18"/>
                        <w:szCs w:val="18"/>
                        <w:lang w:eastAsia="lt-LT"/>
                      </w:rPr>
                    </w:pPr>
                    <w:r>
                      <w:rPr>
                        <w:color w:val="000000"/>
                        <w:kern w:val="2"/>
                        <w:sz w:val="18"/>
                        <w:szCs w:val="18"/>
                        <w:lang w:eastAsia="lt-LT"/>
                      </w:rPr>
                      <w:t>222,7</w:t>
                    </w:r>
                  </w:p>
                </w:tc>
              </w:tr>
              <w:tr>
                <w:trPr>
                  <w:trHeight w:val="250"/>
                </w:trPr>
                <w:tc>
                  <w:tcPr>
                    <w:tcW w:w="2514" w:type="dxa"/>
                    <w:tcBorders>
                      <w:top w:val="single" w:sz="8" w:space="0" w:color="000000"/>
                      <w:left w:val="single" w:sz="8" w:space="0" w:color="000000"/>
                      <w:bottom w:val="single" w:sz="8" w:space="0" w:color="000000"/>
                      <w:right w:val="single" w:sz="8" w:space="0" w:color="000000"/>
                    </w:tcBorders>
                    <w:hideMark/>
                  </w:tcPr>
                  <w:p>
                    <w:pPr>
                      <w:spacing w:line="256" w:lineRule="auto"/>
                      <w:rPr>
                        <w:color w:val="000000"/>
                        <w:kern w:val="2"/>
                        <w:szCs w:val="22"/>
                        <w:lang w:eastAsia="lt-LT"/>
                      </w:rPr>
                    </w:pPr>
                    <w:r>
                      <w:rPr>
                        <w:color w:val="000000"/>
                        <w:kern w:val="2"/>
                        <w:sz w:val="20"/>
                        <w:szCs w:val="22"/>
                        <w:lang w:eastAsia="lt-LT"/>
                      </w:rPr>
                      <w:t xml:space="preserve">Dotacijos </w:t>
                    </w:r>
                  </w:p>
                </w:tc>
                <w:tc>
                  <w:tcPr>
                    <w:tcW w:w="1382"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1"/>
                      <w:jc w:val="right"/>
                      <w:rPr>
                        <w:color w:val="000000"/>
                        <w:kern w:val="2"/>
                        <w:sz w:val="18"/>
                        <w:szCs w:val="18"/>
                        <w:lang w:eastAsia="lt-LT"/>
                      </w:rPr>
                    </w:pPr>
                    <w:r>
                      <w:rPr>
                        <w:color w:val="000000"/>
                        <w:kern w:val="2"/>
                        <w:sz w:val="18"/>
                        <w:szCs w:val="18"/>
                        <w:lang w:eastAsia="lt-LT"/>
                      </w:rPr>
                      <w:t>40,0</w:t>
                    </w:r>
                  </w:p>
                </w:tc>
                <w:tc>
                  <w:tcPr>
                    <w:tcW w:w="1404"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20,1</w:t>
                    </w:r>
                  </w:p>
                </w:tc>
                <w:tc>
                  <w:tcPr>
                    <w:tcW w:w="1490"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69"/>
                      <w:jc w:val="right"/>
                      <w:rPr>
                        <w:color w:val="000000"/>
                        <w:kern w:val="2"/>
                        <w:sz w:val="18"/>
                        <w:szCs w:val="18"/>
                        <w:lang w:eastAsia="lt-LT"/>
                      </w:rPr>
                    </w:pPr>
                    <w:r>
                      <w:rPr>
                        <w:color w:val="000000"/>
                        <w:kern w:val="2"/>
                        <w:sz w:val="18"/>
                        <w:szCs w:val="18"/>
                        <w:lang w:eastAsia="lt-LT"/>
                      </w:rPr>
                      <w:t>19,9</w:t>
                    </w:r>
                  </w:p>
                </w:tc>
                <w:tc>
                  <w:tcPr>
                    <w:tcW w:w="1404"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280,2</w:t>
                    </w:r>
                  </w:p>
                </w:tc>
                <w:tc>
                  <w:tcPr>
                    <w:tcW w:w="1428"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-260,1</w:t>
                    </w:r>
                  </w:p>
                </w:tc>
              </w:tr>
              <w:tr>
                <w:trPr>
                  <w:trHeight w:val="480"/>
                </w:trPr>
                <w:tc>
                  <w:tcPr>
                    <w:tcW w:w="2514" w:type="dxa"/>
                    <w:tcBorders>
                      <w:top w:val="single" w:sz="8" w:space="0" w:color="000000"/>
                      <w:left w:val="single" w:sz="8" w:space="0" w:color="000000"/>
                      <w:bottom w:val="single" w:sz="8" w:space="0" w:color="000000"/>
                      <w:right w:val="single" w:sz="8" w:space="0" w:color="000000"/>
                    </w:tcBorders>
                    <w:hideMark/>
                  </w:tcPr>
                  <w:p>
                    <w:pPr>
                      <w:spacing w:line="256" w:lineRule="auto"/>
                      <w:rPr>
                        <w:color w:val="000000"/>
                        <w:kern w:val="2"/>
                        <w:szCs w:val="22"/>
                        <w:lang w:eastAsia="lt-LT"/>
                      </w:rPr>
                    </w:pPr>
                    <w:r>
                      <w:rPr>
                        <w:color w:val="000000"/>
                        <w:kern w:val="2"/>
                        <w:sz w:val="20"/>
                        <w:szCs w:val="22"/>
                        <w:lang w:eastAsia="lt-LT"/>
                      </w:rPr>
                      <w:t xml:space="preserve">Socialinės išmokos </w:t>
                    </w:r>
                  </w:p>
                  <w:p>
                    <w:pPr>
                      <w:spacing w:line="256" w:lineRule="auto"/>
                      <w:rPr>
                        <w:color w:val="000000"/>
                        <w:kern w:val="2"/>
                        <w:szCs w:val="22"/>
                        <w:lang w:eastAsia="lt-LT"/>
                      </w:rPr>
                    </w:pPr>
                    <w:r>
                      <w:rPr>
                        <w:color w:val="000000"/>
                        <w:kern w:val="2"/>
                        <w:sz w:val="20"/>
                        <w:szCs w:val="22"/>
                        <w:lang w:eastAsia="lt-LT"/>
                      </w:rPr>
                      <w:t xml:space="preserve">(pašalpos) </w:t>
                    </w:r>
                  </w:p>
                </w:tc>
                <w:tc>
                  <w:tcPr>
                    <w:tcW w:w="1382"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9 077,8</w:t>
                    </w:r>
                  </w:p>
                </w:tc>
                <w:tc>
                  <w:tcPr>
                    <w:tcW w:w="1404"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8 470,0</w:t>
                    </w:r>
                  </w:p>
                </w:tc>
                <w:tc>
                  <w:tcPr>
                    <w:tcW w:w="1490"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69"/>
                      <w:jc w:val="right"/>
                      <w:rPr>
                        <w:color w:val="000000"/>
                        <w:kern w:val="2"/>
                        <w:sz w:val="18"/>
                        <w:szCs w:val="18"/>
                        <w:lang w:eastAsia="lt-LT"/>
                      </w:rPr>
                    </w:pPr>
                    <w:r>
                      <w:rPr>
                        <w:color w:val="000000"/>
                        <w:kern w:val="2"/>
                        <w:sz w:val="18"/>
                        <w:szCs w:val="18"/>
                        <w:lang w:eastAsia="lt-LT"/>
                      </w:rPr>
                      <w:t>607,8</w:t>
                    </w:r>
                  </w:p>
                </w:tc>
                <w:tc>
                  <w:tcPr>
                    <w:tcW w:w="1404"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8 331,5</w:t>
                    </w:r>
                  </w:p>
                </w:tc>
                <w:tc>
                  <w:tcPr>
                    <w:tcW w:w="1428"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138,5</w:t>
                    </w:r>
                  </w:p>
                </w:tc>
              </w:tr>
              <w:tr>
                <w:trPr>
                  <w:trHeight w:val="250"/>
                </w:trPr>
                <w:tc>
                  <w:tcPr>
                    <w:tcW w:w="2514" w:type="dxa"/>
                    <w:tcBorders>
                      <w:top w:val="single" w:sz="8" w:space="0" w:color="000000"/>
                      <w:left w:val="single" w:sz="8" w:space="0" w:color="000000"/>
                      <w:bottom w:val="single" w:sz="8" w:space="0" w:color="000000"/>
                      <w:right w:val="single" w:sz="8" w:space="0" w:color="000000"/>
                    </w:tcBorders>
                    <w:hideMark/>
                  </w:tcPr>
                  <w:p>
                    <w:pPr>
                      <w:spacing w:line="256" w:lineRule="auto"/>
                      <w:rPr>
                        <w:color w:val="000000"/>
                        <w:kern w:val="2"/>
                        <w:szCs w:val="22"/>
                        <w:lang w:eastAsia="lt-LT"/>
                      </w:rPr>
                    </w:pPr>
                    <w:r>
                      <w:rPr>
                        <w:color w:val="000000"/>
                        <w:kern w:val="2"/>
                        <w:sz w:val="20"/>
                        <w:szCs w:val="22"/>
                        <w:lang w:eastAsia="lt-LT"/>
                      </w:rPr>
                      <w:t xml:space="preserve">Kitos išlaidos </w:t>
                    </w:r>
                  </w:p>
                </w:tc>
                <w:tc>
                  <w:tcPr>
                    <w:tcW w:w="1382"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2 905,1</w:t>
                    </w:r>
                  </w:p>
                </w:tc>
                <w:tc>
                  <w:tcPr>
                    <w:tcW w:w="1404"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2 826,2</w:t>
                    </w:r>
                  </w:p>
                </w:tc>
                <w:tc>
                  <w:tcPr>
                    <w:tcW w:w="1490"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78,9</w:t>
                    </w:r>
                  </w:p>
                </w:tc>
                <w:tc>
                  <w:tcPr>
                    <w:tcW w:w="1404"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2 301,1</w:t>
                    </w:r>
                  </w:p>
                </w:tc>
                <w:tc>
                  <w:tcPr>
                    <w:tcW w:w="1428"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525,1</w:t>
                    </w:r>
                  </w:p>
                </w:tc>
              </w:tr>
              <w:tr>
                <w:trPr>
                  <w:trHeight w:val="708"/>
                </w:trPr>
                <w:tc>
                  <w:tcPr>
                    <w:tcW w:w="2514" w:type="dxa"/>
                    <w:tcBorders>
                      <w:top w:val="single" w:sz="8" w:space="0" w:color="000000"/>
                      <w:left w:val="single" w:sz="8" w:space="0" w:color="000000"/>
                      <w:bottom w:val="single" w:sz="8" w:space="0" w:color="000000"/>
                      <w:right w:val="single" w:sz="8" w:space="0" w:color="000000"/>
                    </w:tcBorders>
                    <w:hideMark/>
                  </w:tcPr>
                  <w:p>
                    <w:pPr>
                      <w:spacing w:line="256" w:lineRule="auto"/>
                      <w:ind w:right="24"/>
                      <w:rPr>
                        <w:color w:val="000000"/>
                        <w:kern w:val="2"/>
                        <w:szCs w:val="22"/>
                        <w:lang w:eastAsia="lt-LT"/>
                      </w:rPr>
                    </w:pPr>
                    <w:r>
                      <w:rPr>
                        <w:color w:val="000000"/>
                        <w:kern w:val="2"/>
                        <w:sz w:val="20"/>
                        <w:szCs w:val="22"/>
                        <w:lang w:eastAsia="lt-LT"/>
                      </w:rPr>
                      <w:t xml:space="preserve">Materialiojo ir nematerialiojo turto įsigijimo išlaidos </w:t>
                    </w:r>
                  </w:p>
                </w:tc>
                <w:tc>
                  <w:tcPr>
                    <w:tcW w:w="1382"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5 806,2</w:t>
                    </w:r>
                  </w:p>
                </w:tc>
                <w:tc>
                  <w:tcPr>
                    <w:tcW w:w="1404"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5 402,4</w:t>
                    </w:r>
                  </w:p>
                </w:tc>
                <w:tc>
                  <w:tcPr>
                    <w:tcW w:w="1490"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69"/>
                      <w:jc w:val="right"/>
                      <w:rPr>
                        <w:color w:val="000000"/>
                        <w:kern w:val="2"/>
                        <w:sz w:val="18"/>
                        <w:szCs w:val="18"/>
                        <w:lang w:eastAsia="lt-LT"/>
                      </w:rPr>
                    </w:pPr>
                    <w:r>
                      <w:rPr>
                        <w:color w:val="000000"/>
                        <w:kern w:val="2"/>
                        <w:sz w:val="18"/>
                        <w:szCs w:val="18"/>
                        <w:lang w:eastAsia="lt-LT"/>
                      </w:rPr>
                      <w:t>403,8</w:t>
                    </w:r>
                  </w:p>
                </w:tc>
                <w:tc>
                  <w:tcPr>
                    <w:tcW w:w="1404"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5 134,9</w:t>
                    </w:r>
                  </w:p>
                </w:tc>
                <w:tc>
                  <w:tcPr>
                    <w:tcW w:w="1428"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267,5</w:t>
                    </w:r>
                  </w:p>
                </w:tc>
              </w:tr>
              <w:tr>
                <w:trPr>
                  <w:trHeight w:val="710"/>
                </w:trPr>
                <w:tc>
                  <w:tcPr>
                    <w:tcW w:w="2514" w:type="dxa"/>
                    <w:tcBorders>
                      <w:top w:val="single" w:sz="8" w:space="0" w:color="000000"/>
                      <w:left w:val="single" w:sz="8" w:space="0" w:color="000000"/>
                      <w:bottom w:val="single" w:sz="8" w:space="0" w:color="000000"/>
                      <w:right w:val="single" w:sz="8" w:space="0" w:color="000000"/>
                    </w:tcBorders>
                    <w:hideMark/>
                  </w:tcPr>
                  <w:p>
                    <w:pPr>
                      <w:spacing w:line="256" w:lineRule="auto"/>
                      <w:rPr>
                        <w:color w:val="000000"/>
                        <w:kern w:val="2"/>
                        <w:szCs w:val="22"/>
                        <w:lang w:eastAsia="lt-LT"/>
                      </w:rPr>
                    </w:pPr>
                    <w:r>
                      <w:rPr>
                        <w:color w:val="000000"/>
                        <w:kern w:val="2"/>
                        <w:sz w:val="20"/>
                        <w:szCs w:val="22"/>
                        <w:lang w:eastAsia="lt-LT"/>
                      </w:rPr>
                      <w:t xml:space="preserve">Išlaidos dėl finansinių įsipareigojimų vykdymo (paskolų grąžinimas) </w:t>
                    </w:r>
                  </w:p>
                </w:tc>
                <w:tc>
                  <w:tcPr>
                    <w:tcW w:w="1382"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677,2</w:t>
                    </w:r>
                  </w:p>
                </w:tc>
                <w:tc>
                  <w:tcPr>
                    <w:tcW w:w="1404"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677,1</w:t>
                    </w:r>
                  </w:p>
                </w:tc>
                <w:tc>
                  <w:tcPr>
                    <w:tcW w:w="1490"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0,1</w:t>
                    </w:r>
                  </w:p>
                </w:tc>
                <w:tc>
                  <w:tcPr>
                    <w:tcW w:w="1404"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330,1</w:t>
                    </w:r>
                  </w:p>
                </w:tc>
                <w:tc>
                  <w:tcPr>
                    <w:tcW w:w="1428"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347,0</w:t>
                    </w:r>
                  </w:p>
                </w:tc>
              </w:tr>
              <w:tr>
                <w:trPr>
                  <w:trHeight w:val="252"/>
                </w:trPr>
                <w:tc>
                  <w:tcPr>
                    <w:tcW w:w="2514" w:type="dxa"/>
                    <w:tcBorders>
                      <w:top w:val="single" w:sz="8" w:space="0" w:color="000000"/>
                      <w:left w:val="single" w:sz="8" w:space="0" w:color="000000"/>
                      <w:bottom w:val="single" w:sz="8" w:space="0" w:color="000000"/>
                      <w:right w:val="single" w:sz="8" w:space="0" w:color="000000"/>
                    </w:tcBorders>
                    <w:hideMark/>
                  </w:tcPr>
                  <w:p>
                    <w:pPr>
                      <w:spacing w:line="256" w:lineRule="auto"/>
                      <w:rPr>
                        <w:color w:val="000000"/>
                        <w:kern w:val="2"/>
                        <w:szCs w:val="22"/>
                        <w:lang w:eastAsia="lt-LT"/>
                      </w:rPr>
                    </w:pPr>
                    <w:r>
                      <w:rPr>
                        <w:color w:val="000000"/>
                        <w:kern w:val="2"/>
                        <w:sz w:val="20"/>
                        <w:szCs w:val="22"/>
                        <w:lang w:eastAsia="lt-LT"/>
                      </w:rPr>
                      <w:t xml:space="preserve">Iš viso: </w:t>
                    </w:r>
                  </w:p>
                </w:tc>
                <w:tc>
                  <w:tcPr>
                    <w:tcW w:w="1382"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79 864,9</w:t>
                    </w:r>
                  </w:p>
                </w:tc>
                <w:tc>
                  <w:tcPr>
                    <w:tcW w:w="1404"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1"/>
                      <w:jc w:val="right"/>
                      <w:rPr>
                        <w:color w:val="000000"/>
                        <w:kern w:val="2"/>
                        <w:sz w:val="18"/>
                        <w:szCs w:val="18"/>
                        <w:lang w:eastAsia="lt-LT"/>
                      </w:rPr>
                    </w:pPr>
                    <w:r>
                      <w:rPr>
                        <w:color w:val="000000"/>
                        <w:kern w:val="2"/>
                        <w:sz w:val="18"/>
                        <w:szCs w:val="18"/>
                        <w:lang w:eastAsia="lt-LT"/>
                      </w:rPr>
                      <w:t>76 462,3</w:t>
                    </w:r>
                  </w:p>
                </w:tc>
                <w:tc>
                  <w:tcPr>
                    <w:tcW w:w="1490"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3 402,6</w:t>
                    </w:r>
                  </w:p>
                </w:tc>
                <w:tc>
                  <w:tcPr>
                    <w:tcW w:w="1404"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1"/>
                      <w:jc w:val="right"/>
                      <w:rPr>
                        <w:color w:val="000000"/>
                        <w:kern w:val="2"/>
                        <w:sz w:val="18"/>
                        <w:szCs w:val="18"/>
                        <w:lang w:eastAsia="lt-LT"/>
                      </w:rPr>
                    </w:pPr>
                    <w:r>
                      <w:rPr>
                        <w:color w:val="000000"/>
                        <w:kern w:val="2"/>
                        <w:sz w:val="18"/>
                        <w:szCs w:val="18"/>
                        <w:lang w:eastAsia="lt-LT"/>
                      </w:rPr>
                      <w:t>66 828,6</w:t>
                    </w:r>
                  </w:p>
                </w:tc>
                <w:tc>
                  <w:tcPr>
                    <w:tcW w:w="1428" w:type="dxa"/>
                    <w:tcBorders>
                      <w:top w:val="single" w:sz="8" w:space="0" w:color="000000"/>
                      <w:left w:val="single" w:sz="8" w:space="0" w:color="000000"/>
                      <w:bottom w:val="single" w:sz="8" w:space="0" w:color="000000"/>
                      <w:right w:val="single" w:sz="8" w:space="0" w:color="000000"/>
                    </w:tcBorders>
                    <w:vAlign w:val="bottom"/>
                  </w:tcPr>
                  <w:p>
                    <w:pPr>
                      <w:spacing w:line="256" w:lineRule="auto"/>
                      <w:ind w:right="70"/>
                      <w:jc w:val="right"/>
                      <w:rPr>
                        <w:color w:val="000000"/>
                        <w:kern w:val="2"/>
                        <w:sz w:val="18"/>
                        <w:szCs w:val="18"/>
                        <w:lang w:eastAsia="lt-LT"/>
                      </w:rPr>
                    </w:pPr>
                    <w:r>
                      <w:rPr>
                        <w:color w:val="000000"/>
                        <w:kern w:val="2"/>
                        <w:sz w:val="18"/>
                        <w:szCs w:val="18"/>
                        <w:lang w:eastAsia="lt-LT"/>
                      </w:rPr>
                      <w:t>9 633,7</w:t>
                    </w:r>
                  </w:p>
                </w:tc>
              </w:tr>
            </w:tbl>
            <w:p>
              <w:pPr>
                <w:keepNext/>
                <w:keepLines/>
                <w:spacing w:line="247" w:lineRule="auto"/>
                <w:ind w:left="564" w:hanging="10"/>
                <w:outlineLvl w:val="1"/>
                <w:rPr>
                  <w:color w:val="000000"/>
                  <w:kern w:val="2"/>
                  <w:sz w:val="22"/>
                  <w:szCs w:val="22"/>
                  <w:lang w:eastAsia="lt-LT"/>
                </w:rPr>
              </w:pPr>
            </w:p>
            <w:p>
              <w:pPr>
                <w:keepNext/>
                <w:keepLines/>
                <w:spacing w:line="247" w:lineRule="auto"/>
                <w:ind w:left="564" w:hanging="10"/>
                <w:outlineLvl w:val="1"/>
                <w:rPr>
                  <w:color w:val="000000"/>
                  <w:kern w:val="2"/>
                  <w:sz w:val="22"/>
                  <w:szCs w:val="22"/>
                  <w:lang w:eastAsia="lt-LT"/>
                </w:rPr>
              </w:pPr>
              <w:r>
                <w:rPr>
                  <w:color w:val="000000"/>
                  <w:kern w:val="2"/>
                  <w:sz w:val="22"/>
                  <w:szCs w:val="22"/>
                  <w:lang w:eastAsia="lt-LT"/>
                </w:rPr>
                <w:t>INFORMACIJA APIE 2024 M. VALSTYBĖS BIUDŽETO DOTACIJOS, SKIRTOS MOKINIO KREPŠELIUI FINANSUOTI, PANAUDOJIMĄ</w:t>
              </w:r>
            </w:p>
            <w:p/>
            <w:p>
              <w:pPr>
                <w:spacing w:after="4" w:line="247" w:lineRule="auto"/>
                <w:ind w:left="-3" w:right="108" w:hanging="10"/>
                <w:jc w:val="both"/>
                <w:rPr>
                  <w:color w:val="000000"/>
                  <w:kern w:val="2"/>
                  <w:szCs w:val="22"/>
                  <w:lang w:eastAsia="lt-LT"/>
                </w:rPr>
              </w:pPr>
              <w:r>
                <w:rPr>
                  <w:color w:val="000000"/>
                  <w:kern w:val="2"/>
                  <w:szCs w:val="22"/>
                  <w:lang w:eastAsia="lt-LT"/>
                </w:rPr>
                <w:t xml:space="preserve">3 lentelė.   </w:t>
              </w:r>
            </w:p>
            <w:tbl>
              <w:tblPr>
                <w:tblW w:w="9636" w:type="dxa"/>
                <w:tblInd w:w="-7" w:type="dxa"/>
                <w:tblCellMar>
                  <w:top w:w="51" w:type="dxa"/>
                  <w:right w:w="37" w:type="dxa"/>
                </w:tblCellMar>
                <w:tblLook w:val="04A0" w:firstRow="1" w:lastRow="0" w:firstColumn="1" w:lastColumn="0" w:noHBand="0" w:noVBand="1"/>
              </w:tblPr>
              <w:tblGrid>
                <w:gridCol w:w="4675"/>
                <w:gridCol w:w="1559"/>
                <w:gridCol w:w="1843"/>
                <w:gridCol w:w="1559"/>
              </w:tblGrid>
              <w:tr>
                <w:trPr>
                  <w:trHeight w:val="1171"/>
                  <w:tblHeader/>
                </w:trPr>
                <w:tc>
                  <w:tcPr>
                    <w:tcW w:w="4675" w:type="dxa"/>
                    <w:tcBorders>
                      <w:top w:val="single" w:sz="8" w:space="0" w:color="000000"/>
                      <w:left w:val="single" w:sz="8" w:space="0" w:color="000000"/>
                      <w:bottom w:val="single" w:sz="8" w:space="0" w:color="000000"/>
                      <w:right w:val="single" w:sz="8" w:space="0" w:color="000000"/>
                    </w:tcBorders>
                    <w:vAlign w:val="center"/>
                    <w:hideMark/>
                  </w:tcPr>
                  <w:p>
                    <w:pPr>
                      <w:spacing w:line="256" w:lineRule="auto"/>
                      <w:jc w:val="center"/>
                      <w:rPr>
                        <w:color w:val="000000"/>
                        <w:kern w:val="2"/>
                        <w:szCs w:val="22"/>
                        <w:lang w:eastAsia="lt-LT"/>
                      </w:rPr>
                    </w:pPr>
                    <w:r>
                      <w:rPr>
                        <w:color w:val="000000"/>
                        <w:kern w:val="2"/>
                        <w:sz w:val="20"/>
                        <w:szCs w:val="22"/>
                        <w:lang w:eastAsia="lt-LT"/>
                      </w:rPr>
                      <w:t xml:space="preserve">Išlaidų ekonominė klasifikacija </w:t>
                    </w:r>
                  </w:p>
                </w:tc>
                <w:tc>
                  <w:tcPr>
                    <w:tcW w:w="1559" w:type="dxa"/>
                    <w:tcBorders>
                      <w:top w:val="single" w:sz="8" w:space="0" w:color="000000"/>
                      <w:left w:val="single" w:sz="8" w:space="0" w:color="000000"/>
                      <w:bottom w:val="single" w:sz="8" w:space="0" w:color="000000"/>
                      <w:right w:val="single" w:sz="8" w:space="0" w:color="000000"/>
                    </w:tcBorders>
                    <w:vAlign w:val="center"/>
                    <w:hideMark/>
                  </w:tcPr>
                  <w:p>
                    <w:pPr>
                      <w:spacing w:line="256" w:lineRule="auto"/>
                      <w:jc w:val="center"/>
                      <w:rPr>
                        <w:color w:val="000000"/>
                        <w:kern w:val="2"/>
                        <w:szCs w:val="22"/>
                        <w:lang w:eastAsia="lt-LT"/>
                      </w:rPr>
                    </w:pPr>
                    <w:r>
                      <w:rPr>
                        <w:color w:val="000000"/>
                        <w:kern w:val="2"/>
                        <w:sz w:val="20"/>
                        <w:szCs w:val="22"/>
                        <w:lang w:eastAsia="lt-LT"/>
                      </w:rPr>
                      <w:t xml:space="preserve">Patikslintas asignavimų planas </w:t>
                    </w:r>
                  </w:p>
                </w:tc>
                <w:tc>
                  <w:tcPr>
                    <w:tcW w:w="1843" w:type="dxa"/>
                    <w:tcBorders>
                      <w:top w:val="single" w:sz="8" w:space="0" w:color="000000"/>
                      <w:left w:val="single" w:sz="8" w:space="0" w:color="000000"/>
                      <w:bottom w:val="single" w:sz="8" w:space="0" w:color="000000"/>
                      <w:right w:val="single" w:sz="8" w:space="0" w:color="000000"/>
                    </w:tcBorders>
                    <w:vAlign w:val="center"/>
                    <w:hideMark/>
                  </w:tcPr>
                  <w:p>
                    <w:pPr>
                      <w:spacing w:line="256" w:lineRule="auto"/>
                      <w:ind w:firstLine="3"/>
                      <w:jc w:val="center"/>
                      <w:rPr>
                        <w:color w:val="000000"/>
                        <w:kern w:val="2"/>
                        <w:szCs w:val="22"/>
                        <w:lang w:eastAsia="lt-LT"/>
                      </w:rPr>
                    </w:pPr>
                    <w:r>
                      <w:rPr>
                        <w:color w:val="000000"/>
                        <w:kern w:val="2"/>
                        <w:sz w:val="20"/>
                        <w:szCs w:val="22"/>
                        <w:lang w:eastAsia="lt-LT"/>
                      </w:rPr>
                      <w:t xml:space="preserve">2023 m. panaudoti asignavimai </w:t>
                    </w:r>
                  </w:p>
                </w:tc>
                <w:tc>
                  <w:tcPr>
                    <w:tcW w:w="1559" w:type="dxa"/>
                    <w:tcBorders>
                      <w:top w:val="single" w:sz="8" w:space="0" w:color="000000"/>
                      <w:left w:val="single" w:sz="8" w:space="0" w:color="000000"/>
                      <w:bottom w:val="single" w:sz="8" w:space="0" w:color="000000"/>
                      <w:right w:val="single" w:sz="8" w:space="0" w:color="000000"/>
                    </w:tcBorders>
                    <w:vAlign w:val="center"/>
                    <w:hideMark/>
                  </w:tcPr>
                  <w:p>
                    <w:pPr>
                      <w:jc w:val="center"/>
                      <w:rPr>
                        <w:color w:val="000000"/>
                        <w:kern w:val="2"/>
                        <w:szCs w:val="22"/>
                        <w:lang w:eastAsia="lt-LT"/>
                      </w:rPr>
                    </w:pPr>
                    <w:r>
                      <w:rPr>
                        <w:color w:val="000000"/>
                        <w:kern w:val="2"/>
                        <w:sz w:val="20"/>
                        <w:szCs w:val="22"/>
                        <w:lang w:eastAsia="lt-LT"/>
                      </w:rPr>
                      <w:t xml:space="preserve">Nepanaudoti asignavimai </w:t>
                    </w:r>
                  </w:p>
                  <w:p>
                    <w:pPr>
                      <w:spacing w:line="256" w:lineRule="auto"/>
                      <w:ind w:right="78"/>
                      <w:jc w:val="center"/>
                      <w:rPr>
                        <w:color w:val="000000"/>
                        <w:kern w:val="2"/>
                        <w:szCs w:val="22"/>
                        <w:lang w:eastAsia="lt-LT"/>
                      </w:rPr>
                    </w:pPr>
                    <w:r>
                      <w:rPr>
                        <w:color w:val="000000"/>
                        <w:kern w:val="2"/>
                        <w:sz w:val="20"/>
                        <w:szCs w:val="22"/>
                        <w:lang w:eastAsia="lt-LT"/>
                      </w:rPr>
                      <w:t xml:space="preserve">(skirtumas) </w:t>
                    </w:r>
                  </w:p>
                </w:tc>
              </w:tr>
              <w:tr>
                <w:trPr>
                  <w:trHeight w:val="344"/>
                </w:trPr>
                <w:tc>
                  <w:tcPr>
                    <w:tcW w:w="4675" w:type="dxa"/>
                    <w:tcBorders>
                      <w:top w:val="single" w:sz="8" w:space="0" w:color="000000"/>
                      <w:left w:val="single" w:sz="8" w:space="0" w:color="000000"/>
                      <w:bottom w:val="single" w:sz="8" w:space="0" w:color="000000"/>
                      <w:right w:val="single" w:sz="8" w:space="0" w:color="000000"/>
                    </w:tcBorders>
                    <w:hideMark/>
                  </w:tcPr>
                  <w:p>
                    <w:pPr>
                      <w:spacing w:line="256" w:lineRule="auto"/>
                      <w:rPr>
                        <w:color w:val="000000"/>
                        <w:kern w:val="2"/>
                        <w:szCs w:val="22"/>
                        <w:lang w:eastAsia="lt-LT"/>
                      </w:rPr>
                    </w:pPr>
                    <w:r>
                      <w:rPr>
                        <w:color w:val="000000"/>
                        <w:kern w:val="2"/>
                        <w:sz w:val="20"/>
                        <w:szCs w:val="22"/>
                        <w:lang w:eastAsia="lt-LT"/>
                      </w:rPr>
                      <w:t xml:space="preserve">Darbo užmokestis ir socialinis draudimas </w:t>
                    </w:r>
                  </w:p>
                </w:tc>
                <w:tc>
                  <w:tcPr>
                    <w:tcW w:w="1559"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20"/>
                        <w:lang w:eastAsia="lt-LT"/>
                      </w:rPr>
                    </w:pPr>
                    <w:r>
                      <w:rPr>
                        <w:color w:val="000000"/>
                        <w:kern w:val="2"/>
                        <w:sz w:val="20"/>
                        <w:lang w:eastAsia="lt-LT"/>
                      </w:rPr>
                      <w:t>16129,4</w:t>
                    </w:r>
                  </w:p>
                </w:tc>
                <w:tc>
                  <w:tcPr>
                    <w:tcW w:w="1843"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20"/>
                        <w:lang w:eastAsia="lt-LT"/>
                      </w:rPr>
                    </w:pPr>
                    <w:r>
                      <w:rPr>
                        <w:color w:val="000000"/>
                        <w:kern w:val="2"/>
                        <w:sz w:val="20"/>
                        <w:lang w:eastAsia="lt-LT"/>
                      </w:rPr>
                      <w:t>16129,4</w:t>
                    </w:r>
                  </w:p>
                </w:tc>
                <w:tc>
                  <w:tcPr>
                    <w:tcW w:w="1559" w:type="dxa"/>
                    <w:tcBorders>
                      <w:top w:val="single" w:sz="8" w:space="0" w:color="000000"/>
                      <w:left w:val="single" w:sz="8" w:space="0" w:color="000000"/>
                      <w:bottom w:val="single" w:sz="8" w:space="0" w:color="000000"/>
                      <w:right w:val="single" w:sz="8" w:space="0" w:color="000000"/>
                    </w:tcBorders>
                  </w:tcPr>
                  <w:p>
                    <w:pPr>
                      <w:spacing w:line="256" w:lineRule="auto"/>
                      <w:ind w:right="69"/>
                      <w:jc w:val="right"/>
                      <w:rPr>
                        <w:color w:val="000000"/>
                        <w:kern w:val="2"/>
                        <w:sz w:val="20"/>
                        <w:lang w:eastAsia="lt-LT"/>
                      </w:rPr>
                    </w:pPr>
                    <w:r>
                      <w:rPr>
                        <w:color w:val="000000"/>
                        <w:kern w:val="2"/>
                        <w:sz w:val="20"/>
                        <w:lang w:eastAsia="lt-LT"/>
                      </w:rPr>
                      <w:t>nėra</w:t>
                    </w:r>
                  </w:p>
                </w:tc>
              </w:tr>
              <w:tr>
                <w:trPr>
                  <w:trHeight w:val="366"/>
                </w:trPr>
                <w:tc>
                  <w:tcPr>
                    <w:tcW w:w="4675" w:type="dxa"/>
                    <w:tcBorders>
                      <w:top w:val="single" w:sz="8" w:space="0" w:color="000000"/>
                      <w:left w:val="single" w:sz="8" w:space="0" w:color="000000"/>
                      <w:bottom w:val="single" w:sz="8" w:space="0" w:color="000000"/>
                      <w:right w:val="single" w:sz="8" w:space="0" w:color="000000"/>
                    </w:tcBorders>
                    <w:hideMark/>
                  </w:tcPr>
                  <w:p>
                    <w:pPr>
                      <w:spacing w:line="256" w:lineRule="auto"/>
                      <w:rPr>
                        <w:color w:val="000000"/>
                        <w:kern w:val="2"/>
                        <w:szCs w:val="22"/>
                        <w:lang w:eastAsia="lt-LT"/>
                      </w:rPr>
                    </w:pPr>
                    <w:r>
                      <w:rPr>
                        <w:color w:val="000000"/>
                        <w:kern w:val="2"/>
                        <w:sz w:val="20"/>
                        <w:szCs w:val="22"/>
                        <w:lang w:eastAsia="lt-LT"/>
                      </w:rPr>
                      <w:t xml:space="preserve">Prekių ir paslaugų naudojimas </w:t>
                    </w:r>
                  </w:p>
                </w:tc>
                <w:tc>
                  <w:tcPr>
                    <w:tcW w:w="1559"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20"/>
                        <w:lang w:eastAsia="lt-LT"/>
                      </w:rPr>
                    </w:pPr>
                    <w:r>
                      <w:rPr>
                        <w:color w:val="000000"/>
                        <w:kern w:val="2"/>
                        <w:sz w:val="20"/>
                        <w:lang w:eastAsia="lt-LT"/>
                      </w:rPr>
                      <w:t>270,3</w:t>
                    </w:r>
                  </w:p>
                </w:tc>
                <w:tc>
                  <w:tcPr>
                    <w:tcW w:w="1843"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20"/>
                        <w:lang w:eastAsia="lt-LT"/>
                      </w:rPr>
                    </w:pPr>
                    <w:r>
                      <w:rPr>
                        <w:color w:val="000000"/>
                        <w:kern w:val="2"/>
                        <w:sz w:val="20"/>
                        <w:lang w:eastAsia="lt-LT"/>
                      </w:rPr>
                      <w:t>270,3</w:t>
                    </w:r>
                  </w:p>
                </w:tc>
                <w:tc>
                  <w:tcPr>
                    <w:tcW w:w="1559" w:type="dxa"/>
                    <w:tcBorders>
                      <w:top w:val="single" w:sz="8" w:space="0" w:color="000000"/>
                      <w:left w:val="single" w:sz="8" w:space="0" w:color="000000"/>
                      <w:bottom w:val="single" w:sz="8" w:space="0" w:color="000000"/>
                      <w:right w:val="single" w:sz="8" w:space="0" w:color="000000"/>
                    </w:tcBorders>
                  </w:tcPr>
                  <w:p>
                    <w:pPr>
                      <w:spacing w:line="256" w:lineRule="auto"/>
                      <w:ind w:right="69"/>
                      <w:jc w:val="right"/>
                      <w:rPr>
                        <w:color w:val="000000"/>
                        <w:kern w:val="2"/>
                        <w:sz w:val="20"/>
                        <w:lang w:eastAsia="lt-LT"/>
                      </w:rPr>
                    </w:pPr>
                    <w:r>
                      <w:rPr>
                        <w:color w:val="000000"/>
                        <w:kern w:val="2"/>
                        <w:sz w:val="20"/>
                        <w:lang w:eastAsia="lt-LT"/>
                      </w:rPr>
                      <w:t>nėra</w:t>
                    </w:r>
                  </w:p>
                </w:tc>
              </w:tr>
              <w:tr>
                <w:trPr>
                  <w:trHeight w:val="374"/>
                </w:trPr>
                <w:tc>
                  <w:tcPr>
                    <w:tcW w:w="4675" w:type="dxa"/>
                    <w:tcBorders>
                      <w:top w:val="single" w:sz="8" w:space="0" w:color="000000"/>
                      <w:left w:val="single" w:sz="8" w:space="0" w:color="000000"/>
                      <w:bottom w:val="single" w:sz="8" w:space="0" w:color="000000"/>
                      <w:right w:val="single" w:sz="8" w:space="0" w:color="000000"/>
                    </w:tcBorders>
                    <w:hideMark/>
                  </w:tcPr>
                  <w:p>
                    <w:pPr>
                      <w:spacing w:line="256" w:lineRule="auto"/>
                      <w:rPr>
                        <w:color w:val="000000"/>
                        <w:kern w:val="2"/>
                        <w:szCs w:val="22"/>
                        <w:lang w:eastAsia="lt-LT"/>
                      </w:rPr>
                    </w:pPr>
                    <w:r>
                      <w:rPr>
                        <w:color w:val="000000"/>
                        <w:kern w:val="2"/>
                        <w:sz w:val="20"/>
                        <w:szCs w:val="22"/>
                        <w:lang w:eastAsia="lt-LT"/>
                      </w:rPr>
                      <w:t xml:space="preserve">Socialinės išmokos (pašalpos) </w:t>
                    </w:r>
                  </w:p>
                </w:tc>
                <w:tc>
                  <w:tcPr>
                    <w:tcW w:w="1559"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20"/>
                        <w:lang w:eastAsia="lt-LT"/>
                      </w:rPr>
                    </w:pPr>
                    <w:r>
                      <w:rPr>
                        <w:color w:val="000000"/>
                        <w:kern w:val="2"/>
                        <w:sz w:val="20"/>
                        <w:lang w:eastAsia="lt-LT"/>
                      </w:rPr>
                      <w:t>278,4</w:t>
                    </w:r>
                  </w:p>
                </w:tc>
                <w:tc>
                  <w:tcPr>
                    <w:tcW w:w="1843"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20"/>
                        <w:lang w:eastAsia="lt-LT"/>
                      </w:rPr>
                    </w:pPr>
                    <w:r>
                      <w:rPr>
                        <w:color w:val="000000"/>
                        <w:kern w:val="2"/>
                        <w:sz w:val="20"/>
                        <w:lang w:eastAsia="lt-LT"/>
                      </w:rPr>
                      <w:t>278,4</w:t>
                    </w:r>
                  </w:p>
                </w:tc>
                <w:tc>
                  <w:tcPr>
                    <w:tcW w:w="1559" w:type="dxa"/>
                    <w:tcBorders>
                      <w:top w:val="single" w:sz="8" w:space="0" w:color="000000"/>
                      <w:left w:val="single" w:sz="8" w:space="0" w:color="000000"/>
                      <w:bottom w:val="single" w:sz="8" w:space="0" w:color="000000"/>
                      <w:right w:val="single" w:sz="8" w:space="0" w:color="000000"/>
                    </w:tcBorders>
                  </w:tcPr>
                  <w:p>
                    <w:pPr>
                      <w:spacing w:line="256" w:lineRule="auto"/>
                      <w:ind w:right="69"/>
                      <w:jc w:val="right"/>
                      <w:rPr>
                        <w:color w:val="000000"/>
                        <w:kern w:val="2"/>
                        <w:sz w:val="20"/>
                        <w:lang w:eastAsia="lt-LT"/>
                      </w:rPr>
                    </w:pPr>
                    <w:r>
                      <w:rPr>
                        <w:color w:val="000000"/>
                        <w:kern w:val="2"/>
                        <w:sz w:val="20"/>
                        <w:lang w:eastAsia="lt-LT"/>
                      </w:rPr>
                      <w:t>nėra</w:t>
                    </w:r>
                  </w:p>
                </w:tc>
              </w:tr>
              <w:tr>
                <w:trPr>
                  <w:trHeight w:val="250"/>
                </w:trPr>
                <w:tc>
                  <w:tcPr>
                    <w:tcW w:w="4675" w:type="dxa"/>
                    <w:tcBorders>
                      <w:top w:val="single" w:sz="8" w:space="0" w:color="000000"/>
                      <w:left w:val="single" w:sz="8" w:space="0" w:color="000000"/>
                      <w:bottom w:val="single" w:sz="8" w:space="0" w:color="000000"/>
                      <w:right w:val="single" w:sz="8" w:space="0" w:color="000000"/>
                    </w:tcBorders>
                    <w:hideMark/>
                  </w:tcPr>
                  <w:p>
                    <w:pPr>
                      <w:spacing w:line="256" w:lineRule="auto"/>
                      <w:rPr>
                        <w:color w:val="000000"/>
                        <w:kern w:val="2"/>
                        <w:szCs w:val="22"/>
                        <w:lang w:eastAsia="lt-LT"/>
                      </w:rPr>
                    </w:pPr>
                    <w:r>
                      <w:rPr>
                        <w:color w:val="000000"/>
                        <w:kern w:val="2"/>
                        <w:sz w:val="20"/>
                        <w:szCs w:val="22"/>
                        <w:lang w:eastAsia="lt-LT"/>
                      </w:rPr>
                      <w:t xml:space="preserve">Kitos išlaidos </w:t>
                    </w:r>
                  </w:p>
                </w:tc>
                <w:tc>
                  <w:tcPr>
                    <w:tcW w:w="1559"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20"/>
                        <w:lang w:eastAsia="lt-LT"/>
                      </w:rPr>
                    </w:pPr>
                  </w:p>
                </w:tc>
                <w:tc>
                  <w:tcPr>
                    <w:tcW w:w="1843"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20"/>
                        <w:lang w:eastAsia="lt-LT"/>
                      </w:rPr>
                    </w:pPr>
                  </w:p>
                </w:tc>
                <w:tc>
                  <w:tcPr>
                    <w:tcW w:w="1559"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20"/>
                        <w:lang w:eastAsia="lt-LT"/>
                      </w:rPr>
                    </w:pPr>
                  </w:p>
                </w:tc>
              </w:tr>
              <w:tr>
                <w:trPr>
                  <w:trHeight w:val="358"/>
                </w:trPr>
                <w:tc>
                  <w:tcPr>
                    <w:tcW w:w="4675" w:type="dxa"/>
                    <w:tcBorders>
                      <w:top w:val="single" w:sz="8" w:space="0" w:color="000000"/>
                      <w:left w:val="single" w:sz="8" w:space="0" w:color="000000"/>
                      <w:bottom w:val="single" w:sz="8" w:space="0" w:color="000000"/>
                      <w:right w:val="single" w:sz="8" w:space="0" w:color="000000"/>
                    </w:tcBorders>
                    <w:hideMark/>
                  </w:tcPr>
                  <w:p>
                    <w:pPr>
                      <w:spacing w:line="256" w:lineRule="auto"/>
                      <w:ind w:right="24"/>
                      <w:rPr>
                        <w:color w:val="000000"/>
                        <w:kern w:val="2"/>
                        <w:szCs w:val="22"/>
                        <w:lang w:eastAsia="lt-LT"/>
                      </w:rPr>
                    </w:pPr>
                    <w:r>
                      <w:rPr>
                        <w:color w:val="000000"/>
                        <w:kern w:val="2"/>
                        <w:sz w:val="20"/>
                        <w:szCs w:val="22"/>
                        <w:lang w:eastAsia="lt-LT"/>
                      </w:rPr>
                      <w:t xml:space="preserve">Materialiojo ir nematerialiojo turto įsigijimo išlaidos </w:t>
                    </w:r>
                  </w:p>
                </w:tc>
                <w:tc>
                  <w:tcPr>
                    <w:tcW w:w="1559"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20"/>
                        <w:lang w:eastAsia="lt-LT"/>
                      </w:rPr>
                    </w:pPr>
                    <w:r>
                      <w:rPr>
                        <w:color w:val="000000"/>
                        <w:kern w:val="2"/>
                        <w:sz w:val="20"/>
                        <w:lang w:eastAsia="lt-LT"/>
                      </w:rPr>
                      <w:t>12,6</w:t>
                    </w:r>
                  </w:p>
                </w:tc>
                <w:tc>
                  <w:tcPr>
                    <w:tcW w:w="1843"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20"/>
                        <w:lang w:eastAsia="lt-LT"/>
                      </w:rPr>
                    </w:pPr>
                    <w:r>
                      <w:rPr>
                        <w:color w:val="000000"/>
                        <w:kern w:val="2"/>
                        <w:sz w:val="20"/>
                        <w:lang w:eastAsia="lt-LT"/>
                      </w:rPr>
                      <w:t>12,6</w:t>
                    </w:r>
                  </w:p>
                </w:tc>
                <w:tc>
                  <w:tcPr>
                    <w:tcW w:w="1559" w:type="dxa"/>
                    <w:tcBorders>
                      <w:top w:val="single" w:sz="8" w:space="0" w:color="000000"/>
                      <w:left w:val="single" w:sz="8" w:space="0" w:color="000000"/>
                      <w:bottom w:val="single" w:sz="8" w:space="0" w:color="000000"/>
                      <w:right w:val="single" w:sz="8" w:space="0" w:color="000000"/>
                    </w:tcBorders>
                  </w:tcPr>
                  <w:p>
                    <w:pPr>
                      <w:spacing w:line="256" w:lineRule="auto"/>
                      <w:ind w:right="69"/>
                      <w:jc w:val="right"/>
                      <w:rPr>
                        <w:color w:val="000000"/>
                        <w:kern w:val="2"/>
                        <w:sz w:val="20"/>
                        <w:lang w:eastAsia="lt-LT"/>
                      </w:rPr>
                    </w:pPr>
                    <w:r>
                      <w:rPr>
                        <w:color w:val="000000"/>
                        <w:kern w:val="2"/>
                        <w:sz w:val="20"/>
                        <w:lang w:eastAsia="lt-LT"/>
                      </w:rPr>
                      <w:t>nėra</w:t>
                    </w:r>
                  </w:p>
                </w:tc>
              </w:tr>
              <w:tr>
                <w:trPr>
                  <w:trHeight w:val="252"/>
                </w:trPr>
                <w:tc>
                  <w:tcPr>
                    <w:tcW w:w="4675" w:type="dxa"/>
                    <w:tcBorders>
                      <w:top w:val="single" w:sz="8" w:space="0" w:color="000000"/>
                      <w:left w:val="single" w:sz="8" w:space="0" w:color="000000"/>
                      <w:bottom w:val="single" w:sz="8" w:space="0" w:color="000000"/>
                      <w:right w:val="single" w:sz="8" w:space="0" w:color="000000"/>
                    </w:tcBorders>
                    <w:hideMark/>
                  </w:tcPr>
                  <w:p>
                    <w:pPr>
                      <w:spacing w:line="256" w:lineRule="auto"/>
                      <w:rPr>
                        <w:color w:val="000000"/>
                        <w:kern w:val="2"/>
                        <w:szCs w:val="22"/>
                        <w:lang w:eastAsia="lt-LT"/>
                      </w:rPr>
                    </w:pPr>
                    <w:r>
                      <w:rPr>
                        <w:color w:val="000000"/>
                        <w:kern w:val="2"/>
                        <w:sz w:val="20"/>
                        <w:szCs w:val="22"/>
                        <w:lang w:eastAsia="lt-LT"/>
                      </w:rPr>
                      <w:t xml:space="preserve">Iš viso: </w:t>
                    </w:r>
                  </w:p>
                </w:tc>
                <w:tc>
                  <w:tcPr>
                    <w:tcW w:w="1559"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20"/>
                        <w:lang w:eastAsia="lt-LT"/>
                      </w:rPr>
                    </w:pPr>
                    <w:r>
                      <w:rPr>
                        <w:color w:val="000000"/>
                        <w:kern w:val="2"/>
                        <w:sz w:val="20"/>
                        <w:lang w:eastAsia="lt-LT"/>
                      </w:rPr>
                      <w:t>16690,7</w:t>
                    </w:r>
                  </w:p>
                </w:tc>
                <w:tc>
                  <w:tcPr>
                    <w:tcW w:w="1843" w:type="dxa"/>
                    <w:tcBorders>
                      <w:top w:val="single" w:sz="8" w:space="0" w:color="000000"/>
                      <w:left w:val="single" w:sz="8" w:space="0" w:color="000000"/>
                      <w:bottom w:val="single" w:sz="8" w:space="0" w:color="000000"/>
                      <w:right w:val="single" w:sz="8" w:space="0" w:color="000000"/>
                    </w:tcBorders>
                  </w:tcPr>
                  <w:p>
                    <w:pPr>
                      <w:spacing w:line="256" w:lineRule="auto"/>
                      <w:ind w:right="71"/>
                      <w:jc w:val="right"/>
                      <w:rPr>
                        <w:color w:val="000000"/>
                        <w:kern w:val="2"/>
                        <w:sz w:val="20"/>
                        <w:lang w:eastAsia="lt-LT"/>
                      </w:rPr>
                    </w:pPr>
                    <w:r>
                      <w:rPr>
                        <w:color w:val="000000"/>
                        <w:kern w:val="2"/>
                        <w:sz w:val="20"/>
                        <w:lang w:eastAsia="lt-LT"/>
                      </w:rPr>
                      <w:t>16690,7</w:t>
                    </w:r>
                  </w:p>
                </w:tc>
                <w:tc>
                  <w:tcPr>
                    <w:tcW w:w="1559" w:type="dxa"/>
                    <w:tcBorders>
                      <w:top w:val="single" w:sz="8" w:space="0" w:color="000000"/>
                      <w:left w:val="single" w:sz="8" w:space="0" w:color="000000"/>
                      <w:bottom w:val="single" w:sz="8" w:space="0" w:color="000000"/>
                      <w:right w:val="single" w:sz="8" w:space="0" w:color="000000"/>
                    </w:tcBorders>
                  </w:tcPr>
                  <w:p>
                    <w:pPr>
                      <w:spacing w:line="256" w:lineRule="auto"/>
                      <w:ind w:right="70"/>
                      <w:jc w:val="right"/>
                      <w:rPr>
                        <w:color w:val="000000"/>
                        <w:kern w:val="2"/>
                        <w:sz w:val="20"/>
                        <w:lang w:eastAsia="lt-LT"/>
                      </w:rPr>
                    </w:pPr>
                    <w:r>
                      <w:rPr>
                        <w:color w:val="000000"/>
                        <w:kern w:val="2"/>
                        <w:sz w:val="20"/>
                        <w:lang w:eastAsia="lt-LT"/>
                      </w:rPr>
                      <w:t>nėra</w:t>
                    </w:r>
                  </w:p>
                </w:tc>
              </w:tr>
            </w:tbl>
            <w:p/>
            <w:p>
              <w:pPr>
                <w:spacing w:after="4" w:line="247" w:lineRule="auto"/>
                <w:ind w:left="10" w:right="124" w:hanging="10"/>
                <w:jc w:val="both"/>
                <w:rPr>
                  <w:color w:val="000000"/>
                  <w:kern w:val="2"/>
                  <w:szCs w:val="22"/>
                  <w:lang w:eastAsia="lt-LT"/>
                </w:rPr>
              </w:pPr>
            </w:p>
            <w:p>
              <w:pPr>
                <w:keepNext/>
                <w:keepLines/>
                <w:spacing w:after="4" w:line="247" w:lineRule="auto"/>
                <w:ind w:left="564" w:right="124" w:hanging="10"/>
                <w:jc w:val="both"/>
                <w:outlineLvl w:val="1"/>
                <w:rPr>
                  <w:color w:val="000000"/>
                  <w:kern w:val="2"/>
                  <w:sz w:val="22"/>
                  <w:szCs w:val="22"/>
                  <w:lang w:eastAsia="lt-LT"/>
                </w:rPr>
              </w:pPr>
              <w:r>
                <w:rPr>
                  <w:color w:val="000000"/>
                  <w:kern w:val="2"/>
                  <w:sz w:val="22"/>
                  <w:szCs w:val="22"/>
                  <w:lang w:eastAsia="lt-LT"/>
                </w:rPr>
                <w:t>SAVIVALDYBĖS</w:t>
              </w:r>
              <w:r>
                <w:rPr>
                  <w:color w:val="000000"/>
                  <w:kern w:val="2"/>
                  <w:sz w:val="18"/>
                  <w:szCs w:val="22"/>
                  <w:lang w:eastAsia="lt-LT"/>
                </w:rPr>
                <w:t xml:space="preserve"> </w:t>
              </w:r>
              <w:r>
                <w:rPr>
                  <w:color w:val="000000"/>
                  <w:kern w:val="2"/>
                  <w:sz w:val="22"/>
                  <w:szCs w:val="22"/>
                  <w:lang w:eastAsia="lt-LT"/>
                </w:rPr>
                <w:t>BIUDŽETO</w:t>
              </w:r>
              <w:r>
                <w:rPr>
                  <w:color w:val="000000"/>
                  <w:kern w:val="2"/>
                  <w:sz w:val="18"/>
                  <w:szCs w:val="22"/>
                  <w:lang w:eastAsia="lt-LT"/>
                </w:rPr>
                <w:t xml:space="preserve"> </w:t>
              </w:r>
              <w:r>
                <w:rPr>
                  <w:color w:val="000000"/>
                  <w:kern w:val="2"/>
                  <w:sz w:val="22"/>
                  <w:szCs w:val="22"/>
                  <w:lang w:eastAsia="lt-LT"/>
                </w:rPr>
                <w:t>ASIGNAVIMŲ</w:t>
              </w:r>
              <w:r>
                <w:rPr>
                  <w:color w:val="000000"/>
                  <w:kern w:val="2"/>
                  <w:sz w:val="18"/>
                  <w:szCs w:val="22"/>
                  <w:lang w:eastAsia="lt-LT"/>
                </w:rPr>
                <w:t xml:space="preserve"> </w:t>
              </w:r>
              <w:r>
                <w:rPr>
                  <w:color w:val="000000"/>
                  <w:kern w:val="2"/>
                  <w:sz w:val="22"/>
                  <w:szCs w:val="22"/>
                  <w:lang w:eastAsia="lt-LT"/>
                </w:rPr>
                <w:t>NEPANAUDOJIMO</w:t>
              </w:r>
              <w:r>
                <w:rPr>
                  <w:color w:val="000000"/>
                  <w:kern w:val="2"/>
                  <w:sz w:val="18"/>
                  <w:szCs w:val="22"/>
                  <w:lang w:eastAsia="lt-LT"/>
                </w:rPr>
                <w:t xml:space="preserve"> </w:t>
              </w:r>
              <w:r>
                <w:rPr>
                  <w:color w:val="000000"/>
                  <w:kern w:val="2"/>
                  <w:sz w:val="22"/>
                  <w:szCs w:val="22"/>
                  <w:lang w:eastAsia="lt-LT"/>
                </w:rPr>
                <w:t xml:space="preserve">PRIEŽASTYS </w:t>
              </w:r>
            </w:p>
            <w:p>
              <w:pPr>
                <w:spacing w:line="256" w:lineRule="auto"/>
                <w:ind w:left="542" w:firstLine="62"/>
                <w:rPr>
                  <w:color w:val="000000"/>
                  <w:kern w:val="2"/>
                  <w:szCs w:val="22"/>
                  <w:lang w:eastAsia="lt-LT"/>
                </w:rPr>
              </w:pPr>
            </w:p>
            <w:p>
              <w:pPr>
                <w:spacing w:line="247" w:lineRule="auto"/>
                <w:ind w:left="-13" w:right="108" w:firstLine="540"/>
                <w:jc w:val="both"/>
                <w:rPr>
                  <w:color w:val="000000"/>
                  <w:kern w:val="2"/>
                  <w:szCs w:val="22"/>
                  <w:lang w:eastAsia="lt-LT"/>
                </w:rPr>
              </w:pPr>
              <w:r>
                <w:rPr>
                  <w:color w:val="000000"/>
                  <w:kern w:val="2"/>
                  <w:szCs w:val="22"/>
                  <w:lang w:eastAsia="lt-LT"/>
                </w:rPr>
                <w:t xml:space="preserve">Nepanaudota savivaldybės  biudžeto pajamų dalis, kuri viršijo 2024 metų asignavimus sudarė 3 996,5 tūkst. eurų:</w:t>
              </w:r>
            </w:p>
            <w:p>
              <w:pPr>
                <w:spacing w:line="247" w:lineRule="auto"/>
                <w:ind w:left="-13" w:right="108" w:firstLine="540"/>
                <w:jc w:val="both"/>
                <w:rPr>
                  <w:color w:val="000000"/>
                  <w:kern w:val="2"/>
                  <w:szCs w:val="22"/>
                  <w:lang w:eastAsia="lt-LT"/>
                </w:rPr>
              </w:pPr>
            </w:p>
            <w:p>
              <w:pPr>
                <w:spacing w:line="247" w:lineRule="auto"/>
                <w:ind w:left="-13" w:right="108" w:firstLine="13"/>
                <w:rPr>
                  <w:color w:val="000000"/>
                  <w:kern w:val="2"/>
                  <w:szCs w:val="22"/>
                  <w:lang w:eastAsia="lt-LT"/>
                </w:rPr>
              </w:pPr>
              <w:r>
                <w:rPr>
                  <w:color w:val="000000"/>
                  <w:kern w:val="2"/>
                  <w:szCs w:val="22"/>
                  <w:lang w:eastAsia="lt-LT"/>
                </w:rPr>
                <w:t>4 lentelė.</w:t>
              </w:r>
            </w:p>
            <w:tbl>
              <w:tblPr>
                <w:tblW w:w="9613" w:type="dxa"/>
                <w:tblInd w:w="-7" w:type="dxa"/>
                <w:tblCellMar>
                  <w:top w:w="51" w:type="dxa"/>
                  <w:right w:w="37" w:type="dxa"/>
                </w:tblCellMar>
                <w:tblLook w:val="04A0" w:firstRow="1" w:lastRow="0" w:firstColumn="1" w:lastColumn="0" w:noHBand="0" w:noVBand="1"/>
              </w:tblPr>
              <w:tblGrid>
                <w:gridCol w:w="3943"/>
                <w:gridCol w:w="850"/>
                <w:gridCol w:w="4820"/>
              </w:tblGrid>
              <w:tr>
                <w:trPr>
                  <w:trHeight w:val="694"/>
                </w:trPr>
                <w:tc>
                  <w:tcPr>
                    <w:tcW w:w="3943" w:type="dxa"/>
                    <w:tcBorders>
                      <w:top w:val="single" w:sz="8" w:space="0" w:color="000000"/>
                      <w:left w:val="single" w:sz="8" w:space="0" w:color="000000"/>
                      <w:bottom w:val="single" w:sz="8" w:space="0" w:color="000000"/>
                      <w:right w:val="single" w:sz="8" w:space="0" w:color="000000"/>
                    </w:tcBorders>
                    <w:vAlign w:val="center"/>
                    <w:hideMark/>
                  </w:tcPr>
                  <w:p>
                    <w:pPr>
                      <w:spacing w:line="256" w:lineRule="auto"/>
                      <w:jc w:val="center"/>
                      <w:rPr>
                        <w:color w:val="000000"/>
                        <w:kern w:val="2"/>
                        <w:sz w:val="20"/>
                        <w:lang w:eastAsia="lt-LT"/>
                      </w:rPr>
                    </w:pPr>
                    <w:r>
                      <w:rPr>
                        <w:color w:val="000000"/>
                        <w:kern w:val="2"/>
                        <w:sz w:val="20"/>
                        <w:lang w:eastAsia="lt-LT"/>
                      </w:rPr>
                      <w:t xml:space="preserve">Lėšų šaltinis </w:t>
                    </w:r>
                  </w:p>
                </w:tc>
                <w:tc>
                  <w:tcPr>
                    <w:tcW w:w="850" w:type="dxa"/>
                    <w:tcBorders>
                      <w:top w:val="single" w:sz="8" w:space="0" w:color="000000"/>
                      <w:left w:val="single" w:sz="8" w:space="0" w:color="000000"/>
                      <w:bottom w:val="single" w:sz="8" w:space="0" w:color="000000"/>
                      <w:right w:val="single" w:sz="8" w:space="0" w:color="000000"/>
                    </w:tcBorders>
                    <w:vAlign w:val="center"/>
                    <w:hideMark/>
                  </w:tcPr>
                  <w:p>
                    <w:pPr>
                      <w:spacing w:line="256" w:lineRule="auto"/>
                      <w:jc w:val="center"/>
                      <w:rPr>
                        <w:color w:val="000000"/>
                        <w:kern w:val="2"/>
                        <w:sz w:val="20"/>
                        <w:lang w:eastAsia="lt-LT"/>
                      </w:rPr>
                    </w:pPr>
                    <w:r>
                      <w:rPr>
                        <w:color w:val="000000"/>
                        <w:kern w:val="2"/>
                        <w:sz w:val="20"/>
                        <w:lang w:eastAsia="lt-LT"/>
                      </w:rPr>
                      <w:t>Likutis, tūkst. eurų</w:t>
                    </w:r>
                  </w:p>
                </w:tc>
                <w:tc>
                  <w:tcPr>
                    <w:tcW w:w="4820" w:type="dxa"/>
                    <w:tcBorders>
                      <w:top w:val="single" w:sz="8" w:space="0" w:color="000000"/>
                      <w:left w:val="single" w:sz="8" w:space="0" w:color="000000"/>
                      <w:bottom w:val="single" w:sz="8" w:space="0" w:color="000000"/>
                      <w:right w:val="single" w:sz="8" w:space="0" w:color="000000"/>
                    </w:tcBorders>
                    <w:vAlign w:val="center"/>
                    <w:hideMark/>
                  </w:tcPr>
                  <w:p>
                    <w:pPr>
                      <w:spacing w:line="256" w:lineRule="auto"/>
                      <w:ind w:firstLine="3"/>
                      <w:jc w:val="center"/>
                      <w:rPr>
                        <w:color w:val="000000"/>
                        <w:kern w:val="2"/>
                        <w:sz w:val="20"/>
                        <w:lang w:eastAsia="lt-LT"/>
                      </w:rPr>
                    </w:pPr>
                    <w:r>
                      <w:rPr>
                        <w:color w:val="000000"/>
                        <w:kern w:val="2"/>
                        <w:sz w:val="20"/>
                        <w:lang w:eastAsia="lt-LT"/>
                      </w:rPr>
                      <w:t xml:space="preserve">Nepanaudojimo priežastys </w:t>
                    </w:r>
                  </w:p>
                </w:tc>
              </w:tr>
              <w:tr>
                <w:trPr>
                  <w:trHeight w:val="478"/>
                </w:trPr>
                <w:tc>
                  <w:tcPr>
                    <w:tcW w:w="3943" w:type="dxa"/>
                    <w:tcBorders>
                      <w:top w:val="single" w:sz="8" w:space="0" w:color="000000"/>
                      <w:left w:val="single" w:sz="8" w:space="0" w:color="000000"/>
                      <w:bottom w:val="single" w:sz="8" w:space="0" w:color="000000"/>
                      <w:right w:val="single" w:sz="8" w:space="0" w:color="000000"/>
                    </w:tcBorders>
                    <w:hideMark/>
                  </w:tcPr>
                  <w:p>
                    <w:pPr>
                      <w:spacing w:line="256" w:lineRule="auto"/>
                      <w:jc w:val="both"/>
                      <w:rPr>
                        <w:color w:val="000000"/>
                        <w:kern w:val="2"/>
                        <w:sz w:val="20"/>
                        <w:lang w:eastAsia="lt-LT"/>
                      </w:rPr>
                    </w:pPr>
                    <w:r>
                      <w:rPr>
                        <w:color w:val="000000"/>
                        <w:kern w:val="2"/>
                        <w:sz w:val="20"/>
                        <w:lang w:eastAsia="lt-LT"/>
                      </w:rPr>
                      <w:t>Aplinkos apsaugos programos specialios lėšos</w:t>
                    </w:r>
                  </w:p>
                </w:tc>
                <w:tc>
                  <w:tcPr>
                    <w:tcW w:w="850" w:type="dxa"/>
                    <w:tcBorders>
                      <w:top w:val="single" w:sz="8" w:space="0" w:color="000000"/>
                      <w:left w:val="single" w:sz="8" w:space="0" w:color="000000"/>
                      <w:bottom w:val="single" w:sz="8" w:space="0" w:color="000000"/>
                      <w:right w:val="single" w:sz="8" w:space="0" w:color="000000"/>
                    </w:tcBorders>
                    <w:vAlign w:val="center"/>
                    <w:hideMark/>
                  </w:tcPr>
                  <w:p>
                    <w:pPr>
                      <w:spacing w:line="256" w:lineRule="auto"/>
                      <w:ind w:right="70"/>
                      <w:jc w:val="right"/>
                      <w:rPr>
                        <w:color w:val="000000"/>
                        <w:kern w:val="2"/>
                        <w:sz w:val="20"/>
                        <w:lang w:eastAsia="lt-LT"/>
                      </w:rPr>
                    </w:pPr>
                    <w:r>
                      <w:rPr>
                        <w:color w:val="000000"/>
                        <w:kern w:val="2"/>
                        <w:sz w:val="20"/>
                        <w:lang w:eastAsia="lt-LT"/>
                      </w:rPr>
                      <w:t xml:space="preserve">102,3 </w:t>
                    </w:r>
                  </w:p>
                </w:tc>
                <w:tc>
                  <w:tcPr>
                    <w:tcW w:w="4820" w:type="dxa"/>
                    <w:tcBorders>
                      <w:top w:val="single" w:sz="8" w:space="0" w:color="000000"/>
                      <w:left w:val="single" w:sz="8" w:space="0" w:color="000000"/>
                      <w:bottom w:val="single" w:sz="8" w:space="0" w:color="000000"/>
                      <w:right w:val="single" w:sz="8" w:space="0" w:color="000000"/>
                    </w:tcBorders>
                    <w:vAlign w:val="center"/>
                  </w:tcPr>
                  <w:p>
                    <w:pPr>
                      <w:spacing w:line="256" w:lineRule="auto"/>
                      <w:ind w:right="70"/>
                      <w:rPr>
                        <w:color w:val="000000"/>
                        <w:kern w:val="2"/>
                        <w:sz w:val="20"/>
                        <w:lang w:eastAsia="lt-LT"/>
                      </w:rPr>
                    </w:pPr>
                    <w:r>
                      <w:rPr>
                        <w:color w:val="000000"/>
                        <w:kern w:val="2"/>
                        <w:sz w:val="20"/>
                        <w:lang w:eastAsia="lt-LT"/>
                      </w:rPr>
                      <w:t>Tikslinė lėšų paskirtis tik aplinkos apsaugos programoms. Nebuvo įvykdytos visos programos.</w:t>
                    </w:r>
                  </w:p>
                </w:tc>
              </w:tr>
              <w:tr>
                <w:trPr>
                  <w:trHeight w:val="480"/>
                </w:trPr>
                <w:tc>
                  <w:tcPr>
                    <w:tcW w:w="3943" w:type="dxa"/>
                    <w:tcBorders>
                      <w:top w:val="single" w:sz="8" w:space="0" w:color="000000"/>
                      <w:left w:val="single" w:sz="8" w:space="0" w:color="000000"/>
                      <w:bottom w:val="single" w:sz="8" w:space="0" w:color="000000"/>
                      <w:right w:val="single" w:sz="8" w:space="0" w:color="000000"/>
                    </w:tcBorders>
                    <w:hideMark/>
                  </w:tcPr>
                  <w:p>
                    <w:pPr>
                      <w:spacing w:line="256" w:lineRule="auto"/>
                      <w:rPr>
                        <w:color w:val="000000"/>
                        <w:kern w:val="2"/>
                        <w:sz w:val="20"/>
                        <w:lang w:eastAsia="lt-LT"/>
                      </w:rPr>
                    </w:pPr>
                    <w:r>
                      <w:rPr>
                        <w:color w:val="000000"/>
                        <w:kern w:val="2"/>
                        <w:sz w:val="20"/>
                        <w:lang w:eastAsia="lt-LT"/>
                      </w:rPr>
                      <w:t xml:space="preserve">Biudžetinių įstaigų pajamos </w:t>
                    </w:r>
                  </w:p>
                </w:tc>
                <w:tc>
                  <w:tcPr>
                    <w:tcW w:w="850" w:type="dxa"/>
                    <w:tcBorders>
                      <w:top w:val="single" w:sz="8" w:space="0" w:color="000000"/>
                      <w:left w:val="single" w:sz="8" w:space="0" w:color="000000"/>
                      <w:bottom w:val="single" w:sz="8" w:space="0" w:color="000000"/>
                      <w:right w:val="single" w:sz="8" w:space="0" w:color="000000"/>
                    </w:tcBorders>
                    <w:vAlign w:val="center"/>
                    <w:hideMark/>
                  </w:tcPr>
                  <w:p>
                    <w:pPr>
                      <w:spacing w:line="256" w:lineRule="auto"/>
                      <w:ind w:right="70"/>
                      <w:jc w:val="right"/>
                      <w:rPr>
                        <w:color w:val="000000"/>
                        <w:kern w:val="2"/>
                        <w:sz w:val="20"/>
                        <w:lang w:eastAsia="lt-LT"/>
                      </w:rPr>
                    </w:pPr>
                    <w:r>
                      <w:rPr>
                        <w:color w:val="000000"/>
                        <w:kern w:val="2"/>
                        <w:sz w:val="20"/>
                        <w:lang w:eastAsia="lt-LT"/>
                      </w:rPr>
                      <w:t xml:space="preserve">337,5 </w:t>
                    </w:r>
                  </w:p>
                </w:tc>
                <w:tc>
                  <w:tcPr>
                    <w:tcW w:w="4820" w:type="dxa"/>
                    <w:tcBorders>
                      <w:top w:val="single" w:sz="8" w:space="0" w:color="000000"/>
                      <w:left w:val="single" w:sz="8" w:space="0" w:color="000000"/>
                      <w:bottom w:val="single" w:sz="8" w:space="0" w:color="000000"/>
                      <w:right w:val="single" w:sz="8" w:space="0" w:color="000000"/>
                    </w:tcBorders>
                    <w:vAlign w:val="center"/>
                  </w:tcPr>
                  <w:p>
                    <w:pPr>
                      <w:spacing w:line="256" w:lineRule="auto"/>
                      <w:ind w:right="70"/>
                      <w:rPr>
                        <w:color w:val="000000"/>
                        <w:kern w:val="2"/>
                        <w:sz w:val="20"/>
                        <w:lang w:eastAsia="lt-LT"/>
                      </w:rPr>
                    </w:pPr>
                    <w:r>
                      <w:rPr>
                        <w:color w:val="000000"/>
                        <w:kern w:val="2"/>
                        <w:sz w:val="20"/>
                        <w:lang w:eastAsia="lt-LT"/>
                      </w:rPr>
                      <w:t>Dėl netikslaus planavimo</w:t>
                    </w:r>
                  </w:p>
                </w:tc>
              </w:tr>
              <w:tr>
                <w:trPr>
                  <w:trHeight w:val="250"/>
                </w:trPr>
                <w:tc>
                  <w:tcPr>
                    <w:tcW w:w="3943" w:type="dxa"/>
                    <w:tcBorders>
                      <w:top w:val="single" w:sz="8" w:space="0" w:color="000000"/>
                      <w:left w:val="single" w:sz="8" w:space="0" w:color="000000"/>
                      <w:bottom w:val="single" w:sz="8" w:space="0" w:color="000000"/>
                      <w:right w:val="single" w:sz="8" w:space="0" w:color="000000"/>
                    </w:tcBorders>
                  </w:tcPr>
                  <w:p>
                    <w:pPr>
                      <w:spacing w:line="256" w:lineRule="auto"/>
                      <w:rPr>
                        <w:color w:val="000000"/>
                        <w:kern w:val="2"/>
                        <w:sz w:val="20"/>
                        <w:lang w:eastAsia="lt-LT"/>
                      </w:rPr>
                    </w:pPr>
                    <w:r>
                      <w:rPr>
                        <w:color w:val="000000"/>
                        <w:kern w:val="2"/>
                        <w:sz w:val="20"/>
                        <w:lang w:eastAsia="lt-LT"/>
                      </w:rPr>
                      <w:t>Socialinio būsto priežiūrai skirtos lėšos</w:t>
                    </w:r>
                  </w:p>
                </w:tc>
                <w:tc>
                  <w:tcPr>
                    <w:tcW w:w="850" w:type="dxa"/>
                    <w:tcBorders>
                      <w:top w:val="single" w:sz="8" w:space="0" w:color="000000"/>
                      <w:left w:val="single" w:sz="8" w:space="0" w:color="000000"/>
                      <w:bottom w:val="single" w:sz="8" w:space="0" w:color="000000"/>
                      <w:right w:val="single" w:sz="8" w:space="0" w:color="000000"/>
                    </w:tcBorders>
                    <w:hideMark/>
                  </w:tcPr>
                  <w:p>
                    <w:pPr>
                      <w:spacing w:line="256" w:lineRule="auto"/>
                      <w:ind w:right="70"/>
                      <w:jc w:val="right"/>
                      <w:rPr>
                        <w:color w:val="000000"/>
                        <w:kern w:val="2"/>
                        <w:sz w:val="20"/>
                        <w:lang w:eastAsia="lt-LT"/>
                      </w:rPr>
                    </w:pPr>
                    <w:r>
                      <w:rPr>
                        <w:color w:val="000000"/>
                        <w:kern w:val="2"/>
                        <w:sz w:val="20"/>
                        <w:lang w:eastAsia="lt-LT"/>
                      </w:rPr>
                      <w:t xml:space="preserve">60,3 </w:t>
                    </w:r>
                  </w:p>
                </w:tc>
                <w:tc>
                  <w:tcPr>
                    <w:tcW w:w="4820" w:type="dxa"/>
                    <w:tcBorders>
                      <w:top w:val="single" w:sz="8" w:space="0" w:color="000000"/>
                      <w:left w:val="single" w:sz="8" w:space="0" w:color="000000"/>
                      <w:bottom w:val="single" w:sz="8" w:space="0" w:color="000000"/>
                      <w:right w:val="single" w:sz="8" w:space="0" w:color="000000"/>
                    </w:tcBorders>
                  </w:tcPr>
                  <w:p>
                    <w:pPr>
                      <w:spacing w:line="256" w:lineRule="auto"/>
                      <w:ind w:right="70"/>
                      <w:rPr>
                        <w:color w:val="000000"/>
                        <w:kern w:val="2"/>
                        <w:sz w:val="20"/>
                        <w:lang w:eastAsia="lt-LT"/>
                      </w:rPr>
                    </w:pPr>
                    <w:r>
                      <w:rPr>
                        <w:color w:val="000000"/>
                        <w:kern w:val="2"/>
                        <w:sz w:val="20"/>
                        <w:lang w:eastAsia="lt-LT"/>
                      </w:rPr>
                      <w:t>Dėl neatlikto socialinio būsto remonto</w:t>
                    </w:r>
                  </w:p>
                </w:tc>
              </w:tr>
              <w:tr>
                <w:trPr>
                  <w:trHeight w:val="250"/>
                </w:trPr>
                <w:tc>
                  <w:tcPr>
                    <w:tcW w:w="3943" w:type="dxa"/>
                    <w:tcBorders>
                      <w:top w:val="single" w:sz="8" w:space="0" w:color="000000"/>
                      <w:left w:val="single" w:sz="8" w:space="0" w:color="000000"/>
                      <w:bottom w:val="single" w:sz="8" w:space="0" w:color="000000"/>
                      <w:right w:val="single" w:sz="8" w:space="0" w:color="000000"/>
                    </w:tcBorders>
                  </w:tcPr>
                  <w:p>
                    <w:pPr>
                      <w:spacing w:line="256" w:lineRule="auto"/>
                      <w:rPr>
                        <w:color w:val="000000"/>
                        <w:kern w:val="2"/>
                        <w:sz w:val="20"/>
                        <w:lang w:eastAsia="lt-LT"/>
                      </w:rPr>
                    </w:pPr>
                    <w:r>
                      <w:rPr>
                        <w:color w:val="000000"/>
                        <w:kern w:val="2"/>
                        <w:sz w:val="20"/>
                        <w:lang w:eastAsia="lt-LT"/>
                      </w:rPr>
                      <w:t>Pajamos iš savivaldybės būsto ir pagalbinio ūkio pastatų pardavimo</w:t>
                    </w:r>
                  </w:p>
                </w:tc>
                <w:tc>
                  <w:tcPr>
                    <w:tcW w:w="850" w:type="dxa"/>
                    <w:tcBorders>
                      <w:top w:val="single" w:sz="8" w:space="0" w:color="000000"/>
                      <w:left w:val="single" w:sz="8" w:space="0" w:color="000000"/>
                      <w:bottom w:val="single" w:sz="8" w:space="0" w:color="000000"/>
                      <w:right w:val="single" w:sz="8" w:space="0" w:color="000000"/>
                    </w:tcBorders>
                    <w:hideMark/>
                  </w:tcPr>
                  <w:p>
                    <w:pPr>
                      <w:spacing w:line="256" w:lineRule="auto"/>
                      <w:ind w:right="71"/>
                      <w:jc w:val="right"/>
                      <w:rPr>
                        <w:color w:val="000000"/>
                        <w:kern w:val="2"/>
                        <w:sz w:val="20"/>
                        <w:lang w:eastAsia="lt-LT"/>
                      </w:rPr>
                    </w:pPr>
                    <w:r>
                      <w:rPr>
                        <w:color w:val="000000"/>
                        <w:kern w:val="2"/>
                        <w:sz w:val="20"/>
                        <w:lang w:eastAsia="lt-LT"/>
                      </w:rPr>
                      <w:t xml:space="preserve">159,1 </w:t>
                    </w:r>
                  </w:p>
                </w:tc>
                <w:tc>
                  <w:tcPr>
                    <w:tcW w:w="4820" w:type="dxa"/>
                    <w:tcBorders>
                      <w:top w:val="single" w:sz="8" w:space="0" w:color="000000"/>
                      <w:left w:val="single" w:sz="8" w:space="0" w:color="000000"/>
                      <w:bottom w:val="single" w:sz="8" w:space="0" w:color="000000"/>
                      <w:right w:val="single" w:sz="8" w:space="0" w:color="000000"/>
                    </w:tcBorders>
                  </w:tcPr>
                  <w:p>
                    <w:pPr>
                      <w:spacing w:line="256" w:lineRule="auto"/>
                      <w:ind w:right="70"/>
                      <w:rPr>
                        <w:color w:val="000000"/>
                        <w:kern w:val="2"/>
                        <w:sz w:val="20"/>
                        <w:lang w:eastAsia="lt-LT"/>
                      </w:rPr>
                    </w:pPr>
                    <w:r>
                      <w:rPr>
                        <w:color w:val="000000"/>
                        <w:kern w:val="2"/>
                        <w:sz w:val="20"/>
                        <w:lang w:eastAsia="lt-LT"/>
                      </w:rPr>
                      <w:t xml:space="preserve">Tikslinė lėšų paskirtis tik būsto įsigijimui. 2024 įsigyti 3 būstai. </w:t>
                    </w:r>
                  </w:p>
                </w:tc>
              </w:tr>
              <w:tr>
                <w:trPr>
                  <w:trHeight w:val="250"/>
                </w:trPr>
                <w:tc>
                  <w:tcPr>
                    <w:tcW w:w="3943" w:type="dxa"/>
                    <w:tcBorders>
                      <w:top w:val="single" w:sz="8" w:space="0" w:color="000000"/>
                      <w:left w:val="single" w:sz="8" w:space="0" w:color="000000"/>
                      <w:bottom w:val="single" w:sz="8" w:space="0" w:color="000000"/>
                      <w:right w:val="single" w:sz="8" w:space="0" w:color="000000"/>
                    </w:tcBorders>
                  </w:tcPr>
                  <w:p>
                    <w:pPr>
                      <w:spacing w:line="256" w:lineRule="auto"/>
                      <w:rPr>
                        <w:color w:val="000000"/>
                        <w:kern w:val="2"/>
                        <w:sz w:val="20"/>
                        <w:lang w:eastAsia="lt-LT"/>
                      </w:rPr>
                    </w:pPr>
                    <w:r>
                      <w:rPr>
                        <w:color w:val="000000"/>
                        <w:kern w:val="2"/>
                        <w:sz w:val="20"/>
                        <w:lang w:eastAsia="lt-LT"/>
                      </w:rPr>
                      <w:t>ES projektai</w:t>
                    </w:r>
                  </w:p>
                </w:tc>
                <w:tc>
                  <w:tcPr>
                    <w:tcW w:w="850" w:type="dxa"/>
                    <w:tcBorders>
                      <w:top w:val="single" w:sz="8" w:space="0" w:color="000000"/>
                      <w:left w:val="single" w:sz="8" w:space="0" w:color="000000"/>
                      <w:bottom w:val="single" w:sz="8" w:space="0" w:color="000000"/>
                      <w:right w:val="single" w:sz="8" w:space="0" w:color="000000"/>
                    </w:tcBorders>
                    <w:hideMark/>
                  </w:tcPr>
                  <w:p>
                    <w:pPr>
                      <w:spacing w:line="256" w:lineRule="auto"/>
                      <w:ind w:right="71"/>
                      <w:jc w:val="right"/>
                      <w:rPr>
                        <w:color w:val="000000"/>
                        <w:kern w:val="2"/>
                        <w:sz w:val="20"/>
                        <w:lang w:eastAsia="lt-LT"/>
                      </w:rPr>
                    </w:pPr>
                    <w:r>
                      <w:rPr>
                        <w:color w:val="000000"/>
                        <w:kern w:val="2"/>
                        <w:sz w:val="20"/>
                        <w:lang w:eastAsia="lt-LT"/>
                      </w:rPr>
                      <w:t xml:space="preserve">366,2 </w:t>
                    </w:r>
                  </w:p>
                </w:tc>
                <w:tc>
                  <w:tcPr>
                    <w:tcW w:w="4820" w:type="dxa"/>
                    <w:tcBorders>
                      <w:top w:val="single" w:sz="8" w:space="0" w:color="000000"/>
                      <w:left w:val="single" w:sz="8" w:space="0" w:color="000000"/>
                      <w:bottom w:val="single" w:sz="8" w:space="0" w:color="000000"/>
                      <w:right w:val="single" w:sz="8" w:space="0" w:color="000000"/>
                    </w:tcBorders>
                  </w:tcPr>
                  <w:p>
                    <w:pPr>
                      <w:spacing w:line="256" w:lineRule="auto"/>
                      <w:ind w:right="70"/>
                      <w:rPr>
                        <w:color w:val="000000"/>
                        <w:kern w:val="2"/>
                        <w:sz w:val="20"/>
                        <w:lang w:eastAsia="lt-LT"/>
                      </w:rPr>
                    </w:pPr>
                    <w:r>
                      <w:rPr>
                        <w:color w:val="000000"/>
                        <w:kern w:val="2"/>
                        <w:sz w:val="20"/>
                        <w:lang w:eastAsia="lt-LT"/>
                      </w:rPr>
                      <w:t>Tęstiniai projektai. Vykdymas bus tęsiamas 2025 metais</w:t>
                    </w:r>
                  </w:p>
                </w:tc>
              </w:tr>
              <w:tr>
                <w:trPr>
                  <w:trHeight w:val="480"/>
                </w:trPr>
                <w:tc>
                  <w:tcPr>
                    <w:tcW w:w="3943" w:type="dxa"/>
                    <w:tcBorders>
                      <w:top w:val="single" w:sz="8" w:space="0" w:color="000000"/>
                      <w:left w:val="single" w:sz="8" w:space="0" w:color="000000"/>
                      <w:bottom w:val="single" w:sz="8" w:space="0" w:color="000000"/>
                      <w:right w:val="single" w:sz="8" w:space="0" w:color="000000"/>
                    </w:tcBorders>
                  </w:tcPr>
                  <w:p>
                    <w:pPr>
                      <w:spacing w:line="256" w:lineRule="auto"/>
                      <w:rPr>
                        <w:color w:val="000000"/>
                        <w:kern w:val="2"/>
                        <w:sz w:val="20"/>
                        <w:lang w:eastAsia="lt-LT"/>
                      </w:rPr>
                    </w:pPr>
                    <w:r>
                      <w:rPr>
                        <w:color w:val="000000"/>
                        <w:kern w:val="2"/>
                        <w:sz w:val="20"/>
                        <w:lang w:eastAsia="lt-LT"/>
                      </w:rPr>
                      <w:t>Savivaldybės pajamų likutis</w:t>
                    </w:r>
                  </w:p>
                </w:tc>
                <w:tc>
                  <w:tcPr>
                    <w:tcW w:w="850" w:type="dxa"/>
                    <w:tcBorders>
                      <w:top w:val="single" w:sz="8" w:space="0" w:color="000000"/>
                      <w:left w:val="single" w:sz="8" w:space="0" w:color="000000"/>
                      <w:bottom w:val="single" w:sz="8" w:space="0" w:color="000000"/>
                      <w:right w:val="single" w:sz="8" w:space="0" w:color="000000"/>
                    </w:tcBorders>
                    <w:vAlign w:val="center"/>
                    <w:hideMark/>
                  </w:tcPr>
                  <w:p>
                    <w:pPr>
                      <w:spacing w:line="256" w:lineRule="auto"/>
                      <w:ind w:right="70"/>
                      <w:jc w:val="right"/>
                      <w:rPr>
                        <w:color w:val="000000"/>
                        <w:kern w:val="2"/>
                        <w:sz w:val="20"/>
                        <w:lang w:eastAsia="lt-LT"/>
                      </w:rPr>
                    </w:pPr>
                    <w:r>
                      <w:rPr>
                        <w:color w:val="000000"/>
                        <w:kern w:val="2"/>
                        <w:sz w:val="20"/>
                        <w:lang w:eastAsia="lt-LT"/>
                      </w:rPr>
                      <w:t xml:space="preserve">2 971,1 </w:t>
                    </w:r>
                  </w:p>
                </w:tc>
                <w:tc>
                  <w:tcPr>
                    <w:tcW w:w="4820" w:type="dxa"/>
                    <w:tcBorders>
                      <w:top w:val="single" w:sz="8" w:space="0" w:color="000000"/>
                      <w:left w:val="single" w:sz="8" w:space="0" w:color="000000"/>
                      <w:bottom w:val="single" w:sz="8" w:space="0" w:color="000000"/>
                      <w:right w:val="single" w:sz="8" w:space="0" w:color="000000"/>
                    </w:tcBorders>
                    <w:vAlign w:val="center"/>
                  </w:tcPr>
                  <w:p>
                    <w:pPr>
                      <w:spacing w:line="256" w:lineRule="auto"/>
                      <w:ind w:right="70"/>
                      <w:rPr>
                        <w:color w:val="000000"/>
                        <w:kern w:val="2"/>
                        <w:sz w:val="20"/>
                        <w:lang w:eastAsia="lt-LT"/>
                      </w:rPr>
                    </w:pPr>
                    <w:r>
                      <w:rPr>
                        <w:color w:val="000000"/>
                        <w:kern w:val="2"/>
                        <w:sz w:val="20"/>
                        <w:lang w:eastAsia="lt-LT"/>
                      </w:rPr>
                      <w:t>Dėl viršplaninių GPM pajamų;</w:t>
                    </w:r>
                  </w:p>
                  <w:p>
                    <w:pPr>
                      <w:spacing w:line="256" w:lineRule="auto"/>
                      <w:ind w:right="70"/>
                      <w:rPr>
                        <w:color w:val="000000"/>
                        <w:kern w:val="2"/>
                        <w:sz w:val="20"/>
                        <w:lang w:eastAsia="lt-LT"/>
                      </w:rPr>
                    </w:pPr>
                    <w:r>
                      <w:rPr>
                        <w:color w:val="000000"/>
                        <w:kern w:val="2"/>
                        <w:sz w:val="20"/>
                        <w:lang w:eastAsia="lt-LT"/>
                      </w:rPr>
                      <w:t>Dėl nepanaudotų asignavimų ir pažangos projektų, kurių finansavimas persikelia į 2025 metus</w:t>
                    </w:r>
                  </w:p>
                </w:tc>
              </w:tr>
            </w:tbl>
            <w:p>
              <w:pPr>
                <w:spacing w:line="247" w:lineRule="auto"/>
                <w:ind w:left="-13" w:right="108" w:firstLine="540"/>
                <w:jc w:val="both"/>
                <w:rPr>
                  <w:color w:val="000000"/>
                  <w:kern w:val="2"/>
                  <w:szCs w:val="22"/>
                  <w:lang w:eastAsia="lt-LT"/>
                </w:rPr>
              </w:pPr>
            </w:p>
            <w:p>
              <w:pPr>
                <w:spacing w:line="247" w:lineRule="auto"/>
                <w:ind w:left="-3" w:right="108" w:hanging="10"/>
                <w:jc w:val="both"/>
                <w:rPr>
                  <w:color w:val="000000"/>
                  <w:kern w:val="2"/>
                  <w:szCs w:val="22"/>
                  <w:lang w:eastAsia="lt-LT"/>
                </w:rPr>
              </w:pPr>
            </w:p>
            <w:p>
              <w:pPr>
                <w:keepNext/>
                <w:keepLines/>
                <w:spacing w:line="247" w:lineRule="auto"/>
                <w:ind w:left="564" w:hanging="10"/>
                <w:outlineLvl w:val="1"/>
                <w:rPr>
                  <w:color w:val="000000"/>
                  <w:kern w:val="2"/>
                  <w:sz w:val="22"/>
                  <w:szCs w:val="22"/>
                  <w:lang w:eastAsia="lt-LT"/>
                </w:rPr>
              </w:pPr>
              <w:r>
                <w:rPr>
                  <w:color w:val="000000"/>
                  <w:kern w:val="2"/>
                  <w:sz w:val="22"/>
                  <w:szCs w:val="22"/>
                  <w:lang w:eastAsia="lt-LT"/>
                </w:rPr>
                <w:t>INFORMACIJA APIE SAVIVALDYBIŲ SKOLINIMOSI LIMITŲ LAIKYMĄSI PAGAL 2024 M. GRUODŽIO 31 D. BŪKLĘ</w:t>
              </w:r>
            </w:p>
            <w:p>
              <w:pPr>
                <w:spacing w:line="256" w:lineRule="auto"/>
                <w:ind w:left="773" w:firstLine="62"/>
                <w:jc w:val="center"/>
                <w:rPr>
                  <w:color w:val="000000"/>
                  <w:kern w:val="2"/>
                  <w:szCs w:val="22"/>
                  <w:lang w:eastAsia="lt-LT"/>
                </w:rPr>
              </w:pPr>
            </w:p>
            <w:p>
              <w:pPr>
                <w:spacing w:line="247" w:lineRule="auto"/>
                <w:ind w:left="-13" w:right="108" w:firstLine="708"/>
                <w:jc w:val="both"/>
                <w:rPr>
                  <w:color w:val="000000"/>
                  <w:kern w:val="2"/>
                  <w:szCs w:val="22"/>
                  <w:lang w:eastAsia="lt-LT"/>
                </w:rPr>
              </w:pPr>
              <w:r>
                <w:rPr>
                  <w:color w:val="000000"/>
                  <w:kern w:val="2"/>
                  <w:szCs w:val="22"/>
                  <w:lang w:eastAsia="lt-LT"/>
                </w:rPr>
                <w:t xml:space="preserve">Savivaldybė 2024 metais laikėsi skolinimosi limitų. Neišnaudotas skolinimosi limitas </w:t>
              </w:r>
            </w:p>
            <w:p>
              <w:pPr>
                <w:spacing w:line="247" w:lineRule="auto"/>
                <w:ind w:left="-13" w:right="108" w:firstLine="13"/>
                <w:jc w:val="both"/>
                <w:rPr>
                  <w:color w:val="000000"/>
                  <w:kern w:val="2"/>
                  <w:szCs w:val="22"/>
                  <w:lang w:val="en-GB" w:eastAsia="lt-LT"/>
                </w:rPr>
              </w:pPr>
              <w:r>
                <w:rPr>
                  <w:color w:val="000000"/>
                  <w:kern w:val="2"/>
                  <w:szCs w:val="22"/>
                  <w:lang w:eastAsia="lt-LT"/>
                </w:rPr>
                <w:t xml:space="preserve">2024-12-31 dienai sudarė 26 380,36 tūkst. eurų: </w:t>
              </w:r>
              <w:r>
                <w:rPr>
                  <w:color w:val="000000"/>
                  <w:kern w:val="2"/>
                  <w:szCs w:val="22"/>
                  <w:lang w:val="en-GB" w:eastAsia="lt-LT"/>
                </w:rPr>
                <w:t xml:space="preserve"> </w:t>
              </w:r>
            </w:p>
            <w:p>
              <w:pPr>
                <w:spacing w:line="247" w:lineRule="auto"/>
                <w:ind w:left="-13" w:right="108" w:firstLine="708"/>
                <w:jc w:val="both"/>
                <w:rPr>
                  <w:color w:val="000000"/>
                  <w:kern w:val="2"/>
                  <w:szCs w:val="22"/>
                  <w:lang w:eastAsia="lt-LT"/>
                </w:rPr>
              </w:pPr>
            </w:p>
            <w:p>
              <w:pPr>
                <w:spacing w:line="259" w:lineRule="auto"/>
                <w:rPr>
                  <w:rFonts w:eastAsia="Arial"/>
                  <w:color w:val="000000"/>
                  <w:kern w:val="2"/>
                  <w:szCs w:val="22"/>
                  <w:lang w:eastAsia="lt-LT"/>
                </w:rPr>
              </w:pPr>
              <w:r>
                <w:rPr>
                  <w:rFonts w:eastAsia="Arial"/>
                  <w:color w:val="000000"/>
                  <w:kern w:val="2"/>
                  <w:sz w:val="22"/>
                  <w:szCs w:val="22"/>
                  <w:lang w:eastAsia="lt-LT"/>
                </w:rPr>
                <w:t>5 lentelė. Skolinimosi limitai.</w:t>
              </w:r>
            </w:p>
            <w:tbl>
              <w:tblPr>
                <w:tblW w:w="9638" w:type="dxa"/>
                <w:tblInd w:w="5" w:type="dxa"/>
                <w:tblCellMar>
                  <w:top w:w="5" w:type="dxa"/>
                </w:tblCellMar>
                <w:tblLook w:val="04A0" w:firstRow="1" w:lastRow="0" w:firstColumn="1" w:lastColumn="0" w:noHBand="0" w:noVBand="1"/>
              </w:tblPr>
              <w:tblGrid>
                <w:gridCol w:w="593"/>
                <w:gridCol w:w="7776"/>
                <w:gridCol w:w="1269"/>
              </w:tblGrid>
              <w:tr>
                <w:trPr>
                  <w:trHeight w:val="516"/>
                </w:trPr>
                <w:tc>
                  <w:tcPr>
                    <w:tcW w:w="593" w:type="dxa"/>
                    <w:tcBorders>
                      <w:top w:val="single" w:sz="4" w:space="0" w:color="000000"/>
                      <w:left w:val="single" w:sz="4" w:space="0" w:color="000000"/>
                      <w:bottom w:val="single" w:sz="4" w:space="0" w:color="000000"/>
                      <w:right w:val="single" w:sz="4" w:space="0" w:color="000000"/>
                    </w:tcBorders>
                  </w:tcPr>
                  <w:p>
                    <w:pPr>
                      <w:spacing w:line="259" w:lineRule="auto"/>
                      <w:jc w:val="center"/>
                      <w:rPr>
                        <w:rFonts w:eastAsia="Arial"/>
                        <w:color w:val="000000"/>
                        <w:kern w:val="2"/>
                        <w:szCs w:val="22"/>
                        <w:lang w:eastAsia="lt-LT"/>
                      </w:rPr>
                    </w:pPr>
                    <w:r>
                      <w:rPr>
                        <w:rFonts w:eastAsia="Arial"/>
                        <w:b/>
                        <w:color w:val="000000"/>
                        <w:kern w:val="2"/>
                        <w:sz w:val="22"/>
                        <w:szCs w:val="22"/>
                        <w:lang w:eastAsia="lt-LT"/>
                      </w:rPr>
                      <w:t>Eil. Nr.</w:t>
                    </w:r>
                  </w:p>
                </w:tc>
                <w:tc>
                  <w:tcPr>
                    <w:tcW w:w="7776" w:type="dxa"/>
                    <w:tcBorders>
                      <w:top w:val="single" w:sz="4" w:space="0" w:color="000000"/>
                      <w:left w:val="single" w:sz="4" w:space="0" w:color="000000"/>
                      <w:bottom w:val="single" w:sz="4" w:space="0" w:color="000000"/>
                      <w:right w:val="single" w:sz="4" w:space="0" w:color="000000"/>
                    </w:tcBorders>
                    <w:vAlign w:val="center"/>
                  </w:tcPr>
                  <w:p>
                    <w:pPr>
                      <w:spacing w:line="259" w:lineRule="auto"/>
                      <w:ind w:right="1"/>
                      <w:jc w:val="center"/>
                      <w:rPr>
                        <w:rFonts w:eastAsia="Arial"/>
                        <w:color w:val="000000"/>
                        <w:kern w:val="2"/>
                        <w:szCs w:val="22"/>
                        <w:lang w:eastAsia="lt-LT"/>
                      </w:rPr>
                    </w:pPr>
                    <w:r>
                      <w:rPr>
                        <w:rFonts w:eastAsia="Arial"/>
                        <w:b/>
                        <w:color w:val="000000"/>
                        <w:kern w:val="2"/>
                        <w:sz w:val="22"/>
                        <w:szCs w:val="22"/>
                        <w:lang w:eastAsia="lt-LT"/>
                      </w:rPr>
                      <w:t>Rodikliai</w:t>
                    </w:r>
                  </w:p>
                </w:tc>
                <w:tc>
                  <w:tcPr>
                    <w:tcW w:w="1269" w:type="dxa"/>
                    <w:tcBorders>
                      <w:top w:val="single" w:sz="4" w:space="0" w:color="000000"/>
                      <w:left w:val="single" w:sz="4" w:space="0" w:color="000000"/>
                      <w:bottom w:val="single" w:sz="4" w:space="0" w:color="000000"/>
                      <w:right w:val="single" w:sz="4" w:space="0" w:color="000000"/>
                    </w:tcBorders>
                  </w:tcPr>
                  <w:p>
                    <w:pPr>
                      <w:spacing w:line="259" w:lineRule="auto"/>
                      <w:jc w:val="center"/>
                      <w:rPr>
                        <w:rFonts w:eastAsia="Arial"/>
                        <w:color w:val="000000"/>
                        <w:kern w:val="2"/>
                        <w:szCs w:val="22"/>
                        <w:lang w:eastAsia="lt-LT"/>
                      </w:rPr>
                    </w:pPr>
                    <w:r>
                      <w:rPr>
                        <w:rFonts w:eastAsia="Arial"/>
                        <w:b/>
                        <w:color w:val="000000"/>
                        <w:kern w:val="2"/>
                        <w:sz w:val="22"/>
                        <w:szCs w:val="22"/>
                        <w:lang w:eastAsia="lt-LT"/>
                      </w:rPr>
                      <w:t>Dydis, tūkst. Eur</w:t>
                    </w:r>
                  </w:p>
                </w:tc>
              </w:tr>
              <w:tr>
                <w:trPr>
                  <w:trHeight w:val="263"/>
                </w:trPr>
                <w:tc>
                  <w:tcPr>
                    <w:tcW w:w="593" w:type="dxa"/>
                    <w:tcBorders>
                      <w:top w:val="single" w:sz="4" w:space="0" w:color="000000"/>
                      <w:left w:val="single" w:sz="4" w:space="0" w:color="000000"/>
                      <w:bottom w:val="single" w:sz="4" w:space="0" w:color="000000"/>
                      <w:right w:val="single" w:sz="4" w:space="0" w:color="000000"/>
                    </w:tcBorders>
                  </w:tcPr>
                  <w:p>
                    <w:pPr>
                      <w:spacing w:line="259" w:lineRule="auto"/>
                      <w:jc w:val="center"/>
                      <w:rPr>
                        <w:rFonts w:eastAsia="Arial"/>
                        <w:color w:val="000000"/>
                        <w:kern w:val="2"/>
                        <w:szCs w:val="22"/>
                        <w:lang w:eastAsia="lt-LT"/>
                      </w:rPr>
                    </w:pPr>
                    <w:r>
                      <w:rPr>
                        <w:rFonts w:eastAsia="Arial"/>
                        <w:color w:val="000000"/>
                        <w:kern w:val="2"/>
                        <w:sz w:val="22"/>
                        <w:szCs w:val="22"/>
                        <w:lang w:eastAsia="lt-LT"/>
                      </w:rPr>
                      <w:t>1.</w:t>
                    </w:r>
                  </w:p>
                </w:tc>
                <w:tc>
                  <w:tcPr>
                    <w:tcW w:w="7776" w:type="dxa"/>
                    <w:tcBorders>
                      <w:top w:val="single" w:sz="4" w:space="0" w:color="000000"/>
                      <w:left w:val="single" w:sz="4" w:space="0" w:color="000000"/>
                      <w:bottom w:val="single" w:sz="4" w:space="0" w:color="000000"/>
                      <w:right w:val="single" w:sz="4" w:space="0" w:color="000000"/>
                    </w:tcBorders>
                  </w:tcPr>
                  <w:p>
                    <w:pPr>
                      <w:spacing w:line="259" w:lineRule="auto"/>
                      <w:rPr>
                        <w:rFonts w:eastAsia="Arial"/>
                        <w:color w:val="000000"/>
                        <w:kern w:val="2"/>
                        <w:szCs w:val="22"/>
                        <w:lang w:eastAsia="lt-LT"/>
                      </w:rPr>
                    </w:pPr>
                    <w:r>
                      <w:rPr>
                        <w:rFonts w:eastAsia="Arial"/>
                        <w:color w:val="000000"/>
                        <w:kern w:val="2"/>
                        <w:sz w:val="22"/>
                        <w:szCs w:val="22"/>
                        <w:lang w:eastAsia="lt-LT"/>
                      </w:rPr>
                      <w:t>Limitas</w:t>
                    </w:r>
                  </w:p>
                </w:tc>
                <w:tc>
                  <w:tcPr>
                    <w:tcW w:w="1269" w:type="dxa"/>
                    <w:tcBorders>
                      <w:top w:val="single" w:sz="4" w:space="0" w:color="000000"/>
                      <w:left w:val="single" w:sz="4" w:space="0" w:color="000000"/>
                      <w:bottom w:val="single" w:sz="4" w:space="0" w:color="000000"/>
                      <w:right w:val="single" w:sz="4" w:space="0" w:color="000000"/>
                    </w:tcBorders>
                  </w:tcPr>
                  <w:p>
                    <w:pPr>
                      <w:spacing w:line="259" w:lineRule="auto"/>
                      <w:jc w:val="center"/>
                      <w:rPr>
                        <w:rFonts w:eastAsia="Arial"/>
                        <w:color w:val="000000"/>
                        <w:kern w:val="2"/>
                        <w:szCs w:val="22"/>
                        <w:lang w:eastAsia="lt-LT"/>
                      </w:rPr>
                    </w:pPr>
                    <w:r>
                      <w:rPr>
                        <w:rFonts w:eastAsia="Arial"/>
                        <w:color w:val="000000"/>
                        <w:kern w:val="2"/>
                        <w:sz w:val="22"/>
                        <w:szCs w:val="22"/>
                        <w:lang w:eastAsia="lt-LT"/>
                      </w:rPr>
                      <w:t>60 proc.</w:t>
                    </w:r>
                  </w:p>
                </w:tc>
              </w:tr>
              <w:tr>
                <w:trPr>
                  <w:trHeight w:val="263"/>
                </w:trPr>
                <w:tc>
                  <w:tcPr>
                    <w:tcW w:w="593" w:type="dxa"/>
                    <w:tcBorders>
                      <w:top w:val="single" w:sz="4" w:space="0" w:color="000000"/>
                      <w:left w:val="single" w:sz="4" w:space="0" w:color="000000"/>
                      <w:bottom w:val="single" w:sz="4" w:space="0" w:color="000000"/>
                      <w:right w:val="single" w:sz="4" w:space="0" w:color="000000"/>
                    </w:tcBorders>
                  </w:tcPr>
                  <w:p>
                    <w:pPr>
                      <w:spacing w:line="259" w:lineRule="auto"/>
                      <w:jc w:val="center"/>
                      <w:rPr>
                        <w:rFonts w:eastAsia="Arial"/>
                        <w:color w:val="000000"/>
                        <w:kern w:val="2"/>
                        <w:szCs w:val="22"/>
                        <w:lang w:eastAsia="lt-LT"/>
                      </w:rPr>
                    </w:pPr>
                    <w:r>
                      <w:rPr>
                        <w:rFonts w:eastAsia="Arial"/>
                        <w:color w:val="000000"/>
                        <w:kern w:val="2"/>
                        <w:sz w:val="22"/>
                        <w:szCs w:val="22"/>
                        <w:lang w:eastAsia="lt-LT"/>
                      </w:rPr>
                      <w:t>2.</w:t>
                    </w:r>
                  </w:p>
                </w:tc>
                <w:tc>
                  <w:tcPr>
                    <w:tcW w:w="7776" w:type="dxa"/>
                    <w:tcBorders>
                      <w:top w:val="single" w:sz="4" w:space="0" w:color="000000"/>
                      <w:left w:val="single" w:sz="4" w:space="0" w:color="000000"/>
                      <w:bottom w:val="single" w:sz="4" w:space="0" w:color="000000"/>
                      <w:right w:val="single" w:sz="4" w:space="0" w:color="000000"/>
                    </w:tcBorders>
                  </w:tcPr>
                  <w:p>
                    <w:pPr>
                      <w:spacing w:line="259" w:lineRule="auto"/>
                      <w:rPr>
                        <w:rFonts w:eastAsia="Arial"/>
                        <w:color w:val="000000"/>
                        <w:kern w:val="2"/>
                        <w:szCs w:val="22"/>
                        <w:lang w:eastAsia="lt-LT"/>
                      </w:rPr>
                    </w:pPr>
                    <w:r>
                      <w:rPr>
                        <w:rFonts w:eastAsia="Arial"/>
                        <w:color w:val="000000"/>
                        <w:kern w:val="2"/>
                        <w:sz w:val="22"/>
                        <w:szCs w:val="22"/>
                        <w:lang w:eastAsia="lt-LT"/>
                      </w:rPr>
                      <w:t>2024 metų gautos pajamos, iš jų:</w:t>
                    </w:r>
                  </w:p>
                </w:tc>
                <w:tc>
                  <w:tcPr>
                    <w:tcW w:w="1269" w:type="dxa"/>
                    <w:tcBorders>
                      <w:top w:val="single" w:sz="4" w:space="0" w:color="000000"/>
                      <w:left w:val="single" w:sz="4" w:space="0" w:color="000000"/>
                      <w:bottom w:val="single" w:sz="4" w:space="0" w:color="000000"/>
                      <w:right w:val="single" w:sz="4" w:space="0" w:color="000000"/>
                    </w:tcBorders>
                    <w:vAlign w:val="bottom"/>
                  </w:tcPr>
                  <w:p>
                    <w:pPr>
                      <w:spacing w:line="259" w:lineRule="auto"/>
                      <w:ind w:left="98"/>
                      <w:jc w:val="right"/>
                      <w:rPr>
                        <w:rFonts w:eastAsia="Arial"/>
                        <w:color w:val="000000"/>
                        <w:kern w:val="2"/>
                        <w:sz w:val="22"/>
                        <w:szCs w:val="22"/>
                        <w:lang w:eastAsia="lt-LT"/>
                      </w:rPr>
                    </w:pPr>
                    <w:r>
                      <w:rPr>
                        <w:rFonts w:eastAsia="Arial"/>
                        <w:color w:val="000000"/>
                        <w:kern w:val="2"/>
                        <w:sz w:val="22"/>
                        <w:szCs w:val="22"/>
                        <w:lang w:eastAsia="lt-LT"/>
                      </w:rPr>
                      <w:t>74 243,60</w:t>
                    </w:r>
                  </w:p>
                </w:tc>
              </w:tr>
              <w:tr>
                <w:trPr>
                  <w:trHeight w:val="263"/>
                </w:trPr>
                <w:tc>
                  <w:tcPr>
                    <w:tcW w:w="593" w:type="dxa"/>
                    <w:tcBorders>
                      <w:top w:val="single" w:sz="4" w:space="0" w:color="000000"/>
                      <w:left w:val="single" w:sz="4" w:space="0" w:color="000000"/>
                      <w:bottom w:val="single" w:sz="4" w:space="0" w:color="000000"/>
                      <w:right w:val="single" w:sz="4" w:space="0" w:color="000000"/>
                    </w:tcBorders>
                  </w:tcPr>
                  <w:p>
                    <w:pPr>
                      <w:spacing w:line="259" w:lineRule="auto"/>
                      <w:ind w:left="5"/>
                      <w:rPr>
                        <w:rFonts w:eastAsia="Arial"/>
                        <w:color w:val="000000"/>
                        <w:kern w:val="2"/>
                        <w:szCs w:val="22"/>
                        <w:lang w:eastAsia="lt-LT"/>
                      </w:rPr>
                    </w:pPr>
                    <w:r>
                      <w:rPr>
                        <w:rFonts w:eastAsia="Arial"/>
                        <w:color w:val="000000"/>
                        <w:kern w:val="2"/>
                        <w:sz w:val="22"/>
                        <w:szCs w:val="22"/>
                        <w:lang w:eastAsia="lt-LT"/>
                      </w:rPr>
                      <w:t>2.1.</w:t>
                    </w:r>
                  </w:p>
                </w:tc>
                <w:tc>
                  <w:tcPr>
                    <w:tcW w:w="7776" w:type="dxa"/>
                    <w:tcBorders>
                      <w:top w:val="single" w:sz="4" w:space="0" w:color="000000"/>
                      <w:left w:val="single" w:sz="4" w:space="0" w:color="000000"/>
                      <w:bottom w:val="single" w:sz="4" w:space="0" w:color="000000"/>
                      <w:right w:val="single" w:sz="4" w:space="0" w:color="000000"/>
                    </w:tcBorders>
                  </w:tcPr>
                  <w:p>
                    <w:pPr>
                      <w:spacing w:line="259" w:lineRule="auto"/>
                      <w:rPr>
                        <w:rFonts w:eastAsia="Arial"/>
                        <w:color w:val="000000"/>
                        <w:kern w:val="2"/>
                        <w:szCs w:val="22"/>
                        <w:lang w:eastAsia="lt-LT"/>
                      </w:rPr>
                    </w:pPr>
                    <w:r>
                      <w:rPr>
                        <w:rFonts w:eastAsia="Arial"/>
                        <w:color w:val="000000"/>
                        <w:kern w:val="2"/>
                        <w:sz w:val="22"/>
                        <w:szCs w:val="22"/>
                        <w:lang w:eastAsia="lt-LT"/>
                      </w:rPr>
                      <w:t>2024 metais gautos pajamos iš gyventojų pajamų mokesčio;</w:t>
                    </w:r>
                  </w:p>
                </w:tc>
                <w:tc>
                  <w:tcPr>
                    <w:tcW w:w="1269" w:type="dxa"/>
                    <w:tcBorders>
                      <w:top w:val="single" w:sz="4" w:space="0" w:color="000000"/>
                      <w:left w:val="single" w:sz="4" w:space="0" w:color="000000"/>
                      <w:bottom w:val="single" w:sz="4" w:space="0" w:color="000000"/>
                      <w:right w:val="single" w:sz="4" w:space="0" w:color="000000"/>
                    </w:tcBorders>
                    <w:vAlign w:val="bottom"/>
                  </w:tcPr>
                  <w:p>
                    <w:pPr>
                      <w:spacing w:line="259" w:lineRule="auto"/>
                      <w:ind w:left="98"/>
                      <w:jc w:val="right"/>
                      <w:rPr>
                        <w:rFonts w:eastAsia="Arial"/>
                        <w:color w:val="000000"/>
                        <w:kern w:val="2"/>
                        <w:sz w:val="22"/>
                        <w:szCs w:val="22"/>
                        <w:lang w:eastAsia="lt-LT"/>
                      </w:rPr>
                    </w:pPr>
                    <w:r>
                      <w:rPr>
                        <w:rFonts w:eastAsia="Arial"/>
                        <w:color w:val="000000"/>
                        <w:kern w:val="2"/>
                        <w:sz w:val="22"/>
                        <w:szCs w:val="22"/>
                        <w:lang w:eastAsia="lt-LT"/>
                      </w:rPr>
                      <w:t>38 705,80</w:t>
                    </w:r>
                  </w:p>
                </w:tc>
              </w:tr>
              <w:tr>
                <w:trPr>
                  <w:trHeight w:val="516"/>
                </w:trPr>
                <w:tc>
                  <w:tcPr>
                    <w:tcW w:w="593" w:type="dxa"/>
                    <w:tcBorders>
                      <w:top w:val="single" w:sz="4" w:space="0" w:color="000000"/>
                      <w:left w:val="single" w:sz="4" w:space="0" w:color="000000"/>
                      <w:bottom w:val="single" w:sz="4" w:space="0" w:color="000000"/>
                      <w:right w:val="single" w:sz="4" w:space="0" w:color="000000"/>
                    </w:tcBorders>
                  </w:tcPr>
                  <w:p>
                    <w:pPr>
                      <w:spacing w:line="259" w:lineRule="auto"/>
                      <w:ind w:left="5"/>
                      <w:rPr>
                        <w:rFonts w:eastAsia="Arial"/>
                        <w:color w:val="000000"/>
                        <w:kern w:val="2"/>
                        <w:szCs w:val="22"/>
                        <w:lang w:eastAsia="lt-LT"/>
                      </w:rPr>
                    </w:pPr>
                    <w:r>
                      <w:rPr>
                        <w:rFonts w:eastAsia="Arial"/>
                        <w:color w:val="000000"/>
                        <w:kern w:val="2"/>
                        <w:sz w:val="22"/>
                        <w:szCs w:val="22"/>
                        <w:lang w:eastAsia="lt-LT"/>
                      </w:rPr>
                      <w:t>2.2.</w:t>
                    </w:r>
                  </w:p>
                </w:tc>
                <w:tc>
                  <w:tcPr>
                    <w:tcW w:w="7776" w:type="dxa"/>
                    <w:tcBorders>
                      <w:top w:val="single" w:sz="4" w:space="0" w:color="000000"/>
                      <w:left w:val="single" w:sz="4" w:space="0" w:color="000000"/>
                      <w:bottom w:val="single" w:sz="4" w:space="0" w:color="000000"/>
                      <w:right w:val="single" w:sz="4" w:space="0" w:color="000000"/>
                    </w:tcBorders>
                  </w:tcPr>
                  <w:p>
                    <w:pPr>
                      <w:spacing w:line="259" w:lineRule="auto"/>
                      <w:jc w:val="both"/>
                      <w:rPr>
                        <w:rFonts w:eastAsia="Arial"/>
                        <w:color w:val="000000"/>
                        <w:kern w:val="2"/>
                        <w:szCs w:val="22"/>
                        <w:lang w:eastAsia="lt-LT"/>
                      </w:rPr>
                    </w:pPr>
                    <w:r>
                      <w:rPr>
                        <w:rFonts w:eastAsia="Arial"/>
                        <w:color w:val="000000"/>
                        <w:kern w:val="2"/>
                        <w:sz w:val="22"/>
                        <w:szCs w:val="22"/>
                        <w:lang w:eastAsia="lt-LT"/>
                      </w:rPr>
                      <w:t>2024 metais gauta valstybės biudžeto dotacijų ir Europos Sąjungos ir kitos tarptautinės finansinės paramos;</w:t>
                    </w:r>
                  </w:p>
                </w:tc>
                <w:tc>
                  <w:tcPr>
                    <w:tcW w:w="1269" w:type="dxa"/>
                    <w:tcBorders>
                      <w:top w:val="single" w:sz="4" w:space="0" w:color="000000"/>
                      <w:left w:val="single" w:sz="4" w:space="0" w:color="000000"/>
                      <w:bottom w:val="single" w:sz="4" w:space="0" w:color="000000"/>
                      <w:right w:val="single" w:sz="4" w:space="0" w:color="000000"/>
                    </w:tcBorders>
                    <w:vAlign w:val="bottom"/>
                  </w:tcPr>
                  <w:p>
                    <w:pPr>
                      <w:spacing w:line="259" w:lineRule="auto"/>
                      <w:ind w:left="98"/>
                      <w:jc w:val="right"/>
                      <w:rPr>
                        <w:rFonts w:eastAsia="Arial"/>
                        <w:color w:val="000000"/>
                        <w:kern w:val="2"/>
                        <w:sz w:val="22"/>
                        <w:szCs w:val="22"/>
                        <w:lang w:eastAsia="lt-LT"/>
                      </w:rPr>
                    </w:pPr>
                    <w:r>
                      <w:rPr>
                        <w:rFonts w:eastAsia="Arial"/>
                        <w:color w:val="000000"/>
                        <w:kern w:val="2"/>
                        <w:sz w:val="22"/>
                        <w:szCs w:val="22"/>
                        <w:lang w:eastAsia="lt-LT"/>
                      </w:rPr>
                      <w:t>27 406,00</w:t>
                    </w:r>
                  </w:p>
                </w:tc>
              </w:tr>
              <w:tr>
                <w:trPr>
                  <w:trHeight w:val="769"/>
                </w:trPr>
                <w:tc>
                  <w:tcPr>
                    <w:tcW w:w="593" w:type="dxa"/>
                    <w:tcBorders>
                      <w:top w:val="single" w:sz="4" w:space="0" w:color="000000"/>
                      <w:left w:val="single" w:sz="4" w:space="0" w:color="000000"/>
                      <w:bottom w:val="single" w:sz="4" w:space="0" w:color="000000"/>
                      <w:right w:val="single" w:sz="4" w:space="0" w:color="000000"/>
                    </w:tcBorders>
                  </w:tcPr>
                  <w:p>
                    <w:pPr>
                      <w:spacing w:line="259" w:lineRule="auto"/>
                      <w:jc w:val="center"/>
                      <w:rPr>
                        <w:rFonts w:eastAsia="Arial"/>
                        <w:color w:val="000000"/>
                        <w:kern w:val="2"/>
                        <w:szCs w:val="22"/>
                        <w:lang w:eastAsia="lt-LT"/>
                      </w:rPr>
                    </w:pPr>
                    <w:r>
                      <w:rPr>
                        <w:rFonts w:eastAsia="Arial"/>
                        <w:color w:val="000000"/>
                        <w:kern w:val="2"/>
                        <w:sz w:val="22"/>
                        <w:szCs w:val="22"/>
                        <w:lang w:eastAsia="lt-LT"/>
                      </w:rPr>
                      <w:t>6.</w:t>
                    </w:r>
                  </w:p>
                </w:tc>
                <w:tc>
                  <w:tcPr>
                    <w:tcW w:w="7776" w:type="dxa"/>
                    <w:tcBorders>
                      <w:top w:val="single" w:sz="4" w:space="0" w:color="000000"/>
                      <w:left w:val="single" w:sz="4" w:space="0" w:color="000000"/>
                      <w:bottom w:val="single" w:sz="4" w:space="0" w:color="000000"/>
                      <w:right w:val="single" w:sz="4" w:space="0" w:color="000000"/>
                    </w:tcBorders>
                  </w:tcPr>
                  <w:p>
                    <w:pPr>
                      <w:spacing w:line="259" w:lineRule="auto"/>
                      <w:jc w:val="both"/>
                      <w:rPr>
                        <w:rFonts w:eastAsia="Arial"/>
                        <w:color w:val="000000"/>
                        <w:kern w:val="2"/>
                        <w:szCs w:val="22"/>
                        <w:lang w:eastAsia="lt-LT"/>
                      </w:rPr>
                    </w:pPr>
                    <w:r>
                      <w:rPr>
                        <w:rFonts w:eastAsia="Arial"/>
                        <w:color w:val="000000"/>
                        <w:kern w:val="2"/>
                        <w:sz w:val="22"/>
                        <w:szCs w:val="22"/>
                        <w:lang w:eastAsia="lt-LT"/>
                      </w:rPr>
                      <w:t>Savivaldybės 2024 metų biudžeto pajamos be pajamų iš gyventojų pajamų mokesčio ir valstybės biudžeto dotacijų ir Europos Sąjungos ir kitos tarptautinės finansinės paramos (3 - 3.1 - 3.2).</w:t>
                    </w:r>
                  </w:p>
                </w:tc>
                <w:tc>
                  <w:tcPr>
                    <w:tcW w:w="1269" w:type="dxa"/>
                    <w:tcBorders>
                      <w:top w:val="single" w:sz="4" w:space="0" w:color="000000"/>
                      <w:left w:val="single" w:sz="4" w:space="0" w:color="000000"/>
                      <w:bottom w:val="single" w:sz="4" w:space="0" w:color="000000"/>
                      <w:right w:val="single" w:sz="4" w:space="0" w:color="000000"/>
                    </w:tcBorders>
                    <w:vAlign w:val="bottom"/>
                  </w:tcPr>
                  <w:p>
                    <w:pPr>
                      <w:spacing w:line="259" w:lineRule="auto"/>
                      <w:ind w:right="1"/>
                      <w:jc w:val="right"/>
                      <w:rPr>
                        <w:rFonts w:eastAsia="Arial"/>
                        <w:color w:val="000000"/>
                        <w:kern w:val="2"/>
                        <w:sz w:val="22"/>
                        <w:szCs w:val="22"/>
                        <w:lang w:eastAsia="lt-LT"/>
                      </w:rPr>
                    </w:pPr>
                    <w:r>
                      <w:rPr>
                        <w:rFonts w:eastAsia="Arial"/>
                        <w:color w:val="000000"/>
                        <w:kern w:val="2"/>
                        <w:sz w:val="22"/>
                        <w:szCs w:val="22"/>
                        <w:lang w:eastAsia="lt-LT"/>
                      </w:rPr>
                      <w:t>8 131,80</w:t>
                    </w:r>
                  </w:p>
                </w:tc>
              </w:tr>
              <w:tr>
                <w:trPr>
                  <w:trHeight w:val="263"/>
                </w:trPr>
                <w:tc>
                  <w:tcPr>
                    <w:tcW w:w="593" w:type="dxa"/>
                    <w:tcBorders>
                      <w:top w:val="single" w:sz="4" w:space="0" w:color="000000"/>
                      <w:left w:val="single" w:sz="4" w:space="0" w:color="000000"/>
                      <w:bottom w:val="single" w:sz="4" w:space="0" w:color="000000"/>
                      <w:right w:val="single" w:sz="4" w:space="0" w:color="000000"/>
                    </w:tcBorders>
                  </w:tcPr>
                  <w:p>
                    <w:pPr>
                      <w:spacing w:line="259" w:lineRule="auto"/>
                      <w:jc w:val="center"/>
                      <w:rPr>
                        <w:rFonts w:eastAsia="Arial"/>
                        <w:color w:val="000000"/>
                        <w:kern w:val="2"/>
                        <w:szCs w:val="22"/>
                        <w:lang w:eastAsia="lt-LT"/>
                      </w:rPr>
                    </w:pPr>
                    <w:r>
                      <w:rPr>
                        <w:rFonts w:eastAsia="Arial"/>
                        <w:color w:val="000000"/>
                        <w:kern w:val="2"/>
                        <w:sz w:val="22"/>
                        <w:szCs w:val="22"/>
                        <w:lang w:eastAsia="lt-LT"/>
                      </w:rPr>
                      <w:t>7.</w:t>
                    </w:r>
                  </w:p>
                </w:tc>
                <w:tc>
                  <w:tcPr>
                    <w:tcW w:w="7776" w:type="dxa"/>
                    <w:tcBorders>
                      <w:top w:val="single" w:sz="4" w:space="0" w:color="000000"/>
                      <w:left w:val="single" w:sz="4" w:space="0" w:color="000000"/>
                      <w:bottom w:val="single" w:sz="4" w:space="0" w:color="000000"/>
                      <w:right w:val="single" w:sz="4" w:space="0" w:color="000000"/>
                    </w:tcBorders>
                  </w:tcPr>
                  <w:p>
                    <w:pPr>
                      <w:spacing w:line="259" w:lineRule="auto"/>
                      <w:rPr>
                        <w:rFonts w:eastAsia="Arial"/>
                        <w:color w:val="000000"/>
                        <w:kern w:val="2"/>
                        <w:szCs w:val="22"/>
                        <w:lang w:eastAsia="lt-LT"/>
                      </w:rPr>
                    </w:pPr>
                    <w:r>
                      <w:rPr>
                        <w:rFonts w:eastAsia="Arial"/>
                        <w:color w:val="000000"/>
                        <w:kern w:val="2"/>
                        <w:sz w:val="22"/>
                        <w:szCs w:val="22"/>
                        <w:lang w:eastAsia="lt-LT"/>
                      </w:rPr>
                      <w:t>Pajamos nuo kurių skaičiuojamas skolos limitas (1 + 6).</w:t>
                    </w:r>
                  </w:p>
                </w:tc>
                <w:tc>
                  <w:tcPr>
                    <w:tcW w:w="1269" w:type="dxa"/>
                    <w:tcBorders>
                      <w:top w:val="single" w:sz="4" w:space="0" w:color="000000"/>
                      <w:left w:val="single" w:sz="4" w:space="0" w:color="000000"/>
                      <w:bottom w:val="single" w:sz="4" w:space="0" w:color="000000"/>
                      <w:right w:val="single" w:sz="4" w:space="0" w:color="000000"/>
                    </w:tcBorders>
                    <w:vAlign w:val="bottom"/>
                  </w:tcPr>
                  <w:p>
                    <w:pPr>
                      <w:spacing w:line="259" w:lineRule="auto"/>
                      <w:ind w:left="98"/>
                      <w:jc w:val="right"/>
                      <w:rPr>
                        <w:rFonts w:eastAsia="Arial"/>
                        <w:color w:val="000000"/>
                        <w:kern w:val="2"/>
                        <w:sz w:val="22"/>
                        <w:szCs w:val="22"/>
                        <w:lang w:eastAsia="lt-LT"/>
                      </w:rPr>
                    </w:pPr>
                    <w:r>
                      <w:rPr>
                        <w:rFonts w:eastAsia="Arial"/>
                        <w:color w:val="000000"/>
                        <w:kern w:val="2"/>
                        <w:sz w:val="22"/>
                        <w:szCs w:val="22"/>
                        <w:lang w:eastAsia="lt-LT"/>
                      </w:rPr>
                      <w:t>46 837,60</w:t>
                    </w:r>
                  </w:p>
                </w:tc>
              </w:tr>
              <w:tr>
                <w:trPr>
                  <w:trHeight w:val="263"/>
                </w:trPr>
                <w:tc>
                  <w:tcPr>
                    <w:tcW w:w="593" w:type="dxa"/>
                    <w:tcBorders>
                      <w:top w:val="single" w:sz="4" w:space="0" w:color="000000"/>
                      <w:left w:val="single" w:sz="4" w:space="0" w:color="000000"/>
                      <w:bottom w:val="single" w:sz="4" w:space="0" w:color="000000"/>
                      <w:right w:val="single" w:sz="4" w:space="0" w:color="000000"/>
                    </w:tcBorders>
                  </w:tcPr>
                  <w:p>
                    <w:pPr>
                      <w:spacing w:line="259" w:lineRule="auto"/>
                      <w:jc w:val="center"/>
                      <w:rPr>
                        <w:rFonts w:eastAsia="Arial"/>
                        <w:color w:val="000000"/>
                        <w:kern w:val="2"/>
                        <w:szCs w:val="22"/>
                        <w:lang w:eastAsia="lt-LT"/>
                      </w:rPr>
                    </w:pPr>
                    <w:r>
                      <w:rPr>
                        <w:rFonts w:eastAsia="Arial"/>
                        <w:color w:val="000000"/>
                        <w:kern w:val="2"/>
                        <w:sz w:val="22"/>
                        <w:szCs w:val="22"/>
                        <w:lang w:eastAsia="lt-LT"/>
                      </w:rPr>
                      <w:t>9.</w:t>
                    </w:r>
                  </w:p>
                </w:tc>
                <w:tc>
                  <w:tcPr>
                    <w:tcW w:w="7776" w:type="dxa"/>
                    <w:tcBorders>
                      <w:top w:val="single" w:sz="4" w:space="0" w:color="000000"/>
                      <w:left w:val="single" w:sz="4" w:space="0" w:color="000000"/>
                      <w:bottom w:val="single" w:sz="4" w:space="0" w:color="000000"/>
                      <w:right w:val="single" w:sz="4" w:space="0" w:color="000000"/>
                    </w:tcBorders>
                  </w:tcPr>
                  <w:p>
                    <w:pPr>
                      <w:spacing w:line="259" w:lineRule="auto"/>
                      <w:rPr>
                        <w:rFonts w:eastAsia="Arial"/>
                        <w:color w:val="000000"/>
                        <w:kern w:val="2"/>
                        <w:szCs w:val="22"/>
                        <w:lang w:eastAsia="lt-LT"/>
                      </w:rPr>
                    </w:pPr>
                    <w:r>
                      <w:rPr>
                        <w:rFonts w:eastAsia="Arial"/>
                        <w:color w:val="000000"/>
                        <w:kern w:val="2"/>
                        <w:sz w:val="22"/>
                        <w:szCs w:val="22"/>
                        <w:lang w:eastAsia="lt-LT"/>
                      </w:rPr>
                      <w:t>Savivaldybės skolinių įsipareigojimų likutis 2023-12-31.</w:t>
                    </w:r>
                  </w:p>
                </w:tc>
                <w:tc>
                  <w:tcPr>
                    <w:tcW w:w="1269" w:type="dxa"/>
                    <w:tcBorders>
                      <w:top w:val="single" w:sz="4" w:space="0" w:color="000000"/>
                      <w:left w:val="single" w:sz="4" w:space="0" w:color="000000"/>
                      <w:bottom w:val="single" w:sz="4" w:space="0" w:color="000000"/>
                      <w:right w:val="single" w:sz="4" w:space="0" w:color="000000"/>
                    </w:tcBorders>
                    <w:vAlign w:val="bottom"/>
                  </w:tcPr>
                  <w:p>
                    <w:pPr>
                      <w:spacing w:line="259" w:lineRule="auto"/>
                      <w:ind w:right="1"/>
                      <w:jc w:val="right"/>
                      <w:rPr>
                        <w:rFonts w:eastAsia="Arial"/>
                        <w:color w:val="000000"/>
                        <w:kern w:val="2"/>
                        <w:sz w:val="22"/>
                        <w:szCs w:val="22"/>
                        <w:lang w:eastAsia="lt-LT"/>
                      </w:rPr>
                    </w:pPr>
                    <w:r>
                      <w:rPr>
                        <w:color w:val="000000"/>
                        <w:kern w:val="2"/>
                        <w:sz w:val="22"/>
                        <w:szCs w:val="22"/>
                        <w:lang w:eastAsia="lt-LT"/>
                      </w:rPr>
                      <w:t>1 722,20</w:t>
                    </w:r>
                  </w:p>
                </w:tc>
              </w:tr>
              <w:tr>
                <w:trPr>
                  <w:trHeight w:val="263"/>
                </w:trPr>
                <w:tc>
                  <w:tcPr>
                    <w:tcW w:w="593" w:type="dxa"/>
                    <w:tcBorders>
                      <w:top w:val="single" w:sz="4" w:space="0" w:color="000000"/>
                      <w:left w:val="single" w:sz="4" w:space="0" w:color="000000"/>
                      <w:bottom w:val="single" w:sz="4" w:space="0" w:color="000000"/>
                      <w:right w:val="single" w:sz="4" w:space="0" w:color="000000"/>
                    </w:tcBorders>
                  </w:tcPr>
                  <w:p>
                    <w:pPr>
                      <w:spacing w:line="259" w:lineRule="auto"/>
                      <w:ind w:left="36"/>
                      <w:rPr>
                        <w:rFonts w:eastAsia="Arial"/>
                        <w:color w:val="000000"/>
                        <w:kern w:val="2"/>
                        <w:szCs w:val="22"/>
                        <w:lang w:eastAsia="lt-LT"/>
                      </w:rPr>
                    </w:pPr>
                    <w:r>
                      <w:rPr>
                        <w:rFonts w:eastAsia="Arial"/>
                        <w:color w:val="000000"/>
                        <w:kern w:val="2"/>
                        <w:sz w:val="22"/>
                        <w:szCs w:val="22"/>
                        <w:lang w:eastAsia="lt-LT"/>
                      </w:rPr>
                      <w:t>10.</w:t>
                    </w:r>
                  </w:p>
                </w:tc>
                <w:tc>
                  <w:tcPr>
                    <w:tcW w:w="7776" w:type="dxa"/>
                    <w:tcBorders>
                      <w:top w:val="single" w:sz="4" w:space="0" w:color="000000"/>
                      <w:left w:val="single" w:sz="4" w:space="0" w:color="000000"/>
                      <w:bottom w:val="single" w:sz="4" w:space="0" w:color="000000"/>
                      <w:right w:val="single" w:sz="4" w:space="0" w:color="000000"/>
                    </w:tcBorders>
                  </w:tcPr>
                  <w:p>
                    <w:pPr>
                      <w:spacing w:line="259" w:lineRule="auto"/>
                      <w:rPr>
                        <w:rFonts w:eastAsia="Arial"/>
                        <w:color w:val="000000"/>
                        <w:kern w:val="2"/>
                        <w:szCs w:val="22"/>
                        <w:lang w:eastAsia="lt-LT"/>
                      </w:rPr>
                    </w:pPr>
                    <w:r>
                      <w:rPr>
                        <w:rFonts w:eastAsia="Arial"/>
                        <w:color w:val="000000"/>
                        <w:kern w:val="2"/>
                        <w:sz w:val="22"/>
                        <w:szCs w:val="22"/>
                        <w:lang w:eastAsia="lt-LT"/>
                      </w:rPr>
                      <w:t>Savivaldybės skolos limito laikymasis (7*60%-9).</w:t>
                    </w:r>
                  </w:p>
                </w:tc>
                <w:tc>
                  <w:tcPr>
                    <w:tcW w:w="1269" w:type="dxa"/>
                    <w:tcBorders>
                      <w:top w:val="single" w:sz="4" w:space="0" w:color="000000"/>
                      <w:left w:val="single" w:sz="4" w:space="0" w:color="000000"/>
                      <w:bottom w:val="single" w:sz="4" w:space="0" w:color="000000"/>
                      <w:right w:val="single" w:sz="4" w:space="0" w:color="000000"/>
                    </w:tcBorders>
                    <w:vAlign w:val="bottom"/>
                  </w:tcPr>
                  <w:p>
                    <w:pPr>
                      <w:spacing w:line="259" w:lineRule="auto"/>
                      <w:ind w:left="37"/>
                      <w:jc w:val="right"/>
                      <w:rPr>
                        <w:rFonts w:eastAsia="Arial"/>
                        <w:color w:val="000000"/>
                        <w:kern w:val="2"/>
                        <w:sz w:val="22"/>
                        <w:szCs w:val="22"/>
                        <w:lang w:eastAsia="lt-LT"/>
                      </w:rPr>
                    </w:pPr>
                    <w:r>
                      <w:rPr>
                        <w:rFonts w:eastAsia="Arial"/>
                        <w:color w:val="000000"/>
                        <w:kern w:val="2"/>
                        <w:sz w:val="22"/>
                        <w:szCs w:val="22"/>
                        <w:lang w:eastAsia="lt-LT"/>
                      </w:rPr>
                      <w:t>26 380,36</w:t>
                    </w:r>
                  </w:p>
                </w:tc>
              </w:tr>
            </w:tbl>
            <w:p>
              <w:pPr>
                <w:spacing w:line="249" w:lineRule="auto"/>
                <w:ind w:left="-5" w:hanging="10"/>
                <w:jc w:val="both"/>
                <w:rPr>
                  <w:rFonts w:eastAsia="Arial"/>
                  <w:color w:val="000000"/>
                  <w:kern w:val="2"/>
                  <w:szCs w:val="22"/>
                  <w:lang w:eastAsia="lt-LT"/>
                </w:rPr>
              </w:pPr>
            </w:p>
          </w:sdtContent>
        </w:sdt>
        <w:sdt>
          <w:sdtPr>
            <w:alias w:val="signatura"/>
            <w:tag w:val="part_0333b49c6f9d49be9466746e440b0648"/>
            <w:lock w:val="sdtLocked"/>
            <w:richText/>
          </w:sdtPr>
          <w:sdtContent>
            <w:p>
              <w:pPr>
                <w:spacing w:line="249" w:lineRule="auto"/>
                <w:ind w:left="-5" w:hanging="10"/>
                <w:jc w:val="both"/>
                <w:rPr>
                  <w:rFonts w:eastAsia="Arial"/>
                  <w:color w:val="000000"/>
                  <w:kern w:val="2"/>
                  <w:szCs w:val="22"/>
                  <w:lang w:eastAsia="lt-LT"/>
                </w:rPr>
              </w:pPr>
              <w:r>
                <w:rPr>
                  <w:rFonts w:eastAsia="Arial"/>
                  <w:color w:val="000000"/>
                  <w:kern w:val="2"/>
                  <w:szCs w:val="22"/>
                  <w:lang w:eastAsia="lt-LT"/>
                </w:rPr>
                <w:t xml:space="preserve">Savivaldybės skoliniai įsipareigojimai, skaičiuojami į skolos limitą, 2024 m. gruodžio 31 d. buvo           1 722,20 tūkst. eur, iš kurių:</w:t>
              </w:r>
            </w:p>
            <w:p>
              <w:pPr>
                <w:spacing w:line="249" w:lineRule="auto"/>
                <w:ind w:left="152" w:hanging="10"/>
                <w:jc w:val="both"/>
                <w:rPr>
                  <w:rFonts w:eastAsia="Arial"/>
                  <w:color w:val="000000"/>
                  <w:kern w:val="2"/>
                  <w:szCs w:val="22"/>
                  <w:lang w:eastAsia="lt-LT"/>
                </w:rPr>
              </w:pPr>
              <w:r>
                <w:rPr>
                  <w:color w:val="000000"/>
                  <w:kern w:val="2"/>
                  <w:szCs w:val="24"/>
                  <w:lang w:eastAsia="lt-LT"/>
                </w:rPr>
                <w:t>-</w:t>
                <w:tab/>
              </w:r>
              <w:r>
                <w:rPr>
                  <w:rFonts w:eastAsia="Arial"/>
                  <w:color w:val="000000"/>
                  <w:kern w:val="2"/>
                  <w:szCs w:val="22"/>
                  <w:lang w:eastAsia="lt-LT"/>
                </w:rPr>
                <w:t>„Šeduvos lopšelio-darželio pastato atnaujinimui (modernizavimui)“ finansuoti 514,5 tūkst. eur;</w:t>
              </w:r>
            </w:p>
            <w:p>
              <w:pPr>
                <w:spacing w:line="249" w:lineRule="auto"/>
                <w:ind w:left="152" w:hanging="10"/>
                <w:jc w:val="both"/>
                <w:rPr>
                  <w:rFonts w:eastAsia="Arial"/>
                  <w:color w:val="000000"/>
                  <w:kern w:val="2"/>
                  <w:szCs w:val="22"/>
                  <w:lang w:eastAsia="lt-LT"/>
                </w:rPr>
              </w:pPr>
              <w:r>
                <w:rPr>
                  <w:color w:val="000000"/>
                  <w:kern w:val="2"/>
                  <w:szCs w:val="24"/>
                  <w:lang w:eastAsia="lt-LT"/>
                </w:rPr>
                <w:t>-</w:t>
                <w:tab/>
              </w:r>
              <w:r>
                <w:rPr>
                  <w:rFonts w:eastAsia="Arial"/>
                  <w:color w:val="000000"/>
                  <w:kern w:val="2"/>
                  <w:szCs w:val="22"/>
                  <w:lang w:eastAsia="lt-LT"/>
                </w:rPr>
                <w:t>Investiciniam projektui „Radviliškio lopšelio-darželio „Eglutė“ energinio efektyvumo didinimas“ finansuoti 423,8 tūkst. eur;</w:t>
              </w:r>
            </w:p>
            <w:p>
              <w:pPr>
                <w:spacing w:line="249" w:lineRule="auto"/>
                <w:ind w:left="152" w:hanging="10"/>
                <w:jc w:val="both"/>
                <w:rPr>
                  <w:rFonts w:eastAsia="Arial"/>
                  <w:color w:val="000000"/>
                  <w:kern w:val="2"/>
                  <w:szCs w:val="22"/>
                  <w:lang w:eastAsia="lt-LT"/>
                </w:rPr>
              </w:pPr>
              <w:r>
                <w:rPr>
                  <w:color w:val="000000"/>
                  <w:kern w:val="2"/>
                  <w:szCs w:val="24"/>
                  <w:lang w:eastAsia="lt-LT"/>
                </w:rPr>
                <w:t>-</w:t>
                <w:tab/>
              </w:r>
              <w:r>
                <w:rPr>
                  <w:rFonts w:eastAsia="Arial"/>
                  <w:color w:val="000000"/>
                  <w:kern w:val="2"/>
                  <w:szCs w:val="22"/>
                  <w:lang w:eastAsia="lt-LT"/>
                </w:rPr>
                <w:t>Radviliškio Gražinos pagrindinės mokyklos energinio efektyvumo dindinimo projektui 362,9 tūkst. eur;</w:t>
              </w:r>
            </w:p>
            <w:p>
              <w:pPr>
                <w:spacing w:line="249" w:lineRule="auto"/>
                <w:ind w:left="152" w:hanging="10"/>
                <w:jc w:val="both"/>
                <w:rPr>
                  <w:rFonts w:eastAsia="Arial"/>
                  <w:color w:val="000000"/>
                  <w:kern w:val="2"/>
                  <w:szCs w:val="22"/>
                  <w:lang w:eastAsia="lt-LT"/>
                </w:rPr>
              </w:pPr>
              <w:r>
                <w:rPr>
                  <w:color w:val="000000"/>
                  <w:kern w:val="2"/>
                  <w:szCs w:val="24"/>
                  <w:lang w:eastAsia="lt-LT"/>
                </w:rPr>
                <w:t>-</w:t>
                <w:tab/>
              </w:r>
              <w:r>
                <w:rPr>
                  <w:rFonts w:eastAsia="Arial"/>
                  <w:color w:val="000000"/>
                  <w:kern w:val="2"/>
                  <w:szCs w:val="22"/>
                  <w:lang w:eastAsia="lt-LT"/>
                </w:rPr>
                <w:t>Paskolų įsipareigojimas pagal daugiabučių namų modernizavimo programą - 63,4 tūkst. eur.</w:t>
              </w:r>
            </w:p>
            <w:p>
              <w:pPr>
                <w:rPr>
                  <w:sz w:val="22"/>
                  <w:szCs w:val="22"/>
                </w:rPr>
              </w:pPr>
            </w:p>
            <w:p>
              <w:pPr>
                <w:spacing w:line="249" w:lineRule="auto"/>
                <w:ind w:left="152" w:hanging="10"/>
                <w:jc w:val="both"/>
                <w:rPr>
                  <w:rFonts w:eastAsia="Arial"/>
                  <w:color w:val="000000"/>
                  <w:kern w:val="2"/>
                  <w:szCs w:val="22"/>
                  <w:lang w:eastAsia="lt-LT"/>
                </w:rPr>
              </w:pPr>
              <w:r>
                <w:rPr>
                  <w:color w:val="000000"/>
                  <w:kern w:val="2"/>
                  <w:szCs w:val="24"/>
                  <w:lang w:eastAsia="lt-LT"/>
                </w:rPr>
                <w:t>-</w:t>
                <w:tab/>
              </w:r>
              <w:r>
                <w:rPr>
                  <w:rFonts w:eastAsia="Arial"/>
                  <w:color w:val="000000"/>
                  <w:kern w:val="2"/>
                  <w:szCs w:val="22"/>
                  <w:lang w:eastAsia="lt-LT"/>
                </w:rPr>
                <w:t xml:space="preserve">Lizingo įsipareigojimai už įsigytus mokyklinius autobusus – 357,6 </w:t>
              </w:r>
            </w:p>
            <w:p>
              <w:pPr>
                <w:rPr>
                  <w:sz w:val="22"/>
                  <w:szCs w:val="22"/>
                </w:rPr>
              </w:pPr>
            </w:p>
            <w:p>
              <w:pPr>
                <w:spacing w:line="256" w:lineRule="auto"/>
                <w:rPr>
                  <w:color w:val="000000"/>
                  <w:kern w:val="2"/>
                  <w:sz w:val="22"/>
                  <w:szCs w:val="22"/>
                  <w:lang w:eastAsia="lt-LT"/>
                </w:rPr>
              </w:pPr>
            </w:p>
            <w:p>
              <w:pPr>
                <w:spacing w:line="256" w:lineRule="auto"/>
                <w:rPr>
                  <w:color w:val="000000"/>
                  <w:kern w:val="2"/>
                  <w:sz w:val="22"/>
                  <w:szCs w:val="22"/>
                  <w:lang w:eastAsia="lt-LT"/>
                </w:rPr>
              </w:pPr>
            </w:p>
            <w:p>
              <w:pPr>
                <w:spacing w:line="256" w:lineRule="auto"/>
                <w:rPr>
                  <w:color w:val="000000"/>
                  <w:kern w:val="2"/>
                  <w:sz w:val="22"/>
                  <w:szCs w:val="22"/>
                  <w:lang w:eastAsia="lt-LT"/>
                </w:rPr>
              </w:pPr>
            </w:p>
            <w:p>
              <w:pPr>
                <w:spacing w:line="256" w:lineRule="auto"/>
                <w:rPr>
                  <w:color w:val="000000"/>
                  <w:kern w:val="2"/>
                  <w:szCs w:val="22"/>
                  <w:lang w:eastAsia="lt-LT"/>
                </w:rPr>
              </w:pPr>
            </w:p>
            <w:p>
              <w:pPr>
                <w:spacing w:line="256" w:lineRule="auto"/>
                <w:rPr>
                  <w:color w:val="000000"/>
                  <w:kern w:val="2"/>
                  <w:szCs w:val="22"/>
                  <w:lang w:eastAsia="lt-LT"/>
                </w:rPr>
              </w:pPr>
            </w:p>
            <w:p>
              <w:pPr>
                <w:tabs>
                  <w:tab w:val="center" w:pos="2596"/>
                  <w:tab w:val="center" w:pos="3892"/>
                  <w:tab w:val="center" w:pos="5190"/>
                  <w:tab w:val="center" w:pos="6489"/>
                  <w:tab w:val="center" w:pos="8523"/>
                </w:tabs>
                <w:spacing w:line="247" w:lineRule="auto"/>
                <w:ind w:left="-13"/>
                <w:rPr>
                  <w:color w:val="000000"/>
                  <w:kern w:val="2"/>
                  <w:szCs w:val="22"/>
                  <w:lang w:eastAsia="lt-LT"/>
                </w:rPr>
              </w:pPr>
              <w:r>
                <w:rPr>
                  <w:color w:val="000000"/>
                  <w:kern w:val="2"/>
                  <w:szCs w:val="22"/>
                  <w:lang w:eastAsia="lt-LT"/>
                </w:rPr>
                <w:t xml:space="preserve">Savivaldybės meras                                                                                           Kazimieras Račkauskis</w:t>
              </w:r>
            </w:p>
            <w:p>
              <w:pPr>
                <w:tabs>
                  <w:tab w:val="center" w:pos="2596"/>
                  <w:tab w:val="center" w:pos="3892"/>
                  <w:tab w:val="center" w:pos="5190"/>
                  <w:tab w:val="center" w:pos="6489"/>
                  <w:tab w:val="center" w:pos="8523"/>
                </w:tabs>
                <w:spacing w:line="247" w:lineRule="auto"/>
                <w:ind w:left="-13"/>
                <w:rPr>
                  <w:color w:val="000000"/>
                  <w:kern w:val="2"/>
                  <w:szCs w:val="22"/>
                  <w:lang w:eastAsia="lt-LT"/>
                </w:rPr>
              </w:pPr>
            </w:p>
            <w:p>
              <w:pPr>
                <w:tabs>
                  <w:tab w:val="center" w:pos="2596"/>
                  <w:tab w:val="center" w:pos="3892"/>
                  <w:tab w:val="center" w:pos="5190"/>
                  <w:tab w:val="center" w:pos="6489"/>
                  <w:tab w:val="center" w:pos="8523"/>
                </w:tabs>
                <w:spacing w:line="247" w:lineRule="auto"/>
                <w:ind w:left="-13"/>
                <w:rPr>
                  <w:color w:val="000000"/>
                  <w:kern w:val="2"/>
                  <w:szCs w:val="22"/>
                  <w:lang w:eastAsia="lt-LT"/>
                </w:rPr>
              </w:pPr>
              <w:r>
                <w:rPr>
                  <w:color w:val="000000"/>
                  <w:kern w:val="2"/>
                  <w:szCs w:val="22"/>
                  <w:lang w:eastAsia="lt-LT"/>
                </w:rPr>
                <w:t xml:space="preserve">Savivaldybės Administracijos Finansų                                                                                            skyriaus vyr. specialistas                                                                                   Saulius Špakavičius </w:t>
              </w:r>
            </w:p>
            <w:p>
              <w:pPr>
                <w:spacing w:line="256" w:lineRule="auto"/>
                <w:ind w:firstLine="62"/>
                <w:rPr>
                  <w:color w:val="000000"/>
                  <w:kern w:val="2"/>
                  <w:szCs w:val="22"/>
                  <w:lang w:eastAsia="lt-LT"/>
                </w:rPr>
              </w:pPr>
            </w:p>
          </w:sdtContent>
        </w:sdt>
      </w:sdtContent>
    </w:sdt>
    <w:sectPr>
      <w:pgSz w:w="11906" w:h="16838"/>
      <w:pgMar w:top="851"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left="10" w:right="124" w:hanging="10"/>
        <w:jc w:val="both"/>
        <w:rPr>
          <w:color w:val="000000"/>
          <w:kern w:val="2"/>
          <w:szCs w:val="22"/>
          <w:lang w:eastAsia="lt-LT"/>
        </w:rPr>
      </w:pPr>
      <w:r>
        <w:rPr>
          <w:color w:val="000000"/>
          <w:kern w:val="2"/>
          <w:szCs w:val="22"/>
          <w:lang w:eastAsia="lt-LT"/>
        </w:rPr>
        <w:separator/>
      </w:r>
    </w:p>
  </w:endnote>
  <w:endnote w:type="continuationSeparator" w:id="0">
    <w:p>
      <w:pPr>
        <w:ind w:left="10" w:right="124" w:hanging="10"/>
        <w:jc w:val="both"/>
        <w:rPr>
          <w:color w:val="000000"/>
          <w:kern w:val="2"/>
          <w:szCs w:val="22"/>
          <w:lang w:eastAsia="lt-LT"/>
        </w:rPr>
      </w:pPr>
      <w:r>
        <w:rPr>
          <w:color w:val="000000"/>
          <w:kern w:val="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left="10" w:right="124" w:hanging="10"/>
        <w:jc w:val="both"/>
        <w:rPr>
          <w:color w:val="000000"/>
          <w:kern w:val="2"/>
          <w:szCs w:val="22"/>
          <w:lang w:eastAsia="lt-LT"/>
        </w:rPr>
      </w:pPr>
      <w:r>
        <w:rPr>
          <w:color w:val="000000"/>
          <w:kern w:val="2"/>
          <w:szCs w:val="22"/>
          <w:lang w:eastAsia="lt-LT"/>
        </w:rPr>
        <w:separator/>
      </w:r>
    </w:p>
  </w:footnote>
  <w:footnote w:type="continuationSeparator" w:id="0">
    <w:p>
      <w:pPr>
        <w:ind w:left="10" w:right="124" w:hanging="10"/>
        <w:jc w:val="both"/>
        <w:rPr>
          <w:color w:val="000000"/>
          <w:kern w:val="2"/>
          <w:szCs w:val="22"/>
          <w:lang w:eastAsia="lt-LT"/>
        </w:rPr>
      </w:pPr>
      <w:r>
        <w:rPr>
          <w:color w:val="000000"/>
          <w:kern w:val="2"/>
          <w:szCs w:val="22"/>
          <w:lang w:eastAsia="lt-LT"/>
        </w:rPr>
        <w:continuationSeparator/>
      </w:r>
    </w:p>
  </w:footnote>
  <w:footnote w:id="1">
    <w:p>
      <w:pPr>
        <w:spacing w:line="216" w:lineRule="auto"/>
        <w:ind w:right="125"/>
        <w:rPr>
          <w:color w:val="000000"/>
          <w:kern w:val="2"/>
          <w:sz w:val="20"/>
          <w:szCs w:val="22"/>
        </w:rPr>
      </w:pPr>
      <w:r>
        <w:rPr>
          <w:color w:val="000000"/>
          <w:kern w:val="2"/>
          <w:sz w:val="20"/>
          <w:szCs w:val="22"/>
          <w:vertAlign w:val="superscript"/>
        </w:rPr>
        <w:footnoteRef/>
      </w:r>
      <w:r>
        <w:rPr>
          <w:color w:val="000000"/>
          <w:kern w:val="2"/>
          <w:sz w:val="20"/>
          <w:szCs w:val="22"/>
        </w:rPr>
        <w:t xml:space="preserve"> Lietuvos Respublikos viešojo sektoriaus atskaitomybės įstatymas, 2007 m. birželio 26 d. Nr. X-1212 (su pakeitimais ir papildymais). </w:t>
      </w:r>
    </w:p>
  </w:footnote>
  <w:footnote w:id="2">
    <w:p>
      <w:pPr>
        <w:spacing w:line="256" w:lineRule="auto"/>
        <w:rPr>
          <w:color w:val="000000"/>
          <w:kern w:val="2"/>
          <w:sz w:val="20"/>
          <w:szCs w:val="22"/>
        </w:rPr>
      </w:pPr>
      <w:r>
        <w:rPr>
          <w:color w:val="000000"/>
          <w:kern w:val="2"/>
          <w:sz w:val="20"/>
          <w:szCs w:val="22"/>
          <w:vertAlign w:val="superscript"/>
        </w:rPr>
        <w:footnoteRef/>
      </w:r>
      <w:r>
        <w:rPr>
          <w:color w:val="000000"/>
          <w:kern w:val="2"/>
          <w:sz w:val="20"/>
          <w:szCs w:val="22"/>
        </w:rPr>
        <w:t xml:space="preserve"> Lietuvos Respublikos Vyriausybės 2001 m. gegužės 14 d. nutarimas Nr. 543 „Dėl  Lietuvos Respublikos valstybės biudžeto ir savivaldybių biudžetų sudarymo ir vykdymo taisyklių patvirtinimo“ (su pakeitimais ir papildymais). </w:t>
      </w:r>
    </w:p>
  </w:footnote>
  <w:footnote w:id="3">
    <w:p>
      <w:pPr>
        <w:spacing w:line="216" w:lineRule="auto"/>
        <w:ind w:right="121"/>
        <w:jc w:val="both"/>
        <w:rPr>
          <w:color w:val="000000"/>
          <w:kern w:val="2"/>
          <w:sz w:val="20"/>
          <w:szCs w:val="22"/>
        </w:rPr>
      </w:pPr>
      <w:r>
        <w:rPr>
          <w:color w:val="000000"/>
          <w:kern w:val="2"/>
          <w:sz w:val="20"/>
          <w:szCs w:val="22"/>
          <w:vertAlign w:val="superscript"/>
        </w:rPr>
        <w:footnoteRef/>
      </w:r>
      <w:r>
        <w:rPr>
          <w:color w:val="000000"/>
          <w:kern w:val="2"/>
          <w:sz w:val="20"/>
          <w:szCs w:val="22"/>
        </w:rPr>
        <w:t xml:space="preserve"> Lietuvos Respublikos finansų ministro 2008 m gruodžio 31 d. įsakymas Nr. 1K-465 „Dėl valstybės ir savivaldybių biudžetinių įstaigų ir kitų subjektų žemesniojo lygio biudžeto vykdymo ataskaitų sudarymo taisyklių ir formų patvirtinimo“ (su pakeitimais ir papildymais).  </w:t>
      </w:r>
    </w:p>
  </w:footnote>
</w:footnote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30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4258C73-6C50-42DC-ACC7-CFE56E2D500E}"/>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83236785">
      <w:bodyDiv w:val="1"/>
      <w:marLeft w:val="0"/>
      <w:marRight w:val="0"/>
      <w:marTop w:val="0"/>
      <w:marBottom w:val="0"/>
      <w:divBdr>
        <w:top w:val="none" w:sz="0" w:space="0" w:color="auto"/>
        <w:left w:val="none" w:sz="0" w:space="0" w:color="auto"/>
        <w:bottom w:val="none" w:sz="0" w:space="0" w:color="auto"/>
        <w:right w:val="none" w:sz="0" w:space="0" w:color="auto"/>
      </w:divBdr>
    </w:div>
    <w:div w:id="208930041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chart" Target="charts/chart1.xml"/>
  <Relationship Id="rId7" Type="http://schemas.openxmlformats.org/officeDocument/2006/relationships/chart" Target="charts/chart2.xml"/>
  <Relationship Id="rId8" Type="http://schemas.openxmlformats.org/officeDocument/2006/relationships/fontTable" Target="fontTable.xml"/>
  <Relationship Id="rId9" Type="http://schemas.openxmlformats.org/officeDocument/2006/relationships/theme" Target="theme/theme1.xml"/>
</Relationships>

</file>

<file path=word/charts/_rels/chart1.xml.rels><?xml version="1.0" encoding="UTF-8"?>

<Relationships xmlns="http://schemas.openxmlformats.org/package/2006/relationships">
  <Relationship Id="rId1" Type="http://schemas.microsoft.com/office/2011/relationships/chartStyle" Target="style1.xml"/>
  <Relationship Id="rId2" Type="http://schemas.microsoft.com/office/2011/relationships/chartColorStyle" Target="colors1.xml"/>
  <Relationship Id="rId3" Type="http://schemas.openxmlformats.org/officeDocument/2006/relationships/package" Target="../embeddings/Microsoft_Excel_Worksheet.xlsx"/>
</Relationships>

</file>

<file path=word/charts/_rels/chart2.xml.rels><?xml version="1.0" encoding="UTF-8"?>

<Relationships xmlns="http://schemas.openxmlformats.org/package/2006/relationships">
  <Relationship Id="rId1" Type="http://schemas.microsoft.com/office/2011/relationships/chartStyle" Target="style2.xml"/>
  <Relationship Id="rId2" Type="http://schemas.microsoft.com/office/2011/relationships/chartColorStyle" Target="colors2.xml"/>
  <Relationship Id="rId3" Type="http://schemas.openxmlformats.org/officeDocument/2006/relationships/package" Target="../embeddings/Microsoft_Excel_Worksheet1.xlsx"/>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49055192510385021"/>
          <c:y val="3.9007092198581561E-2"/>
          <c:w val="0.50524859983053294"/>
          <c:h val="0.84086837549561622"/>
        </c:manualLayout>
      </c:layout>
      <c:barChart>
        <c:barDir val="bar"/>
        <c:grouping val="clustered"/>
        <c:varyColors val="0"/>
        <c:ser>
          <c:idx val="0"/>
          <c:order val="0"/>
          <c:tx>
            <c:strRef>
              <c:f>Lapas1!$B$1</c:f>
              <c:strCache>
                <c:ptCount val="1"/>
                <c:pt idx="0">
                  <c:v>2024</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10800000" scaled="1"/>
              <a:tileRect/>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Lapas1!$A$2:$A$7</c:f>
              <c:strCache>
                <c:ptCount val="6"/>
                <c:pt idx="0">
                  <c:v>Mokesčiai</c:v>
                </c:pt>
                <c:pt idx="1">
                  <c:v>Dotacijos</c:v>
                </c:pt>
                <c:pt idx="2">
                  <c:v>Turto pajamos</c:v>
                </c:pt>
                <c:pt idx="3">
                  <c:v>pajamos iš baudų, konfiskuoto turto ir kitų netesybų bei kitos neišvardytos pajamos</c:v>
                </c:pt>
                <c:pt idx="4">
                  <c:v>Pajamos už prekes ir paslaugas </c:v>
                </c:pt>
                <c:pt idx="5">
                  <c:v>Materialiojo ir nematerialiojo turto realizavimo, finansinio turto sumažėjimo ir finansinių įsipareigojimų prisiėmimo pajamos</c:v>
                </c:pt>
              </c:strCache>
            </c:strRef>
          </c:cat>
          <c:val>
            <c:numRef>
              <c:f>Lapas1!$B$2:$B$7</c:f>
              <c:numCache>
                <c:formatCode>#\ ##0.0</c:formatCode>
                <c:ptCount val="6"/>
                <c:pt idx="0">
                  <c:v>41456.1</c:v>
                </c:pt>
                <c:pt idx="1">
                  <c:v>27406</c:v>
                </c:pt>
                <c:pt idx="2">
                  <c:v>840</c:v>
                </c:pt>
                <c:pt idx="3">
                  <c:v>156.69999999999999</c:v>
                </c:pt>
                <c:pt idx="4">
                  <c:v>4212.5</c:v>
                </c:pt>
                <c:pt idx="5">
                  <c:v>172.3</c:v>
                </c:pt>
              </c:numCache>
            </c:numRef>
          </c:val>
          <c:extLst>
            <c:ext xmlns:c16="http://schemas.microsoft.com/office/drawing/2014/chart" uri="{C3380CC4-5D6E-409C-BE32-E72D297353CC}">
              <c16:uniqueId val="{00000000-26F6-4E28-A388-5CDC044B0517}"/>
            </c:ext>
          </c:extLst>
        </c:ser>
        <c:ser>
          <c:idx val="1"/>
          <c:order val="1"/>
          <c:tx>
            <c:strRef>
              <c:f>Lapas1!$C$1</c:f>
              <c:strCache>
                <c:ptCount val="1"/>
                <c:pt idx="0">
                  <c:v>2023</c:v>
                </c:pt>
              </c:strCache>
            </c:strRef>
          </c:tx>
          <c:spPr>
            <a:gradFill flip="none" rotWithShape="1">
              <a:gsLst>
                <a:gs pos="0">
                  <a:schemeClr val="accent2"/>
                </a:gs>
                <a:gs pos="75000">
                  <a:schemeClr val="accent2">
                    <a:lumMod val="60000"/>
                    <a:lumOff val="40000"/>
                  </a:schemeClr>
                </a:gs>
                <a:gs pos="51000">
                  <a:schemeClr val="accent2">
                    <a:alpha val="75000"/>
                  </a:schemeClr>
                </a:gs>
                <a:gs pos="100000">
                  <a:schemeClr val="accent2">
                    <a:lumMod val="20000"/>
                    <a:lumOff val="80000"/>
                    <a:alpha val="15000"/>
                  </a:schemeClr>
                </a:gs>
              </a:gsLst>
              <a:lin ang="10800000" scaled="1"/>
              <a:tileRect/>
            </a:gra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Lapas1!$A$2:$A$7</c:f>
              <c:strCache>
                <c:ptCount val="6"/>
                <c:pt idx="0">
                  <c:v>Mokesčiai</c:v>
                </c:pt>
                <c:pt idx="1">
                  <c:v>Dotacijos</c:v>
                </c:pt>
                <c:pt idx="2">
                  <c:v>Turto pajamos</c:v>
                </c:pt>
                <c:pt idx="3">
                  <c:v>pajamos iš baudų, konfiskuoto turto ir kitų netesybų bei kitos neišvardytos pajamos</c:v>
                </c:pt>
                <c:pt idx="4">
                  <c:v>Pajamos už prekes ir paslaugas </c:v>
                </c:pt>
                <c:pt idx="5">
                  <c:v>Materialiojo ir nematerialiojo turto realizavimo, finansinio turto sumažėjimo ir finansinių įsipareigojimų prisiėmimo pajamos</c:v>
                </c:pt>
              </c:strCache>
            </c:strRef>
          </c:cat>
          <c:val>
            <c:numRef>
              <c:f>Lapas1!$C$2:$C$7</c:f>
              <c:numCache>
                <c:formatCode>#\ ##0.0</c:formatCode>
                <c:ptCount val="6"/>
                <c:pt idx="0">
                  <c:v>38027.5</c:v>
                </c:pt>
                <c:pt idx="1">
                  <c:v>23556</c:v>
                </c:pt>
                <c:pt idx="2">
                  <c:v>774</c:v>
                </c:pt>
                <c:pt idx="3">
                  <c:v>401.3</c:v>
                </c:pt>
                <c:pt idx="4">
                  <c:v>4183.5</c:v>
                </c:pt>
                <c:pt idx="5">
                  <c:v>870.5</c:v>
                </c:pt>
              </c:numCache>
            </c:numRef>
          </c:val>
          <c:extLst>
            <c:ext xmlns:c16="http://schemas.microsoft.com/office/drawing/2014/chart" uri="{C3380CC4-5D6E-409C-BE32-E72D297353CC}">
              <c16:uniqueId val="{00000001-26F6-4E28-A388-5CDC044B0517}"/>
            </c:ext>
          </c:extLst>
        </c:ser>
        <c:dLbls>
          <c:showLegendKey val="0"/>
          <c:showVal val="0"/>
          <c:showCatName val="0"/>
          <c:showSerName val="0"/>
          <c:showPercent val="0"/>
          <c:showBubbleSize val="0"/>
        </c:dLbls>
        <c:gapWidth val="326"/>
        <c:overlap val="-58"/>
        <c:axId val="160971824"/>
        <c:axId val="206163872"/>
      </c:barChart>
      <c:catAx>
        <c:axId val="160971824"/>
        <c:scaling>
          <c:orientation val="minMax"/>
        </c:scaling>
        <c:delete val="0"/>
        <c:axPos val="l"/>
        <c:numFmt formatCode="General" sourceLinked="1"/>
        <c:majorTickMark val="none"/>
        <c:minorTickMark val="none"/>
        <c:tickLblPos val="nextTo"/>
        <c:spPr>
          <a:noFill/>
          <a:ln w="19050" cap="flat" cmpd="sng" algn="ctr">
            <a:solidFill>
              <a:schemeClr val="tx1">
                <a:lumMod val="15000"/>
                <a:lumOff val="85000"/>
              </a:schemeClr>
            </a:solidFill>
            <a:round/>
            <a:headEnd type="none" w="sm" len="sm"/>
            <a:tailEnd type="none" w="sm" len="sm"/>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6163872"/>
        <c:crosses val="autoZero"/>
        <c:auto val="1"/>
        <c:lblAlgn val="ctr"/>
        <c:lblOffset val="100"/>
        <c:noMultiLvlLbl val="0"/>
      </c:catAx>
      <c:valAx>
        <c:axId val="206163872"/>
        <c:scaling>
          <c:orientation val="minMax"/>
        </c:scaling>
        <c:delete val="1"/>
        <c:axPos val="b"/>
        <c:majorGridlines>
          <c:spPr>
            <a:ln w="9525" cap="flat" cmpd="sng" algn="ctr">
              <a:gradFill>
                <a:gsLst>
                  <a:gs pos="99000">
                    <a:schemeClr val="tx1">
                      <a:lumMod val="25000"/>
                      <a:lumOff val="75000"/>
                    </a:schemeClr>
                  </a:gs>
                  <a:gs pos="0">
                    <a:schemeClr val="tx1">
                      <a:lumMod val="15000"/>
                      <a:lumOff val="85000"/>
                    </a:schemeClr>
                  </a:gs>
                </a:gsLst>
                <a:lin ang="5400000" scaled="0"/>
              </a:gradFill>
              <a:round/>
            </a:ln>
            <a:effectLst/>
          </c:spPr>
        </c:majorGridlines>
        <c:numFmt formatCode="#\ ##0.0" sourceLinked="1"/>
        <c:majorTickMark val="none"/>
        <c:minorTickMark val="none"/>
        <c:tickLblPos val="nextTo"/>
        <c:crossAx val="1609718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Lapas1!$B$1</c:f>
              <c:strCache>
                <c:ptCount val="1"/>
                <c:pt idx="0">
                  <c:v>2024</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Lapas1!$A$2:$A$11</c:f>
              <c:strCache>
                <c:ptCount val="10"/>
                <c:pt idx="0">
                  <c:v>Gynyba</c:v>
                </c:pt>
                <c:pt idx="1">
                  <c:v>Viešoji tvarka ir visuomenės apsauga</c:v>
                </c:pt>
                <c:pt idx="2">
                  <c:v>Sveikatos apsauga</c:v>
                </c:pt>
                <c:pt idx="3">
                  <c:v>Būstas ir komunalinis ūkis</c:v>
                </c:pt>
                <c:pt idx="4">
                  <c:v>Aplinkos apsauga</c:v>
                </c:pt>
                <c:pt idx="5">
                  <c:v>Bendros valstybės paslaugos</c:v>
                </c:pt>
                <c:pt idx="6">
                  <c:v>Poilsis ir kultūra</c:v>
                </c:pt>
                <c:pt idx="7">
                  <c:v>Ekonomika</c:v>
                </c:pt>
                <c:pt idx="8">
                  <c:v>Socialinė apsauga</c:v>
                </c:pt>
                <c:pt idx="9">
                  <c:v>Švietimas</c:v>
                </c:pt>
              </c:strCache>
            </c:strRef>
          </c:cat>
          <c:val>
            <c:numRef>
              <c:f>Lapas1!$B$2:$B$11</c:f>
              <c:numCache>
                <c:formatCode>#\ ##0.0</c:formatCode>
                <c:ptCount val="10"/>
                <c:pt idx="0">
                  <c:v>57.6</c:v>
                </c:pt>
                <c:pt idx="1">
                  <c:v>116.5</c:v>
                </c:pt>
                <c:pt idx="2">
                  <c:v>938.7</c:v>
                </c:pt>
                <c:pt idx="3">
                  <c:v>3541.4</c:v>
                </c:pt>
                <c:pt idx="4">
                  <c:v>3322.3</c:v>
                </c:pt>
                <c:pt idx="5">
                  <c:v>4976.1000000000004</c:v>
                </c:pt>
                <c:pt idx="6">
                  <c:v>6688.2</c:v>
                </c:pt>
                <c:pt idx="7">
                  <c:v>6862.1</c:v>
                </c:pt>
                <c:pt idx="8">
                  <c:v>16241.2</c:v>
                </c:pt>
                <c:pt idx="9">
                  <c:v>33718.199999999997</c:v>
                </c:pt>
              </c:numCache>
            </c:numRef>
          </c:val>
          <c:extLst>
            <c:ext xmlns:c16="http://schemas.microsoft.com/office/drawing/2014/chart" uri="{C3380CC4-5D6E-409C-BE32-E72D297353CC}">
              <c16:uniqueId val="{00000000-8BCF-4D10-9B33-EA67AA6078FD}"/>
            </c:ext>
          </c:extLst>
        </c:ser>
        <c:ser>
          <c:idx val="1"/>
          <c:order val="1"/>
          <c:tx>
            <c:strRef>
              <c:f>Lapas1!$C$1</c:f>
              <c:strCache>
                <c:ptCount val="1"/>
                <c:pt idx="0">
                  <c:v>2023</c:v>
                </c:pt>
              </c:strCache>
            </c:strRef>
          </c:tx>
          <c:spPr>
            <a:gradFill rotWithShape="1">
              <a:gsLst>
                <a:gs pos="0">
                  <a:schemeClr val="accent2">
                    <a:satMod val="103000"/>
                    <a:lumMod val="102000"/>
                    <a:tint val="94000"/>
                  </a:schemeClr>
                </a:gs>
                <a:gs pos="50000">
                  <a:schemeClr val="accent2">
                    <a:satMod val="110000"/>
                    <a:lumMod val="100000"/>
                    <a:shade val="100000"/>
                  </a:schemeClr>
                </a:gs>
                <a:gs pos="100000">
                  <a:schemeClr val="accent2">
                    <a:lumMod val="99000"/>
                    <a:satMod val="120000"/>
                    <a:shade val="78000"/>
                  </a:schemeClr>
                </a:gs>
              </a:gsLst>
              <a:lin ang="5400000" scaled="0"/>
            </a:gradFill>
            <a:ln>
              <a:noFill/>
            </a:ln>
            <a:effectLst>
              <a:outerShdw blurRad="57150" dist="19050" dir="5400000" algn="ctr" rotWithShape="0">
                <a:srgbClr val="000000">
                  <a:alpha val="63000"/>
                </a:srgbClr>
              </a:out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Lapas1!$A$2:$A$11</c:f>
              <c:strCache>
                <c:ptCount val="10"/>
                <c:pt idx="0">
                  <c:v>Gynyba</c:v>
                </c:pt>
                <c:pt idx="1">
                  <c:v>Viešoji tvarka ir visuomenės apsauga</c:v>
                </c:pt>
                <c:pt idx="2">
                  <c:v>Sveikatos apsauga</c:v>
                </c:pt>
                <c:pt idx="3">
                  <c:v>Būstas ir komunalinis ūkis</c:v>
                </c:pt>
                <c:pt idx="4">
                  <c:v>Aplinkos apsauga</c:v>
                </c:pt>
                <c:pt idx="5">
                  <c:v>Bendros valstybės paslaugos</c:v>
                </c:pt>
                <c:pt idx="6">
                  <c:v>Poilsis ir kultūra</c:v>
                </c:pt>
                <c:pt idx="7">
                  <c:v>Ekonomika</c:v>
                </c:pt>
                <c:pt idx="8">
                  <c:v>Socialinė apsauga</c:v>
                </c:pt>
                <c:pt idx="9">
                  <c:v>Švietimas</c:v>
                </c:pt>
              </c:strCache>
            </c:strRef>
          </c:cat>
          <c:val>
            <c:numRef>
              <c:f>Lapas1!$C$2:$C$11</c:f>
              <c:numCache>
                <c:formatCode>#\ ##0.0</c:formatCode>
                <c:ptCount val="10"/>
                <c:pt idx="0">
                  <c:v>35.4</c:v>
                </c:pt>
                <c:pt idx="1">
                  <c:v>110.2</c:v>
                </c:pt>
                <c:pt idx="2">
                  <c:v>740.8</c:v>
                </c:pt>
                <c:pt idx="3">
                  <c:v>1705.4</c:v>
                </c:pt>
                <c:pt idx="4">
                  <c:v>3444.2</c:v>
                </c:pt>
                <c:pt idx="5">
                  <c:v>4496.2000000000007</c:v>
                </c:pt>
                <c:pt idx="6">
                  <c:v>6157.1</c:v>
                </c:pt>
                <c:pt idx="7">
                  <c:v>6742</c:v>
                </c:pt>
                <c:pt idx="8">
                  <c:v>14820.7</c:v>
                </c:pt>
                <c:pt idx="9">
                  <c:v>28576.6</c:v>
                </c:pt>
              </c:numCache>
            </c:numRef>
          </c:val>
          <c:extLst>
            <c:ext xmlns:c16="http://schemas.microsoft.com/office/drawing/2014/chart" uri="{C3380CC4-5D6E-409C-BE32-E72D297353CC}">
              <c16:uniqueId val="{00000001-8BCF-4D10-9B33-EA67AA6078FD}"/>
            </c:ext>
          </c:extLst>
        </c:ser>
        <c:dLbls>
          <c:dLblPos val="outEnd"/>
          <c:showLegendKey val="0"/>
          <c:showVal val="1"/>
          <c:showCatName val="0"/>
          <c:showSerName val="0"/>
          <c:showPercent val="0"/>
          <c:showBubbleSize val="0"/>
        </c:dLbls>
        <c:gapWidth val="115"/>
        <c:overlap val="-20"/>
        <c:axId val="154786224"/>
        <c:axId val="192778448"/>
      </c:barChart>
      <c:catAx>
        <c:axId val="154786224"/>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92778448"/>
        <c:crosses val="autoZero"/>
        <c:auto val="1"/>
        <c:lblAlgn val="ctr"/>
        <c:lblOffset val="100"/>
        <c:noMultiLvlLbl val="0"/>
      </c:catAx>
      <c:valAx>
        <c:axId val="192778448"/>
        <c:scaling>
          <c:orientation val="minMax"/>
        </c:scaling>
        <c:delete val="0"/>
        <c:axPos val="b"/>
        <c:majorGridlines>
          <c:spPr>
            <a:ln w="9525" cap="flat" cmpd="sng" algn="ctr">
              <a:solidFill>
                <a:schemeClr val="tx1">
                  <a:lumMod val="15000"/>
                  <a:lumOff val="85000"/>
                </a:schemeClr>
              </a:solidFill>
              <a:round/>
            </a:ln>
            <a:effectLst/>
          </c:spPr>
        </c:majorGridlines>
        <c:numFmt formatCode="#\ ##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47862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3">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19050" cap="flat" cmpd="sng" algn="ctr">
        <a:solidFill>
          <a:schemeClr val="tx1">
            <a:lumMod val="15000"/>
            <a:lumOff val="85000"/>
          </a:schemeClr>
        </a:solidFill>
        <a:round/>
        <a:headEnd type="none" w="sm" len="sm"/>
        <a:tailEnd type="none" w="sm" len="sm"/>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10800000" scaled="1"/>
        <a:tileRect/>
      </a:gradFill>
    </cs:spPr>
  </cs:dataPoint>
  <cs:dataPoint3D>
    <cs:lnRef idx="0"/>
    <cs:fillRef idx="0">
      <cs:styleClr val="auto"/>
    </cs:fillRef>
    <cs:effectRef idx="0"/>
    <cs:fontRef idx="minor">
      <a:schemeClr val="dk1"/>
    </cs:fontRef>
    <cs:spPr>
      <a:gradFill flip="none" rotWithShape="1">
        <a:gsLst>
          <a:gs pos="0">
            <a:schemeClr val="phClr"/>
          </a:gs>
          <a:gs pos="75000">
            <a:schemeClr val="phClr">
              <a:lumMod val="60000"/>
              <a:lumOff val="40000"/>
            </a:schemeClr>
          </a:gs>
          <a:gs pos="51000">
            <a:schemeClr val="phClr">
              <a:alpha val="75000"/>
            </a:schemeClr>
          </a:gs>
          <a:gs pos="100000">
            <a:schemeClr val="phClr">
              <a:lumMod val="20000"/>
              <a:lumOff val="80000"/>
              <a:alpha val="15000"/>
            </a:schemeClr>
          </a:gs>
        </a:gsLst>
        <a:lin ang="10800000" scaled="1"/>
        <a:tileRect/>
      </a:gradFill>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styleClr val="auto"/>
    </cs:lnRef>
    <cs:fillRef idx="0">
      <cs:styleClr val="auto"/>
    </cs:fillRef>
    <cs:effectRef idx="0"/>
    <cs:fontRef idx="minor">
      <a:schemeClr val="dk1"/>
    </cs:fontRef>
    <cs:spPr>
      <a:gradFill>
        <a:gsLst>
          <a:gs pos="0">
            <a:schemeClr val="phClr"/>
          </a:gs>
          <a:gs pos="46000">
            <a:schemeClr val="phClr"/>
          </a:gs>
          <a:gs pos="100000">
            <a:schemeClr val="phClr">
              <a:lumMod val="20000"/>
              <a:lumOff val="80000"/>
              <a:alpha val="0"/>
            </a:schemeClr>
          </a:gs>
        </a:gsLst>
        <a:path path="circle">
          <a:fillToRect l="50000" t="-80000" r="50000" b="180000"/>
        </a:path>
      </a:gradFill>
      <a:ln w="9525" cap="flat" cmpd="sng" algn="ctr">
        <a:solidFill>
          <a:schemeClr val="phClr">
            <a:shade val="95000"/>
          </a:schemeClr>
        </a:solidFill>
        <a:round/>
      </a:ln>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cap="flat" cmpd="sng" algn="ctr">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99000">
              <a:schemeClr val="tx1">
                <a:lumMod val="25000"/>
                <a:lumOff val="75000"/>
              </a:schemeClr>
            </a:gs>
            <a:gs pos="0">
              <a:schemeClr val="tx1">
                <a:lumMod val="15000"/>
                <a:lumOff val="85000"/>
              </a:schemeClr>
            </a:gs>
          </a:gsLst>
          <a:lin ang="5400000" scaled="0"/>
        </a:gradFill>
        <a:round/>
      </a:ln>
    </cs:spPr>
  </cs:gridlineMajor>
  <cs:gridlineMinor>
    <cs:lnRef idx="0"/>
    <cs:fillRef idx="0"/>
    <cs:effectRef idx="0"/>
    <cs:fontRef idx="minor">
      <a:schemeClr val="dk1"/>
    </cs:fontRef>
    <cs:spPr>
      <a:ln w="9525" cap="flat" cmpd="sng" algn="ctr">
        <a:gradFill>
          <a:gsLst>
            <a:gs pos="100000">
              <a:schemeClr val="tx1">
                <a:lumMod val="15000"/>
                <a:lumOff val="85000"/>
              </a:schemeClr>
            </a:gs>
            <a:gs pos="0">
              <a:schemeClr val="tx1">
                <a:lumMod val="5000"/>
                <a:lumOff val="95000"/>
              </a:schemeClr>
            </a:gs>
          </a:gsLst>
          <a:lin ang="5400000" scaled="0"/>
        </a:gradFill>
        <a:round/>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headEnd type="none" w="sm" len="sm"/>
        <a:tailEnd type="none" w="sm" len="sm"/>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800" b="1" kern="1200" cap="all" spc="5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341">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ize="5"/>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ca251ddb2ce46c68f3d848a57b652c3" PartId="d2fb13e191584783b5a49cfaba0d1275">
    <Part Type="preambule" DocPartId="95d747a862d64265a6d94ba8743414e8" PartId="33fc22224ba8402a950c39a4d876f6a3"/>
    <Part Type="pastraipa" DocPartId="32d9ad8163a24b44bd4bf4b4b6497c94" PartId="6422ab439d004006940889c52a24d9c6"/>
    <Part Type="skirsnis" Title="II SKYRIUS APSKAITOS POLITIKA" DocPartId="22f556dab6ca4a4d955e309a4f4dd151" PartId="cc1879d42d5d447482ea2d5aef4c0b43">
      <Part Type="punktas" Nr="1" Abbr="1 p." DocPartId="e1e8ece8c26949acb1422b9d2095a3fc" PartId="8018fa7943c84a77bc82ac990f5f9777"/>
      <Part Type="punktas" Nr="2" Abbr="2 p." DocPartId="6b23320461e544fbacba9035cd3aed60" PartId="02c67b4713aa4b40ba96ae22c737db4d"/>
      <Part Type="punktas" Nr="3" Abbr="3 p." DocPartId="9228e9e463534c009f63a9e91c1d98de" PartId="4ba1b851ca8e467b985e833bf698f14f"/>
      <Part Type="punktas" Nr="4" Abbr="4 p." DocPartId="cfcb800210c34dd28e84f580e1e8f787" PartId="a7422e83245344eaa093cd812e162021"/>
      <Part Type="punktas" Nr="5" Abbr="5 p." DocPartId="8c7f99a8d09b42988c088e2e06827b30" PartId="1764bd47e6774d91ab6ccd0a237168d9"/>
      <Part Type="punktas" Nr="6" Abbr="6 p." DocPartId="ee2e023d4c9649e6b5d8a61f90f5ed4e" PartId="b2798e7e94b34af595561b7e5896917c"/>
    </Part>
    <Part Type="skirsnis" Title="III SKYRIUS SAVIVALDYBĖS BIUDŽETO PAJAMŲ PLANO VYKDYMAS" DocPartId="a9c150c1a1e244368de781c64515523e" PartId="3a453748dc624b28ad1d8ca4b1d860cf"/>
    <Part Type="skirsnis" Title="IV SKYRIUS SAVIVALDYBĖS BIUDŽETO IŠLAIDŲ PLANO VYKDYMAS" DocPartId="b6f29965278e40649b51dfb7aefbcad9" PartId="4c0845b7ffe54a82ba473eeb03c8e7bf"/>
    <Part Type="skirsnis" Title="INFORMACIJA APIE SAVIVALDYBĖS BIUDŽETO ASIGNAVIMŲ POKYČIUS, PLANO VYKDYMĄ IR STRUKTŪRĄ" DocPartId="944ecce2298343ef97c41b6cb4786df2" PartId="49dd8bb1ded24d2695081eb9b41ca1c3"/>
    <Part Type="signatura" DocPartId="e460057ad8484247a3f51b2fe7d98368" PartId="0333b49c6f9d49be9466746e440b0648"/>
  </Part>
</Parts>
</file>

<file path=customXml/itemProps1.xml><?xml version="1.0" encoding="utf-8"?>
<ds:datastoreItem xmlns:ds="http://schemas.openxmlformats.org/officeDocument/2006/customXml" ds:itemID="{816C826D-AE54-4369-AEAF-13A7C80C107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1248</Words>
  <Characters>8276</Characters>
  <Application>Microsoft Office Word</Application>
  <DocSecurity>4</DocSecurity>
  <Lines>394</Lines>
  <Paragraphs>272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9252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2025-05-19T05:18:00Z</dcterms:created>
  <dc:creator>Saulius Špakavičius</dc:creator>
  <lastModifiedBy>adlibuser</lastModifiedBy>
  <dcterms:modified xsi:type="dcterms:W3CDTF">2025-05-19T05:18:00Z</dcterms:modified>
  <revision>2</revision>
</coreProperties>
</file>