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80c6c3a6194fdf8e8513d04aabd872"/>
        <w:lock w:val="sdtLocked"/>
        <w:richText/>
      </w:sdtPr>
      <w:sdtContent>
        <w:p>
          <w:pPr>
            <w:tabs>
              <w:tab w:val="center" w:pos="4819"/>
              <w:tab w:val="right" w:pos="9638"/>
            </w:tabs>
            <w:rPr>
              <w:sz w:val="22"/>
              <w:szCs w:val="22"/>
            </w:rPr>
          </w:pPr>
        </w:p>
        <w:p>
          <w:pPr>
            <w:spacing w:line="280" w:lineRule="atLeast"/>
            <w:ind w:left="7371"/>
            <w:rPr>
              <w:b/>
              <w:bCs/>
              <w:szCs w:val="24"/>
            </w:rPr>
          </w:pPr>
          <w:r>
            <w:rPr>
              <w:b/>
              <w:bCs/>
              <w:szCs w:val="24"/>
            </w:rPr>
            <w:t>Projekto</w:t>
          </w:r>
        </w:p>
        <w:p>
          <w:pPr>
            <w:spacing w:line="280" w:lineRule="atLeast"/>
            <w:ind w:left="7371"/>
            <w:rPr>
              <w:b/>
              <w:bCs/>
              <w:szCs w:val="24"/>
            </w:rPr>
          </w:pPr>
          <w:r>
            <w:rPr>
              <w:b/>
              <w:bCs/>
              <w:szCs w:val="24"/>
            </w:rPr>
            <w:t>lyginamasis variantas</w:t>
          </w:r>
        </w:p>
        <w:p>
          <w:pPr>
            <w:spacing w:line="280" w:lineRule="atLeast"/>
            <w:jc w:val="right"/>
            <w:rPr>
              <w:b/>
              <w:bCs/>
              <w:szCs w:val="24"/>
            </w:rPr>
          </w:pPr>
        </w:p>
        <w:p>
          <w:pPr>
            <w:spacing w:line="280" w:lineRule="atLeast"/>
            <w:jc w:val="right"/>
            <w:rPr>
              <w:b/>
              <w:bCs/>
              <w:szCs w:val="24"/>
            </w:rPr>
          </w:pPr>
        </w:p>
        <w:p>
          <w:pPr>
            <w:spacing w:line="280" w:lineRule="atLeast"/>
            <w:jc w:val="center"/>
            <w:rPr>
              <w:b/>
              <w:bCs/>
              <w:szCs w:val="24"/>
            </w:rPr>
          </w:pPr>
          <w:r>
            <w:rPr>
              <w:b/>
              <w:bCs/>
              <w:szCs w:val="24"/>
            </w:rPr>
            <w:t>LIETUVOS RESPUBLIKOS</w:t>
          </w:r>
        </w:p>
        <w:p>
          <w:pPr>
            <w:spacing w:line="280" w:lineRule="atLeast"/>
            <w:jc w:val="center"/>
            <w:rPr>
              <w:b/>
              <w:bCs/>
              <w:szCs w:val="24"/>
            </w:rPr>
          </w:pPr>
          <w:r>
            <w:rPr>
              <w:b/>
              <w:bCs/>
              <w:szCs w:val="24"/>
            </w:rPr>
            <w:t>BIUDŽETINIŲ ĮSTAIGŲ DARBUOTOJŲ DARBO APMOKĖJIMO IR KOMISIJŲ NARIŲ ATLYGIO UŽ DARBĄ ĮSTATYMO 5 STRAIPSNIO PAKEITIMO</w:t>
          </w:r>
        </w:p>
        <w:p>
          <w:pPr>
            <w:spacing w:line="280" w:lineRule="atLeast"/>
            <w:jc w:val="center"/>
            <w:rPr>
              <w:b/>
              <w:bCs/>
              <w:szCs w:val="24"/>
            </w:rPr>
          </w:pPr>
          <w:r>
            <w:rPr>
              <w:b/>
              <w:bCs/>
              <w:szCs w:val="24"/>
            </w:rPr>
            <w:t>ĮSTATYMAS</w:t>
          </w:r>
        </w:p>
        <w:p>
          <w:pPr>
            <w:spacing w:line="280" w:lineRule="atLeast"/>
            <w:jc w:val="center"/>
            <w:rPr>
              <w:szCs w:val="24"/>
            </w:rPr>
          </w:pPr>
        </w:p>
        <w:p>
          <w:pPr>
            <w:spacing w:line="280" w:lineRule="atLeast"/>
            <w:jc w:val="center"/>
            <w:rPr>
              <w:szCs w:val="24"/>
            </w:rPr>
          </w:pPr>
          <w:r>
            <w:rPr>
              <w:szCs w:val="24"/>
            </w:rPr>
            <w:t xml:space="preserve">2025 m.                      d. Nr.</w:t>
          </w:r>
        </w:p>
        <w:p>
          <w:pPr>
            <w:spacing w:line="280" w:lineRule="atLeast"/>
            <w:jc w:val="center"/>
            <w:rPr>
              <w:szCs w:val="24"/>
            </w:rPr>
          </w:pPr>
          <w:r>
            <w:rPr>
              <w:szCs w:val="24"/>
            </w:rPr>
            <w:t>Vilnius</w:t>
          </w:r>
        </w:p>
        <w:p>
          <w:pPr>
            <w:spacing w:line="280" w:lineRule="atLeast"/>
            <w:rPr>
              <w:szCs w:val="24"/>
            </w:rPr>
          </w:pPr>
        </w:p>
        <w:sdt>
          <w:sdtPr>
            <w:alias w:val="1 str."/>
            <w:tag w:val="part_a8270e2b651841d4a218dddad6b1c214"/>
            <w:lock w:val="sdtLocked"/>
            <w:richText/>
          </w:sdtPr>
          <w:sdtContent>
            <w:p>
              <w:pPr>
                <w:ind w:firstLine="709"/>
                <w:jc w:val="both"/>
                <w:rPr>
                  <w:b/>
                  <w:bCs/>
                  <w:szCs w:val="24"/>
                </w:rPr>
              </w:pPr>
              <w:sdt>
                <w:sdtPr>
                  <w:alias w:val="Numeris"/>
                  <w:tag w:val="nr_a8270e2b651841d4a218dddad6b1c214"/>
                  <w:lock w:val="sdtLocked"/>
                  <w:richText/>
                </w:sdtPr>
                <w:sdtContent>
                  <w:r>
                    <w:rPr>
                      <w:b/>
                      <w:bCs/>
                      <w:szCs w:val="24"/>
                    </w:rPr>
                    <w:t>1</w:t>
                  </w:r>
                </w:sdtContent>
              </w:sdt>
              <w:r>
                <w:rPr>
                  <w:b/>
                  <w:bCs/>
                  <w:szCs w:val="24"/>
                </w:rPr>
                <w:t xml:space="preserve"> straipsnis. </w:t>
              </w:r>
              <w:sdt>
                <w:sdtPr>
                  <w:alias w:val="Pavadinimas"/>
                  <w:tag w:val="title_a8270e2b651841d4a218dddad6b1c214"/>
                  <w:lock w:val="sdtLocked"/>
                  <w:richText/>
                </w:sdtPr>
                <w:sdtContent>
                  <w:r>
                    <w:rPr>
                      <w:b/>
                      <w:bCs/>
                      <w:szCs w:val="24"/>
                    </w:rPr>
                    <w:t>5 straipsnio pakeitimas</w:t>
                  </w:r>
                </w:sdtContent>
              </w:sdt>
            </w:p>
            <w:sdt>
              <w:sdtPr>
                <w:alias w:val="1 str. 1 d."/>
                <w:tag w:val="part_8f118c5d09384646888c9619f04f0f7f"/>
                <w:lock w:val="sdtLocked"/>
                <w:richText/>
              </w:sdtPr>
              <w:sdtContent>
                <w:p>
                  <w:pPr>
                    <w:ind w:firstLine="709"/>
                    <w:jc w:val="both"/>
                    <w:rPr>
                      <w:szCs w:val="24"/>
                    </w:rPr>
                  </w:pPr>
                  <w:r>
                    <w:rPr>
                      <w:szCs w:val="24"/>
                    </w:rPr>
                    <w:t>Pakeisti 5 straipsnio 5 dalį ir ją išdėstyti taip:</w:t>
                  </w:r>
                </w:p>
                <w:sdt>
                  <w:sdtPr>
                    <w:alias w:val="citata"/>
                    <w:tag w:val="part_1ee2086f7a5449a5905a3df8d6c5b47b"/>
                    <w:lock w:val="sdtLocked"/>
                    <w:richText/>
                  </w:sdtPr>
                  <w:sdtContent>
                    <w:sdt>
                      <w:sdtPr>
                        <w:alias w:val="5 d."/>
                        <w:tag w:val="part_dcfedeb60ee448f19712e12c26979bcd"/>
                        <w:lock w:val="sdtLocked"/>
                        <w:richText/>
                      </w:sdtPr>
                      <w:sdtContent>
                        <w:p>
                          <w:pPr>
                            <w:spacing w:line="259" w:lineRule="auto"/>
                            <w:ind w:firstLine="720"/>
                            <w:jc w:val="both"/>
                            <w:rPr>
                              <w:lang w:eastAsia="lt-LT"/>
                            </w:rPr>
                          </w:pPr>
                          <w:r>
                            <w:rPr>
                              <w:lang w:eastAsia="lt-LT"/>
                            </w:rPr>
                            <w:t>„</w:t>
                          </w:r>
                          <w:sdt>
                            <w:sdtPr>
                              <w:alias w:val="Numeris"/>
                              <w:tag w:val="nr_dcfedeb60ee448f19712e12c26979bcd"/>
                              <w:lock w:val="sdtLocked"/>
                              <w:richText/>
                            </w:sdtPr>
                            <w:sdtContent>
                              <w:r>
                                <w:rPr>
                                  <w:lang w:eastAsia="lt-LT"/>
                                </w:rPr>
                                <w:t>5</w:t>
                              </w:r>
                            </w:sdtContent>
                          </w:sdt>
                          <w:r>
                            <w:rPr>
                              <w:lang w:eastAsia="lt-LT"/>
                            </w:rPr>
                            <w:t xml:space="preserve">. Darbo apmokėjimo sistema nustatoma kolektyvinėje sutartyje </w:t>
                          </w:r>
                          <w:r>
                            <w:rPr>
                              <w:b/>
                              <w:bCs/>
                              <w:lang w:eastAsia="lt-LT"/>
                            </w:rPr>
                            <w:t>ir ji taikoma visiems biudžetinės įstaigos darbuotojams</w:t>
                          </w:r>
                          <w:r>
                            <w:rPr>
                              <w:lang w:eastAsia="lt-LT"/>
                            </w:rPr>
                            <w:t xml:space="preserve">. Jeigu nėra tai nustatančios kolektyvinės sutarties, darbo apmokėjimo sistemą privalo nustatyti </w:t>
                          </w:r>
                          <w:r>
                            <w:rPr>
                              <w:strike/>
                              <w:lang w:eastAsia="lt-LT"/>
                            </w:rPr>
                            <w:t>ir padaryti ją prieinamą susipažinti visiems darbuotojams</w:t>
                          </w:r>
                          <w:r>
                            <w:rPr>
                              <w:lang w:eastAsia="lt-LT"/>
                            </w:rPr>
                            <w:t xml:space="preserve"> biudžetinės įstaigos vadovas </w:t>
                          </w:r>
                          <w:r>
                            <w:rPr>
                              <w:b/>
                              <w:bCs/>
                              <w:lang w:eastAsia="lt-LT"/>
                            </w:rPr>
                            <w:t>ir paskelbti viešai biudžetinės įstaigos interneto svetainėje</w:t>
                          </w:r>
                          <w:r>
                            <w:rPr>
                              <w:lang w:eastAsia="lt-LT"/>
                            </w:rPr>
                            <w:t xml:space="preserve">. </w:t>
                          </w:r>
                          <w:r>
                            <w:rPr>
                              <w:b/>
                              <w:bCs/>
                              <w:lang w:eastAsia="lt-LT"/>
                            </w:rPr>
                            <w:t xml:space="preserve">Prieš biudžetinės įstaigos vadovui nustatant ar keičiant darbo apmokėjimo sistemą, Darbo kodekso nustatyta tvarka turi būti atliktos informavimo ir konsultavimo procedūros. </w:t>
                          </w:r>
                          <w:r>
                            <w:rPr>
                              <w:lang w:eastAsia="lt-LT"/>
                            </w:rPr>
                            <w:t>Darbo apmokėjimo sistema nustatoma atsižvelgiant į Vyriausybės tvirtinamas darbo apmokėjimo sistemos nustatymo</w:t>
                          </w:r>
                          <w:r>
                            <w:rPr>
                              <w:b/>
                              <w:bCs/>
                              <w:lang w:eastAsia="lt-LT"/>
                            </w:rPr>
                            <w:t> </w:t>
                          </w:r>
                          <w:r>
                            <w:rPr>
                              <w:lang w:eastAsia="lt-LT"/>
                            </w:rPr>
                            <w:t xml:space="preserve">rekomendacijas. Darbo apmokėjimo sistemoje, </w:t>
                          </w:r>
                          <w:r>
                            <w:rPr>
                              <w:strike/>
                              <w:lang w:eastAsia="lt-LT"/>
                            </w:rPr>
                            <w:t>atsižvelgiant į šio įstatymo ir Darbo kodekso nuostatas, detalizuojami</w:t>
                          </w:r>
                          <w:r>
                            <w:rPr>
                              <w:lang w:eastAsia="lt-LT"/>
                            </w:rPr>
                            <w:t xml:space="preserve"> biudžetinės įstaigos pareigybių sąraše </w:t>
                          </w:r>
                          <w:r>
                            <w:rPr>
                              <w:strike/>
                              <w:lang w:eastAsia="lt-LT"/>
                            </w:rPr>
                            <w:t>esančių pareigybių</w:t>
                          </w:r>
                          <w:r>
                            <w:rPr>
                              <w:lang w:eastAsia="lt-LT"/>
                            </w:rPr>
                            <w:t xml:space="preserve"> </w:t>
                          </w:r>
                          <w:r>
                            <w:rPr>
                              <w:b/>
                              <w:bCs/>
                              <w:lang w:eastAsia="lt-LT"/>
                            </w:rPr>
                            <w:t>esančios pareigybės suskirstomos į pareigybių grupes pagal objektyvius ir lyties požiūriu neutralius kriterijus, kurie turi apimti įgūdžius, įskaitant minkštuosius įgūdžius, kurie yra susiję su bendravimo įgūdžiais, socialiniu elgesiu, emocijų valdymu, gebėjimu dirbti su kitais žmonėmis ir yra svarbūs darbo funkcijos atlikimui, kvalifikaciją, pastangas, atsakomybę, darbo sąlygas ir, jei tikslinga, kitus veiksnius, kurie yra aktualūs konkrečiai pareigybei. Pareigybės, kuriose atliekamas toks pats ar vienodos vertės darbas, priskiriamos tai pačiai pareigybių grupei. Darbo apmokėjimo sistemoje, atsižvelgiant į šio įstatymo ir Darbo kodekso nuostatas, pagal objektyvius ir lyties požiūriu neutralius kriterijus (darbo patirtį, išsilavinimą, veiklos sudėtingumą, atsakomybės ir savarankiškumo lygį, papildomų įgūdžių ar žinių, svarbių einamoms pareigoms, turėjimą, darbo sąlygas</w:t>
                          </w:r>
                          <w:r>
                            <w:rPr>
                              <w:b/>
                              <w:bCs/>
                            </w:rPr>
                            <w:t xml:space="preserve"> ar kitus kriterijus)</w:t>
                          </w:r>
                          <w:r>
                            <w:rPr>
                              <w:b/>
                              <w:bCs/>
                              <w:lang w:eastAsia="lt-LT"/>
                            </w:rPr>
                            <w:t>, nustatomi kiekvienos pareigybių grupės</w:t>
                          </w:r>
                          <w:r>
                            <w:rPr>
                              <w:lang w:eastAsia="lt-LT"/>
                            </w:rPr>
                            <w:t xml:space="preserve"> </w:t>
                          </w:r>
                          <w:r>
                            <w:rPr>
                              <w:b/>
                              <w:bCs/>
                              <w:lang w:eastAsia="lt-LT"/>
                            </w:rPr>
                            <w:t>arba pareigybės</w:t>
                          </w:r>
                          <w:r>
                            <w:rPr>
                              <w:lang w:eastAsia="lt-LT"/>
                            </w:rPr>
                            <w:t xml:space="preserve"> pareiginės algos</w:t>
                          </w:r>
                          <w:r>
                            <w:rPr>
                              <w:strike/>
                              <w:lang w:eastAsia="lt-LT"/>
                            </w:rPr>
                            <w:t xml:space="preserve"> koeficiento, viršijančio šio įstatymo 1 priede nustatytą minimalų pareiginės algos koeficientą, dydžio nustatymo kriterijai (darbo patirtis, išsilavinimas, veiklos sudėtingumas, atsakomybės ir savarankiškumo lygis, papildomų įgūdžių ar žinių, svarbių einamoms pareigoms, turėjimas, darbo sąlygos ar kiti kriterijai) ir, atsižvelgiant į juos, nustatomi didžiausi pareiginės algos koeficientų dydžiai, konkrečių pareigybių pareiginės algos koeficientų intervalai,</w:t>
                          </w:r>
                          <w:r>
                            <w:rPr>
                              <w:b/>
                              <w:bCs/>
                              <w:lang w:eastAsia="lt-LT"/>
                            </w:rPr>
                            <w:t xml:space="preserve"> koeficientų dydžiai ar jų intervalai (minimali ir maksimali intervalų riba),</w:t>
                          </w:r>
                          <w:r>
                            <w:rPr>
                              <w:lang w:eastAsia="lt-LT"/>
                            </w:rPr>
                            <w:t xml:space="preserve"> taip pat</w:t>
                          </w:r>
                          <w:r>
                            <w:rPr>
                              <w:color w:val="EE0000"/>
                              <w:lang w:eastAsia="lt-LT"/>
                            </w:rPr>
                            <w:t xml:space="preserve"> </w:t>
                          </w:r>
                          <w:r>
                            <w:rPr>
                              <w:lang w:eastAsia="lt-LT"/>
                            </w:rPr>
                            <w:t>priemokų dydžiai ir jų skyrimo tvarka, kintamosios dalies dydžiai ir jos skyrimo tvarka (jeigu tokia darbo užmokesčio sudedamoji dalis yra numatyta), piniginių išmokų dydžiai, skyrimo atvejai (už atliktą darbą ar siekiant paskatinti) ir tvarka</w:t>
                          </w:r>
                          <w:r>
                            <w:rPr>
                              <w:b/>
                              <w:bCs/>
                              <w:lang w:eastAsia="lt-LT"/>
                            </w:rPr>
                            <w:t>, darbo užmokesčio didinimo ir indeksavimo tvarka</w:t>
                          </w:r>
                          <w:r>
                            <w:rPr>
                              <w:lang w:eastAsia="lt-LT"/>
                            </w:rPr>
                            <w:t>.</w:t>
                          </w:r>
                          <w:r>
                            <w:rPr>
                              <w:b/>
                              <w:bCs/>
                              <w:color w:val="EE0000"/>
                              <w:lang w:eastAsia="lt-LT"/>
                            </w:rPr>
                            <w:t xml:space="preserve"> </w:t>
                          </w:r>
                          <w:r>
                            <w:rPr>
                              <w:lang w:eastAsia="lt-LT"/>
                            </w:rPr>
                            <w:t xml:space="preserve">Savininko teises ir pareigas įgyvendinanti institucija nustato savo valdymo sričiai priskirtų biudžetinių įstaigų vadovų darbo apmokėjimo sistemą; joje </w:t>
                          </w:r>
                          <w:r>
                            <w:rPr>
                              <w:b/>
                              <w:bCs/>
                              <w:lang w:eastAsia="lt-LT"/>
                            </w:rPr>
                            <w:t>biudžetinių įstaigų vadovų pareigybės suskirstomos į pareigybių grupes pagal objektyvius ir lyties požiūriu neutralius kriterijus, kurie turi apimti įgūdžius (įskaitant minkštuosius įgūdžius, kurie yra susiję su bendravimo įgūdžiais, socialiniu elgesiu, emocijų valdymu, gebėjimu dirbti su kitais žmonėmis ir yra svarbūs darbo funkcijos atlikimui), kvalifikaciją, pastangas, atsakomybę, darbo sąlygas ir, jei tikslinga, kitus veiksnius, kurie yra aktualūs konkrečiai pareigybei, o taip pat</w:t>
                          </w:r>
                          <w:r>
                            <w:rPr>
                              <w:lang w:eastAsia="lt-LT"/>
                            </w:rPr>
                            <w:t xml:space="preserve"> detalizuojami </w:t>
                          </w:r>
                          <w:r>
                            <w:rPr>
                              <w:b/>
                              <w:bCs/>
                              <w:lang w:eastAsia="lt-LT"/>
                            </w:rPr>
                            <w:t xml:space="preserve">objektyvūs, lyties požiūriu neutralūs </w:t>
                          </w:r>
                          <w:r>
                            <w:rPr>
                              <w:lang w:eastAsia="lt-LT"/>
                            </w:rPr>
                            <w:t xml:space="preserve">biudžetinės įstaigos vadovo pareiginės algos koeficiento nustatymo kriterijai (biudžetinės įstaigos veiklos pobūdis, jos dydis, jos veiklos ir sprendimų galiojimo ribos ar kiti kriterijai) ir, atsižvelgiant į juos, nustatomi pareiginės algos koeficientų dydžiai ar jų intervalai </w:t>
                          </w:r>
                          <w:r>
                            <w:rPr>
                              <w:b/>
                              <w:bCs/>
                              <w:lang w:eastAsia="lt-LT"/>
                            </w:rPr>
                            <w:t>(minimali ir maksimali intervalų riba)</w:t>
                          </w:r>
                          <w:r>
                            <w:rPr>
                              <w:lang w:eastAsia="lt-LT"/>
                            </w:rPr>
                            <w:t>, taip pat priemokų dydžiai ir jų skyrimo tvarka, kintamosios dalies dydžiai ir skyrimo tvarka (jeigu tokia darbo užmokesčio sudedamoji dalis yra numatyta), piniginių išmokų dydžiai, skyrimo atvejai (už atliktą darbą ar siekiant paskatinti) ir tvarka</w:t>
                          </w:r>
                          <w:r>
                            <w:rPr>
                              <w:b/>
                              <w:bCs/>
                              <w:lang w:eastAsia="lt-LT"/>
                            </w:rPr>
                            <w:t>, darbo užmokesčio didinimo ir indeksavimo tvarka</w:t>
                          </w:r>
                          <w:r>
                            <w:rPr>
                              <w:lang w:eastAsia="lt-LT"/>
                            </w:rPr>
                            <w:t xml:space="preserve">. </w:t>
                          </w:r>
                          <w:r>
                            <w:rPr>
                              <w:strike/>
                              <w:lang w:eastAsia="lt-LT"/>
                            </w:rPr>
                            <w:t>Prieš biudžetinės įstaigos vadovui nustatant ar keičiant darbo apmokėjimo sistemą, Darbo kodekso nustatyta tvarka turi būti atliktos informavimo ir konsultavimo procedūros.</w:t>
                          </w:r>
                          <w:r>
                            <w:rPr>
                              <w:lang w:eastAsia="lt-LT"/>
                            </w:rPr>
                            <w:t>“</w:t>
                          </w:r>
                        </w:p>
                        <w:p>
                          <w:pPr>
                            <w:rPr>
                              <w:sz w:val="14"/>
                              <w:szCs w:val="14"/>
                            </w:rPr>
                          </w:pPr>
                        </w:p>
                      </w:sdtContent>
                    </w:sdt>
                  </w:sdtContent>
                </w:sdt>
              </w:sdtContent>
            </w:sdt>
          </w:sdtContent>
        </w:sdt>
        <w:sdt>
          <w:sdtPr>
            <w:alias w:val="2 str."/>
            <w:tag w:val="part_bc948141a4a4413387fd4de348c92d41"/>
            <w:lock w:val="sdtLocked"/>
            <w:richText/>
          </w:sdtPr>
          <w:sdtContent>
            <w:p>
              <w:pPr>
                <w:spacing w:line="259" w:lineRule="auto"/>
                <w:ind w:firstLine="720"/>
                <w:jc w:val="both"/>
                <w:rPr>
                  <w:b/>
                  <w:bCs/>
                  <w:lang w:eastAsia="lt-LT"/>
                </w:rPr>
              </w:pPr>
              <w:sdt>
                <w:sdtPr>
                  <w:alias w:val="Numeris"/>
                  <w:tag w:val="nr_bc948141a4a4413387fd4de348c92d41"/>
                  <w:lock w:val="sdtLocked"/>
                  <w:richText/>
                </w:sdtPr>
                <w:sdtContent>
                  <w:r>
                    <w:rPr>
                      <w:b/>
                      <w:bCs/>
                      <w:lang w:eastAsia="lt-LT"/>
                    </w:rPr>
                    <w:t>2</w:t>
                  </w:r>
                </w:sdtContent>
              </w:sdt>
              <w:r>
                <w:rPr>
                  <w:b/>
                  <w:bCs/>
                  <w:lang w:eastAsia="lt-LT"/>
                </w:rPr>
                <w:t xml:space="preserve"> straipsnis. </w:t>
              </w:r>
              <w:sdt>
                <w:sdtPr>
                  <w:alias w:val="Pavadinimas"/>
                  <w:tag w:val="title_bc948141a4a4413387fd4de348c92d41"/>
                  <w:lock w:val="sdtLocked"/>
                  <w:richText/>
                </w:sdtPr>
                <w:sdtContent>
                  <w:r>
                    <w:rPr>
                      <w:b/>
                      <w:bCs/>
                      <w:lang w:eastAsia="lt-LT"/>
                    </w:rPr>
                    <w:t>Įstatymo įsigaliojimas ir taikymas</w:t>
                  </w:r>
                </w:sdtContent>
              </w:sdt>
            </w:p>
            <w:sdt>
              <w:sdtPr>
                <w:alias w:val="2 str. 1 d."/>
                <w:tag w:val="part_0272a8528c9e4ff6ae88b8e0adab52a5"/>
                <w:lock w:val="sdtLocked"/>
                <w:richText/>
              </w:sdtPr>
              <w:sdtContent>
                <w:p>
                  <w:pPr>
                    <w:spacing w:line="259" w:lineRule="auto"/>
                    <w:ind w:firstLine="720"/>
                    <w:jc w:val="both"/>
                    <w:rPr>
                      <w:color w:val="000000"/>
                    </w:rPr>
                  </w:pPr>
                  <w:sdt>
                    <w:sdtPr>
                      <w:alias w:val="Numeris"/>
                      <w:tag w:val="nr_0272a8528c9e4ff6ae88b8e0adab52a5"/>
                      <w:lock w:val="sdtLocked"/>
                      <w:richText/>
                    </w:sdtPr>
                    <w:sdtContent>
                      <w:r>
                        <w:rPr>
                          <w:lang w:eastAsia="lt-LT"/>
                        </w:rPr>
                        <w:t>1</w:t>
                      </w:r>
                    </w:sdtContent>
                  </w:sdt>
                  <w:r>
                    <w:rPr>
                      <w:lang w:eastAsia="lt-LT"/>
                    </w:rPr>
                    <w:t xml:space="preserve">. </w:t>
                  </w:r>
                  <w:r>
                    <w:rPr>
                      <w:color w:val="000000"/>
                    </w:rPr>
                    <w:t>Šis įstatymas įsigalioja 2026 m. birželio 7 d.</w:t>
                  </w:r>
                </w:p>
              </w:sdtContent>
            </w:sdt>
            <w:sdt>
              <w:sdtPr>
                <w:alias w:val="2 str. 2 d."/>
                <w:tag w:val="part_bbffd8c19ae94ee4846686f344055a51"/>
                <w:lock w:val="sdtLocked"/>
                <w:richText/>
              </w:sdtPr>
              <w:sdtContent>
                <w:p>
                  <w:pPr>
                    <w:ind w:firstLine="709"/>
                    <w:jc w:val="both"/>
                    <w:rPr>
                      <w:b/>
                      <w:bCs/>
                      <w:lang w:eastAsia="lt-LT"/>
                    </w:rPr>
                  </w:pPr>
                  <w:sdt>
                    <w:sdtPr>
                      <w:alias w:val="Numeris"/>
                      <w:tag w:val="nr_bbffd8c19ae94ee4846686f344055a51"/>
                      <w:lock w:val="sdtLocked"/>
                      <w:richText/>
                    </w:sdtPr>
                    <w:sdtContent>
                      <w:r>
                        <w:rPr>
                          <w:color w:val="000000"/>
                        </w:rPr>
                        <w:t>2</w:t>
                      </w:r>
                    </w:sdtContent>
                  </w:sdt>
                  <w:r>
                    <w:rPr>
                      <w:color w:val="000000"/>
                    </w:rPr>
                    <w:t xml:space="preserve">. </w:t>
                  </w:r>
                  <w:r>
                    <w:rPr>
                      <w:szCs w:val="24"/>
                    </w:rPr>
                    <w:t>Šio įstatymo 1 straipsnyje išdėstytos Lietuvos Respublikos biudžetinių įstaigų darbuotojų darbo apmokėjimo ir komisijų narių atlygio už darbą įstatymo 5 straipsnio nuostatos dėl darbo apmokėjimo sistemos nustatytos kolektyvinėje sutartyje taikymo visiems biudžetinės įstaigos darbuotojams taikomos</w:t>
                  </w:r>
                  <w:r>
                    <w:rPr>
                      <w:lang w:eastAsia="lt-LT"/>
                    </w:rPr>
                    <w:t xml:space="preserve"> po šio įstatymo įsigaliojimo dienos sudarant naujas ar keičiant galiojančias kolektyvines sutartis.</w:t>
                  </w:r>
                </w:p>
                <w:p>
                  <w:pPr>
                    <w:ind w:firstLine="709"/>
                    <w:jc w:val="both"/>
                    <w:rPr>
                      <w:szCs w:val="24"/>
                    </w:rPr>
                  </w:pPr>
                </w:p>
                <w:p>
                  <w:pPr>
                    <w:ind w:firstLine="720"/>
                    <w:jc w:val="both"/>
                    <w:rPr>
                      <w:rFonts w:eastAsia="Calibri"/>
                      <w:bCs/>
                      <w:szCs w:val="24"/>
                    </w:rPr>
                  </w:pPr>
                </w:p>
                <w:p>
                  <w:pPr>
                    <w:ind w:firstLine="720"/>
                    <w:jc w:val="both"/>
                    <w:rPr>
                      <w:rFonts w:eastAsia="Calibri"/>
                      <w:bCs/>
                      <w:szCs w:val="24"/>
                    </w:rPr>
                  </w:pPr>
                </w:p>
              </w:sdtContent>
            </w:sdt>
          </w:sdtContent>
        </w:sdt>
        <w:sdt>
          <w:sdtPr>
            <w:alias w:val="signatura"/>
            <w:tag w:val="part_a16855ef9b98473a8e062b36cdeaeac9"/>
            <w:lock w:val="sdtLocked"/>
            <w:richText/>
          </w:sdtPr>
          <w:sdtContent>
            <w:p>
              <w:pPr>
                <w:ind w:firstLine="709"/>
                <w:rPr>
                  <w:rFonts w:eastAsia="Calibri"/>
                  <w:szCs w:val="24"/>
                </w:rPr>
              </w:pPr>
              <w:r>
                <w:rPr>
                  <w:rFonts w:eastAsia="Calibri"/>
                  <w:i/>
                  <w:iCs/>
                  <w:szCs w:val="24"/>
                </w:rPr>
                <w:t>Skelbiu šį Lietuvos Respublikos Seimo priimtą įstatymą.</w:t>
              </w:r>
            </w:p>
            <w:p>
              <w:pPr>
                <w:rPr>
                  <w:rFonts w:eastAsia="Calibri"/>
                  <w:szCs w:val="24"/>
                </w:rPr>
              </w:pPr>
            </w:p>
            <w:p>
              <w:pPr>
                <w:rPr>
                  <w:rFonts w:eastAsia="Calibri"/>
                  <w:szCs w:val="24"/>
                </w:rPr>
              </w:pPr>
            </w:p>
            <w:p>
              <w:pPr>
                <w:rPr>
                  <w:rFonts w:eastAsia="Calibri"/>
                  <w:szCs w:val="24"/>
                </w:rPr>
              </w:pPr>
            </w:p>
            <w:p>
              <w:pPr>
                <w:rPr>
                  <w:rFonts w:eastAsia="Calibri"/>
                  <w:szCs w:val="24"/>
                </w:rPr>
              </w:pPr>
              <w:r>
                <w:rPr>
                  <w:rFonts w:eastAsia="Calibri"/>
                  <w:szCs w:val="24"/>
                </w:rPr>
                <w:t>Respublikos Prezidentas</w:t>
              </w:r>
            </w:p>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851"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7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86D2D5-2615-4B17-B98E-251E2D80A3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45372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18" ma:contentTypeDescription="Kurkite naują dokumentą." ma:contentTypeScope="" ma:versionID="da1b11497d52f39a2e26e614f5b2657c">
  <xsd:schema xmlns:xsd="http://www.w3.org/2001/XMLSchema" xmlns:xs="http://www.w3.org/2001/XMLSchema" xmlns:p="http://schemas.microsoft.com/office/2006/metadata/properties" xmlns:ns2="69df5a83-a68d-4c83-b1ae-bec2466ffd42" xmlns:ns3="bfcc2856-60fd-4cfb-ac69-0ef30426ccbe" targetNamespace="http://schemas.microsoft.com/office/2006/metadata/properties" ma:root="true" ma:fieldsID="b4095d1968a14d0ce69e3c45df79cb1c" ns2:_="" ns3:_="">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3c83218c19249e49bb8bec487469c45" PartId="4980c6c3a6194fdf8e8513d04aabd872">
    <Part Type="straipsnis" Nr="1" Abbr="1 str." Title="5 straipsnio pakeitimas" DocPartId="ba29e69d1ca14aebbdd7d0c23eea5707" PartId="a8270e2b651841d4a218dddad6b1c214">
      <Part Type="strDalis" Nr="1" Abbr="1 str. 1 d." DocPartId="806c917fb7494dd9986091997300fffd" PartId="8f118c5d09384646888c9619f04f0f7f">
        <Part Type="citata" DocPartId="c6593583a1b34a20ab62cdf65bd45d93" PartId="1ee2086f7a5449a5905a3df8d6c5b47b">
          <Part Type="strDalis" Nr="5" Abbr="5 d." DocPartId="86776ddfc99d4f928f39191052aedaf7" PartId="dcfedeb60ee448f19712e12c26979bcd"/>
        </Part>
      </Part>
    </Part>
    <Part Type="straipsnis" Nr="2" Abbr="2 str." Title="Įstatymo įsigaliojimas ir taikymas" DocPartId="5458101034e240dab941a942032e81d0" PartId="bc948141a4a4413387fd4de348c92d41">
      <Part Type="strDalis" Nr="1" Abbr="2 str. 1 d." DocPartId="1d466c3967c94b14818df8251ca64252" PartId="0272a8528c9e4ff6ae88b8e0adab52a5"/>
      <Part Type="strDalis" Nr="2" Abbr="2 str. 2 d." DocPartId="f99f712036e94a66afd286b42a62ee2f" PartId="bbffd8c19ae94ee4846686f344055a51"/>
    </Part>
    <Part Type="signatura" DocPartId="d9a77b0843304ada98bb87dd8c527369" PartId="a16855ef9b98473a8e062b36cdeaeac9"/>
  </Part>
</Parts>
</file>

<file path=customXml/itemProps1.xml><?xml version="1.0" encoding="utf-8"?>
<ds:datastoreItem xmlns:ds="http://schemas.openxmlformats.org/officeDocument/2006/customXml" ds:itemID="{9BD8AEAE-FA08-4400-A7D2-79CD68FD4638}">
  <ds:schemaRefs>
    <ds:schemaRef ds:uri="http://schemas.microsoft.com/office/2006/metadata/properties"/>
    <ds:schemaRef ds:uri="http://schemas.microsoft.com/office/infopath/2007/PartnerControls"/>
    <ds:schemaRef ds:uri="bfcc2856-60fd-4cfb-ac69-0ef30426ccbe"/>
    <ds:schemaRef ds:uri="69df5a83-a68d-4c83-b1ae-bec2466ffd42"/>
  </ds:schemaRefs>
</ds:datastoreItem>
</file>

<file path=customXml/itemProps2.xml><?xml version="1.0" encoding="utf-8"?>
<ds:datastoreItem xmlns:ds="http://schemas.openxmlformats.org/officeDocument/2006/customXml" ds:itemID="{BDB482F2-7FE6-41D6-9F7D-B3CA823CD3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7139CF-C62F-4334-9444-40D9E08608EE}">
  <ds:schemaRefs>
    <ds:schemaRef ds:uri="http://schemas.microsoft.com/sharepoint/v3/contenttype/forms"/>
  </ds:schemaRefs>
</ds:datastoreItem>
</file>

<file path=customXml/itemProps4.xml><?xml version="1.0" encoding="utf-8"?>
<ds:datastoreItem xmlns:ds="http://schemas.openxmlformats.org/officeDocument/2006/customXml" ds:itemID="{4A7B4A90-787F-4D8C-A24B-059654E1AE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618</Words>
  <Characters>4411</Characters>
  <Application>Microsoft Office Word</Application>
  <DocSecurity>4</DocSecurity>
  <Lines>73</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2025-09-12T11:28:00Z</dcterms:created>
  <dc:creator>Indrė Akaveckienė</dc:creator>
  <lastModifiedBy>adlibuser</lastModifiedBy>
  <dcterms:modified xsi:type="dcterms:W3CDTF">2025-09-12T11:28:00Z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ies>
</file>