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52b37a771284f05be106c6382765225"/>
        <w:lock w:val="sdtLocked"/>
        <w:richText/>
      </w:sdtPr>
      <w:sdtContent>
        <w:p w14:paraId="722C583F" w14:textId="276476A2">
          <w:pPr>
            <w:framePr w:hSpace="180" w:wrap="auto" w:vAnchor="text" w:hAnchor="page" w:x="5728" w:y="-61"/>
            <w:overflowPunct w:val="0"/>
            <w:jc w:val="both"/>
            <w:textAlignment w:val="baseline"/>
            <w:rPr>
              <w:sz w:val="8"/>
              <w:lang w:eastAsia="lt-LT"/>
            </w:rPr>
          </w:pPr>
          <w:r>
            <w:rPr>
              <w:sz w:val="8"/>
              <w:lang w:val="en-US"/>
            </w:rPr>
            <w:drawing>
              <wp:inline distT="0" distB="0" distL="0" distR="0" wp14:anchorId="59732EDC" wp14:editId="287EE6AE">
                <wp:extent cx="1057275" cy="7239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7275" cy="723900"/>
                        </a:xfrm>
                        <a:prstGeom prst="rect">
                          <a:avLst/>
                        </a:prstGeom>
                        <a:noFill/>
                        <a:ln>
                          <a:noFill/>
                        </a:ln>
                      </pic:spPr>
                    </pic:pic>
                  </a:graphicData>
                </a:graphic>
              </wp:inline>
            </w:drawing>
          </w:r>
        </w:p>
        <w:p w14:paraId="2A425A2E" w14:textId="77777777">
          <w:pPr>
            <w:overflowPunct w:val="0"/>
            <w:jc w:val="both"/>
            <w:textAlignment w:val="baseline"/>
            <w:rPr>
              <w:lang w:eastAsia="lt-LT"/>
            </w:rPr>
          </w:pPr>
        </w:p>
        <w:p w14:paraId="4E8A62C3" w14:textId="77777777">
          <w:pPr>
            <w:overflowPunct w:val="0"/>
            <w:jc w:val="both"/>
            <w:textAlignment w:val="baseline"/>
            <w:rPr>
              <w:lang w:eastAsia="lt-LT"/>
            </w:rPr>
          </w:pPr>
        </w:p>
        <w:p w14:paraId="2DFBBAB1" w14:textId="77777777">
          <w:pPr>
            <w:framePr w:w="9124" w:h="754" w:hSpace="181" w:wrap="notBeside" w:vAnchor="text" w:hAnchor="page" w:x="1883" w:y="647" w:anchorLock="1"/>
            <w:overflowPunct w:val="0"/>
            <w:jc w:val="center"/>
            <w:textAlignment w:val="baseline"/>
            <w:rPr>
              <w:b/>
              <w:sz w:val="28"/>
              <w:lang w:eastAsia="lt-LT"/>
            </w:rPr>
          </w:pPr>
          <w:r>
            <w:rPr>
              <w:b/>
              <w:sz w:val="28"/>
              <w:lang w:eastAsia="lt-LT"/>
            </w:rPr>
            <w:t>LIETUVOS RESPUBLIKOS ŽEMĖS ŪKIO MINISTERIJOS</w:t>
          </w:r>
        </w:p>
        <w:p w14:paraId="7C77066C" w14:textId="30167E0E">
          <w:pPr>
            <w:framePr w:w="9124" w:h="754" w:hSpace="181" w:wrap="notBeside" w:vAnchor="text" w:hAnchor="page" w:x="1883" w:y="647" w:anchorLock="1"/>
            <w:overflowPunct w:val="0"/>
            <w:jc w:val="center"/>
            <w:textAlignment w:val="baseline"/>
            <w:rPr>
              <w:b/>
              <w:bCs/>
              <w:sz w:val="28"/>
              <w:szCs w:val="28"/>
              <w:lang w:val="en-GB" w:eastAsia="lt-LT"/>
            </w:rPr>
          </w:pPr>
          <w:r>
            <w:rPr>
              <w:b/>
              <w:bCs/>
              <w:sz w:val="28"/>
              <w:szCs w:val="28"/>
              <w:lang w:val="en-GB" w:eastAsia="lt-LT"/>
            </w:rPr>
            <w:t>EUROPOS SĄJUNGOS REIKALŲ IR PARAMOS POLITIKOS DEPARTAMENTAS</w:t>
          </w:r>
        </w:p>
        <w:p w14:paraId="7D3E472E" w14:textId="69EEAA50">
          <w:pPr>
            <w:framePr w:w="9124" w:h="754" w:hSpace="181" w:wrap="notBeside" w:vAnchor="text" w:hAnchor="page" w:x="1883" w:y="647" w:anchorLock="1"/>
            <w:overflowPunct w:val="0"/>
            <w:jc w:val="center"/>
            <w:textAlignment w:val="baseline"/>
            <w:rPr>
              <w:lang w:val="en-GB" w:eastAsia="lt-LT"/>
            </w:rPr>
          </w:pPr>
        </w:p>
        <w:p w14:paraId="082CF10C" w14:textId="77777777">
          <w:pPr>
            <w:overflowPunct w:val="0"/>
            <w:jc w:val="both"/>
            <w:textAlignment w:val="baseline"/>
            <w:rPr>
              <w:lang w:eastAsia="lt-LT"/>
            </w:rPr>
          </w:pPr>
        </w:p>
        <w:p w14:paraId="1B184650" w14:textId="77777777">
          <w:pPr>
            <w:overflowPunct w:val="0"/>
            <w:jc w:val="both"/>
            <w:textAlignment w:val="baseline"/>
            <w:rPr>
              <w:lang w:eastAsia="lt-LT"/>
            </w:rPr>
          </w:pPr>
        </w:p>
        <w:p w14:paraId="28090F73" w14:textId="2E42F4E5">
          <w:pPr>
            <w:framePr w:w="9185" w:h="1077" w:hSpace="181" w:wrap="notBeside" w:vAnchor="text" w:hAnchor="page" w:x="1875" w:y="1625"/>
            <w:overflowPunct w:val="0"/>
            <w:jc w:val="center"/>
            <w:textAlignment w:val="baseline"/>
            <w:rPr>
              <w:b/>
              <w:szCs w:val="24"/>
              <w:lang w:eastAsia="lt-LT"/>
            </w:rPr>
          </w:pPr>
          <w:r>
            <w:rPr>
              <w:b/>
              <w:szCs w:val="24"/>
              <w:lang w:eastAsia="lt-LT"/>
            </w:rPr>
            <w:t>AIŠKINAMASIS RAŠTAS</w:t>
          </w:r>
        </w:p>
        <w:p w14:paraId="37FED982" w14:textId="560C3A34">
          <w:pPr>
            <w:framePr w:w="9185" w:h="1077" w:hSpace="181" w:wrap="notBeside" w:vAnchor="text" w:hAnchor="page" w:x="1875" w:y="1625"/>
            <w:jc w:val="center"/>
            <w:rPr>
              <w:b/>
              <w:bCs/>
              <w:szCs w:val="24"/>
              <w:lang w:eastAsia="lt-LT"/>
            </w:rPr>
          </w:pPr>
          <w:r>
            <w:rPr>
              <w:b/>
              <w:szCs w:val="24"/>
              <w:lang w:eastAsia="lt-LT"/>
            </w:rPr>
            <w:t xml:space="preserve">DĖL </w:t>
          </w:r>
          <w:r>
            <w:rPr>
              <w:b/>
              <w:bCs/>
              <w:color w:val="000000"/>
              <w:szCs w:val="24"/>
              <w:lang w:eastAsia="lt-LT"/>
            </w:rPr>
            <w:t>PARAMOS UŽ ŽEMĖS ŪKIO NAUDMENAS IR KITUS PLOTUS BEI ŪKINIUS GYVŪNUS PARAIŠKOS IR TIESIOGINIŲ IŠMOKŲ ADMINISTRAVIMO BEI KONTROLĖS TAISYKLIŲ PATVIRTINIMO</w:t>
          </w:r>
        </w:p>
        <w:p w14:paraId="0C93C7F8" w14:textId="1D8D6FF1">
          <w:pPr>
            <w:overflowPunct w:val="0"/>
            <w:spacing w:line="360" w:lineRule="auto"/>
            <w:ind w:firstLine="567"/>
            <w:jc w:val="both"/>
            <w:textAlignment w:val="baseline"/>
            <w:rPr>
              <w:b/>
              <w:bCs/>
              <w:color w:val="000000"/>
              <w:lang w:eastAsia="lt-LT"/>
            </w:rPr>
          </w:pPr>
        </w:p>
        <w:p w14:paraId="585BDF8D" w14:textId="2E21CBF0">
          <w:pPr>
            <w:overflowPunct w:val="0"/>
            <w:spacing w:line="360" w:lineRule="auto"/>
            <w:ind w:firstLine="567"/>
            <w:jc w:val="both"/>
            <w:textAlignment w:val="baseline"/>
            <w:rPr>
              <w:b/>
              <w:bCs/>
              <w:color w:val="000000"/>
              <w:lang w:eastAsia="lt-LT"/>
            </w:rPr>
          </w:pPr>
        </w:p>
        <w:p w14:paraId="569123C1" w14:textId="77777777">
          <w:pPr>
            <w:overflowPunct w:val="0"/>
            <w:spacing w:line="360" w:lineRule="auto"/>
            <w:jc w:val="center"/>
            <w:textAlignment w:val="baseline"/>
            <w:rPr>
              <w:szCs w:val="24"/>
              <w:lang w:eastAsia="lt-LT"/>
            </w:rPr>
          </w:pPr>
          <w:r>
            <w:rPr>
              <w:szCs w:val="24"/>
              <w:lang w:eastAsia="lt-LT"/>
            </w:rPr>
            <w:t xml:space="preserve">2023 m.                      d. Nr. 3D-</w:t>
          </w:r>
        </w:p>
        <w:p w14:paraId="19158EA3" w14:textId="77777777">
          <w:pPr>
            <w:overflowPunct w:val="0"/>
            <w:jc w:val="center"/>
            <w:textAlignment w:val="baseline"/>
            <w:rPr>
              <w:szCs w:val="24"/>
              <w:lang w:eastAsia="lt-LT"/>
            </w:rPr>
          </w:pPr>
          <w:r>
            <w:rPr>
              <w:szCs w:val="24"/>
              <w:lang w:eastAsia="lt-LT"/>
            </w:rPr>
            <w:t>Vilnius</w:t>
          </w:r>
        </w:p>
        <w:p w14:paraId="61997101" w14:textId="77777777">
          <w:pPr>
            <w:overflowPunct w:val="0"/>
            <w:spacing w:line="360" w:lineRule="auto"/>
            <w:ind w:firstLine="567"/>
            <w:jc w:val="both"/>
            <w:textAlignment w:val="baseline"/>
            <w:rPr>
              <w:b/>
              <w:bCs/>
              <w:color w:val="000000"/>
              <w:lang w:eastAsia="lt-LT"/>
            </w:rPr>
          </w:pPr>
        </w:p>
        <w:sdt>
          <w:sdtPr>
            <w:alias w:val="1 p."/>
            <w:tag w:val="part_5ee20cfe71d44ef79ffd879615bfb7fa"/>
            <w:lock w:val="sdtLocked"/>
            <w:richText/>
          </w:sdtPr>
          <w:sdtContent>
            <w:p w14:paraId="69C8E311" w14:textId="1C6B384F">
              <w:pPr>
                <w:overflowPunct w:val="0"/>
                <w:ind w:firstLine="567"/>
                <w:jc w:val="both"/>
                <w:textAlignment w:val="baseline"/>
                <w:rPr>
                  <w:b/>
                  <w:bCs/>
                  <w:color w:val="000000"/>
                  <w:szCs w:val="24"/>
                  <w:lang w:eastAsia="lt-LT"/>
                </w:rPr>
              </w:pPr>
              <w:sdt>
                <w:sdtPr>
                  <w:alias w:val="Numeris"/>
                  <w:tag w:val="nr_5ee20cfe71d44ef79ffd879615bfb7fa"/>
                  <w:lock w:val="sdtLocked"/>
                  <w:richText/>
                </w:sdtPr>
                <w:sdtContent>
                  <w:r>
                    <w:rPr>
                      <w:b/>
                      <w:bCs/>
                      <w:color w:val="000000"/>
                      <w:lang w:eastAsia="lt-LT"/>
                    </w:rPr>
                    <w:t>1</w:t>
                  </w:r>
                </w:sdtContent>
              </w:sdt>
              <w:r>
                <w:rPr>
                  <w:b/>
                  <w:bCs/>
                  <w:color w:val="000000"/>
                  <w:lang w:eastAsia="lt-LT"/>
                </w:rPr>
                <w:t xml:space="preserve">. </w:t>
              </w:r>
              <w:r>
                <w:rPr>
                  <w:b/>
                  <w:bCs/>
                  <w:color w:val="000000"/>
                  <w:szCs w:val="24"/>
                  <w:lang w:eastAsia="lt-LT"/>
                </w:rPr>
                <w:t>Įsakymo projekto rengimą paskatinusios priežastys, įsakymo projekto tikslai ir uždaviniai</w:t>
              </w:r>
            </w:p>
            <w:p w14:paraId="71D7CD0A" w14:textId="60AABF94">
              <w:pPr>
                <w:overflowPunct w:val="0"/>
                <w:ind w:firstLine="567"/>
                <w:jc w:val="both"/>
                <w:textAlignment w:val="baseline"/>
                <w:rPr>
                  <w:szCs w:val="24"/>
                  <w:lang w:eastAsia="lt-LT"/>
                </w:rPr>
              </w:pPr>
              <w:r>
                <w:rPr>
                  <w:szCs w:val="24"/>
                  <w:lang w:eastAsia="lt-LT"/>
                </w:rPr>
                <w:t xml:space="preserve">Įsakymo projektas parengtas siekiant įgyvendinti Europos Parlamento ir Tarybos reglamento </w:t>
              </w:r>
              <w:fldSimple w:instr="HYPERLINK http://eur-lex.europa.eu/legal-content/LIT/TXT/?uri=CELEX:32115R2021&amp;locale=lt \t _blank">
                <w:r>
                  <w:rPr>
                    <w:szCs w:val="24"/>
                    <w:lang w:eastAsia="lt-LT"/>
                    <w:u w:val="single"/>
                    <w:color w:val="0000FF" w:themeColor="hyperlink"/>
                  </w:rPr>
                  <w:t>(ES) 2021/2115</w:t>
                </w:r>
              </w:fldSimple>
              <w:r>
                <w:rPr>
                  <w:szCs w:val="24"/>
                  <w:lang w:eastAsia="lt-LT"/>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lang w:eastAsia="lt-LT"/>
                    <w:u w:val="single"/>
                    <w:color w:val="0000FF" w:themeColor="hyperlink"/>
                  </w:rPr>
                  <w:t>(ES) Nr. 1305/2013</w:t>
                </w:r>
              </w:fldSimple>
              <w:r>
                <w:rPr>
                  <w:szCs w:val="24"/>
                  <w:lang w:eastAsia="lt-LT"/>
                </w:rPr>
                <w:t xml:space="preserve"> ir </w:t>
              </w:r>
              <w:fldSimple w:instr="HYPERLINK http://eur-lex.europa.eu/legal-content/LIT/TXT/?uri=CELEX:32013R1307&amp;locale=lt \t _blank">
                <w:r>
                  <w:rPr>
                    <w:szCs w:val="24"/>
                    <w:lang w:eastAsia="lt-LT"/>
                    <w:u w:val="single"/>
                    <w:color w:val="0000FF" w:themeColor="hyperlink"/>
                  </w:rPr>
                  <w:t>(ES) Nr. 1307/2013</w:t>
                </w:r>
              </w:fldSimple>
              <w:r>
                <w:rPr>
                  <w:szCs w:val="24"/>
                  <w:lang w:eastAsia="lt-LT"/>
                </w:rPr>
                <w:t xml:space="preserve"> su paskutiniais pakeitimais, padarytais 2022 m. vasario 15 d. Komisijos deleguotuoju reglamentu </w:t>
              </w:r>
              <w:fldSimple w:instr="HYPERLINK http://eur-lex.europa.eu/legal-content/LIT/TXT/?uri=CELEX:3648R2022&amp;locale=lt \t _blank">
                <w:r>
                  <w:rPr>
                    <w:szCs w:val="24"/>
                    <w:lang w:eastAsia="lt-LT"/>
                    <w:u w:val="single"/>
                    <w:color w:val="0000FF" w:themeColor="hyperlink"/>
                  </w:rPr>
                  <w:t>(ES) 2022/648</w:t>
                </w:r>
              </w:fldSimple>
              <w:r>
                <w:rPr>
                  <w:szCs w:val="24"/>
                  <w:lang w:eastAsia="lt-LT"/>
                </w:rPr>
                <w:t xml:space="preserve">, 2021 m. gruodžio 2 d. Tarybos reglamento </w:t>
              </w:r>
              <w:fldSimple w:instr="HYPERLINK http://eur-lex.europa.eu/legal-content/LIT/TXT/?uri=CELEX:32116R2021&amp;locale=lt \t _blank">
                <w:r>
                  <w:rPr>
                    <w:szCs w:val="24"/>
                    <w:lang w:eastAsia="lt-LT"/>
                    <w:u w:val="single"/>
                    <w:color w:val="0000FF" w:themeColor="hyperlink"/>
                  </w:rPr>
                  <w:t>(ES) 2021/2116</w:t>
                </w:r>
              </w:fldSimple>
              <w:r>
                <w:rPr>
                  <w:szCs w:val="24"/>
                  <w:lang w:eastAsia="lt-LT"/>
                </w:rPr>
                <w:t xml:space="preserve"> dėl bendros žemės ūkio politikos finansavimo, valdymo ir stebėsenos, kuriuo panaikinamas Reglamentas </w:t>
              </w:r>
              <w:fldSimple w:instr="HYPERLINK http://eur-lex.europa.eu/legal-content/LIT/TXT/?uri=CELEX:32013R1306&amp;locale=lt \t _blank">
                <w:r>
                  <w:rPr>
                    <w:szCs w:val="24"/>
                    <w:lang w:eastAsia="lt-LT"/>
                    <w:u w:val="single"/>
                    <w:color w:val="0000FF" w:themeColor="hyperlink"/>
                  </w:rPr>
                  <w:t>(ES) Nr. 1306/2013</w:t>
                </w:r>
              </w:fldSimple>
              <w:r>
                <w:rPr>
                  <w:szCs w:val="24"/>
                  <w:lang w:eastAsia="lt-LT"/>
                </w:rPr>
                <w:t xml:space="preserve"> su paskutiniais pakeitimais, padarytais 2022 m. birželio 16 d Komisijos deleguotuoju reglamentu </w:t>
              </w:r>
              <w:fldSimple w:instr="HYPERLINK http://eur-lex.europa.eu/legal-content/LIT/TXT/?uri=CELEX:31408R2022&amp;locale=lt \t _blank">
                <w:r>
                  <w:rPr>
                    <w:szCs w:val="24"/>
                    <w:lang w:eastAsia="lt-LT"/>
                    <w:u w:val="single"/>
                    <w:color w:val="0000FF" w:themeColor="hyperlink"/>
                  </w:rPr>
                  <w:t>(ES) 2022/1408</w:t>
                </w:r>
              </w:fldSimple>
              <w:r>
                <w:rPr>
                  <w:szCs w:val="24"/>
                  <w:lang w:eastAsia="lt-LT"/>
                </w:rPr>
                <w:t xml:space="preserve">, Lietuvos žemės ūkio ir kaimo plėtros 2023–2027 metų strateginio plano, patvirtinto 2022 m. lapkričio 22 d. Komisijos įgyvendinimo sprendimu Nr. C(2022) 8272, nuostatas ir nustatyti paramos skyrimo </w:t>
              </w:r>
              <w:r>
                <w:rPr>
                  <w:color w:val="000000"/>
                  <w:szCs w:val="24"/>
                  <w:lang w:eastAsia="lt-LT"/>
                </w:rPr>
                <w:t xml:space="preserve">pagal Lietuvos kaimo plėtros 2007–2013 metų programos priemones, tęstines Lietuvos kaimo plėtros 2014–2020 metų programos priemones, </w:t>
              </w:r>
              <w:r>
                <w:rPr>
                  <w:szCs w:val="24"/>
                  <w:lang w:eastAsia="lt-LT"/>
                </w:rPr>
                <w:t xml:space="preserve">Lietuvos žemės ūkio ir kaimo plėtros 2023–2027 metų strateginio plano </w:t>
              </w:r>
              <w:r>
                <w:rPr>
                  <w:color w:val="000000"/>
                  <w:szCs w:val="24"/>
                  <w:lang w:eastAsia="lt-LT"/>
                </w:rPr>
                <w:t>intervencines priemones</w:t>
              </w:r>
              <w:r>
                <w:rPr>
                  <w:szCs w:val="24"/>
                  <w:lang w:eastAsia="lt-LT"/>
                </w:rPr>
                <w:t xml:space="preserve"> tvarką ir reikalavimus. </w:t>
              </w:r>
              <w:r>
                <w:rPr>
                  <w:color w:val="000000"/>
                  <w:szCs w:val="24"/>
                  <w:lang w:eastAsia="lt-LT"/>
                </w:rPr>
                <w:t>Įsakymo projekto tikslas – nustatyti reikalavimus pareiškėjams, siekiantiems gauti tiesiogines išmokas (bazinę pajamų paramos tvarumui didinti išmoką, papildomą perskirstomąją pajamų paramos tvarumui didinti išmoką, papildomą pajamų paramos jaunajam ūkininkui išmoką, klimatui, aplinkai ir gyvūnų gerovei naudingos sistemos išmoką, susietosios pajamų paramos už plotą ir (arba ūkinius gyvūnus) išmoką), šių reikalavimų administravimo bei kontrolės tvarką ir nustatyti bendrąją paraiškos formą, taip pat jos pildymo ir administravimo tvarką.</w:t>
              </w:r>
            </w:p>
            <w:p w14:paraId="2B8FF6A0" w14:textId="5B862B1F">
              <w:pPr>
                <w:overflowPunct w:val="0"/>
                <w:ind w:firstLine="567"/>
                <w:jc w:val="both"/>
                <w:textAlignment w:val="baseline"/>
                <w:rPr>
                  <w:szCs w:val="24"/>
                  <w:lang w:eastAsia="lt-LT"/>
                </w:rPr>
              </w:pPr>
              <w:r>
                <w:rPr>
                  <w:color w:val="000000"/>
                  <w:szCs w:val="24"/>
                  <w:lang w:eastAsia="lt-LT"/>
                </w:rPr>
                <w:t>Įsakymo projektas yra suderinamas su Europos Sąjungos teisės aktais ir jiems neprieštarauja.</w:t>
              </w:r>
            </w:p>
          </w:sdtContent>
        </w:sdt>
        <w:sdt>
          <w:sdtPr>
            <w:alias w:val="2 p."/>
            <w:tag w:val="part_9def636e2e6f4a9cbfe0fb5ed00032c4"/>
            <w:lock w:val="sdtLocked"/>
            <w:richText/>
          </w:sdtPr>
          <w:sdtContent>
            <w:p w14:paraId="796A56F3" w14:textId="29B518D3">
              <w:pPr>
                <w:ind w:firstLine="567"/>
                <w:jc w:val="both"/>
                <w:rPr>
                  <w:rFonts w:eastAsia="Calibri"/>
                  <w:b/>
                  <w:bCs/>
                  <w:szCs w:val="24"/>
                </w:rPr>
              </w:pPr>
              <w:sdt>
                <w:sdtPr>
                  <w:alias w:val="Numeris"/>
                  <w:tag w:val="nr_9def636e2e6f4a9cbfe0fb5ed00032c4"/>
                  <w:lock w:val="sdtLocked"/>
                  <w:richText/>
                </w:sdtPr>
                <w:sdtContent>
                  <w:r>
                    <w:rPr>
                      <w:rFonts w:eastAsia="Calibri"/>
                      <w:b/>
                      <w:bCs/>
                      <w:szCs w:val="24"/>
                      <w:lang w:eastAsia="lt-LT"/>
                    </w:rPr>
                    <w:t>2</w:t>
                  </w:r>
                </w:sdtContent>
              </w:sdt>
              <w:r>
                <w:rPr>
                  <w:rFonts w:eastAsia="Calibri"/>
                  <w:b/>
                  <w:bCs/>
                  <w:szCs w:val="24"/>
                  <w:lang w:eastAsia="lt-LT"/>
                </w:rPr>
                <w:t xml:space="preserve">. </w:t>
              </w:r>
              <w:r>
                <w:rPr>
                  <w:rFonts w:eastAsia="Calibri"/>
                  <w:b/>
                  <w:bCs/>
                  <w:szCs w:val="24"/>
                </w:rPr>
                <w:t>Įsakymo projektui įgyvendinti reikalingi institucijų ir (ar) įstaigų informacinių sistemų pakeitimai</w:t>
              </w:r>
            </w:p>
            <w:p w14:paraId="41C152E0" w14:textId="4DA968AA">
              <w:pPr>
                <w:ind w:firstLine="567"/>
                <w:jc w:val="both"/>
                <w:rPr>
                  <w:rFonts w:eastAsia="Calibri"/>
                  <w:szCs w:val="24"/>
                </w:rPr>
              </w:pPr>
              <w:r>
                <w:rPr>
                  <w:rFonts w:eastAsia="Calibri"/>
                  <w:szCs w:val="24"/>
                </w:rPr>
                <w:t xml:space="preserve">Reikalingi </w:t>
              </w:r>
              <w:r>
                <w:rPr>
                  <w:rFonts w:eastAsia="Calibri"/>
                  <w:color w:val="000000"/>
                  <w:szCs w:val="24"/>
                  <w:lang w:eastAsia="lt-LT"/>
                </w:rPr>
                <w:t>Paraiškų priėmimo informacinės sistemos pakeitimai</w:t>
              </w:r>
              <w:r>
                <w:rPr>
                  <w:rFonts w:eastAsia="Calibri"/>
                  <w:szCs w:val="24"/>
                </w:rPr>
                <w:t>.</w:t>
              </w:r>
            </w:p>
          </w:sdtContent>
        </w:sdt>
        <w:sdt>
          <w:sdtPr>
            <w:alias w:val="3 p."/>
            <w:tag w:val="part_7419135eeafd45b68329455d69dde36c"/>
            <w:lock w:val="sdtLocked"/>
            <w:richText/>
          </w:sdtPr>
          <w:sdtContent>
            <w:p w14:paraId="316D84D7" w14:textId="23860FAD">
              <w:pPr>
                <w:overflowPunct w:val="0"/>
                <w:ind w:firstLine="567"/>
                <w:jc w:val="both"/>
                <w:textAlignment w:val="baseline"/>
                <w:rPr>
                  <w:b/>
                  <w:bCs/>
                  <w:szCs w:val="24"/>
                  <w:lang w:eastAsia="lt-LT"/>
                </w:rPr>
              </w:pPr>
              <w:sdt>
                <w:sdtPr>
                  <w:alias w:val="Numeris"/>
                  <w:tag w:val="nr_7419135eeafd45b68329455d69dde36c"/>
                  <w:lock w:val="sdtLocked"/>
                  <w:richText/>
                </w:sdtPr>
                <w:sdtContent>
                  <w:r>
                    <w:rPr>
                      <w:b/>
                      <w:bCs/>
                      <w:szCs w:val="24"/>
                      <w:lang w:eastAsia="lt-LT"/>
                    </w:rPr>
                    <w:t>3</w:t>
                  </w:r>
                </w:sdtContent>
              </w:sdt>
              <w:r>
                <w:rPr>
                  <w:b/>
                  <w:bCs/>
                  <w:szCs w:val="24"/>
                  <w:lang w:eastAsia="lt-LT"/>
                </w:rPr>
                <w:t>. Informacija dėl įsakymo projekto skelbimo Lietuvos Respublikos Seimo kanceliarijos Teisės aktų informacinėje sistemoje (toliau – TAIS)</w:t>
              </w:r>
            </w:p>
            <w:p w14:paraId="00C5E16A" w14:textId="355E4908">
              <w:pPr>
                <w:overflowPunct w:val="0"/>
                <w:ind w:firstLine="567"/>
                <w:jc w:val="both"/>
                <w:textAlignment w:val="baseline"/>
                <w:rPr>
                  <w:b/>
                  <w:bCs/>
                  <w:szCs w:val="24"/>
                  <w:lang w:eastAsia="lt-LT"/>
                </w:rPr>
              </w:pPr>
              <w:r>
                <w:rPr>
                  <w:szCs w:val="24"/>
                  <w:lang w:eastAsia="lt-LT"/>
                </w:rPr>
                <w:t xml:space="preserve">Įsakymo projektas 10 darbo dienų bus skelbiamas TAIS. </w:t>
              </w:r>
            </w:p>
          </w:sdtContent>
        </w:sdt>
        <w:sdt>
          <w:sdtPr>
            <w:alias w:val="4 p."/>
            <w:tag w:val="part_55ca8b1813e84b31a0292a8638950785"/>
            <w:lock w:val="sdtLocked"/>
            <w:richText/>
          </w:sdtPr>
          <w:sdtContent>
            <w:p w14:paraId="0B540851" w14:textId="69141C16">
              <w:pPr>
                <w:overflowPunct w:val="0"/>
                <w:ind w:firstLine="567"/>
                <w:jc w:val="both"/>
                <w:textAlignment w:val="baseline"/>
                <w:rPr>
                  <w:b/>
                  <w:bCs/>
                  <w:szCs w:val="24"/>
                  <w:lang w:eastAsia="lt-LT"/>
                </w:rPr>
              </w:pPr>
              <w:sdt>
                <w:sdtPr>
                  <w:alias w:val="Numeris"/>
                  <w:tag w:val="nr_55ca8b1813e84b31a0292a8638950785"/>
                  <w:lock w:val="sdtLocked"/>
                  <w:richText/>
                </w:sdtPr>
                <w:sdtContent>
                  <w:r>
                    <w:rPr>
                      <w:b/>
                      <w:bCs/>
                      <w:color w:val="000000"/>
                      <w:szCs w:val="24"/>
                      <w:lang w:eastAsia="lt-LT"/>
                    </w:rPr>
                    <w:t>4</w:t>
                  </w:r>
                </w:sdtContent>
              </w:sdt>
              <w:r>
                <w:rPr>
                  <w:b/>
                  <w:bCs/>
                  <w:color w:val="000000"/>
                  <w:szCs w:val="24"/>
                  <w:lang w:eastAsia="lt-LT"/>
                </w:rPr>
                <w:t>. Informacija dėl įsakymo projekto derinimo su suinteresuotomis valstybės institucijomis ir (ar) įstaigomis</w:t>
              </w:r>
            </w:p>
            <w:p w14:paraId="5DB33A82" w14:textId="1995148E">
              <w:pPr>
                <w:overflowPunct w:val="0"/>
                <w:ind w:firstLine="567"/>
                <w:jc w:val="both"/>
                <w:textAlignment w:val="baseline"/>
                <w:rPr>
                  <w:b/>
                  <w:bCs/>
                  <w:color w:val="000000"/>
                  <w:szCs w:val="24"/>
                  <w:lang w:eastAsia="lt-LT"/>
                </w:rPr>
              </w:pPr>
              <w:r>
                <w:rPr>
                  <w:szCs w:val="24"/>
                  <w:lang w:eastAsia="lt-LT"/>
                </w:rPr>
                <w:t>Įsakymo projektas bus derinamas su Nacionaline mokėjimo agentūra prie Žemės ūkio ministerijos, VĮ Žemės ūkio duomenų centru.</w:t>
              </w:r>
              <w:r>
                <w:rPr>
                  <w:b/>
                  <w:bCs/>
                  <w:color w:val="000000"/>
                  <w:szCs w:val="24"/>
                  <w:lang w:eastAsia="lt-LT"/>
                </w:rPr>
                <w:t xml:space="preserve"> </w:t>
              </w:r>
            </w:p>
          </w:sdtContent>
        </w:sdt>
        <w:sdt>
          <w:sdtPr>
            <w:alias w:val="5 p."/>
            <w:tag w:val="part_ee43cd4f250648e78dba8ad2bc3406bb"/>
            <w:lock w:val="sdtLocked"/>
            <w:richText/>
          </w:sdtPr>
          <w:sdtContent>
            <w:p w14:paraId="0D08F0FE" w14:textId="50295BCA">
              <w:pPr>
                <w:overflowPunct w:val="0"/>
                <w:ind w:firstLine="567"/>
                <w:jc w:val="both"/>
                <w:textAlignment w:val="baseline"/>
                <w:rPr>
                  <w:b/>
                  <w:bCs/>
                  <w:color w:val="000000"/>
                  <w:szCs w:val="24"/>
                  <w:lang w:eastAsia="lt-LT"/>
                </w:rPr>
              </w:pPr>
              <w:sdt>
                <w:sdtPr>
                  <w:alias w:val="Numeris"/>
                  <w:tag w:val="nr_ee43cd4f250648e78dba8ad2bc3406bb"/>
                  <w:lock w:val="sdtLocked"/>
                  <w:richText/>
                </w:sdtPr>
                <w:sdtContent>
                  <w:r>
                    <w:rPr>
                      <w:b/>
                      <w:bCs/>
                      <w:color w:val="000000"/>
                      <w:szCs w:val="24"/>
                      <w:lang w:eastAsia="lt-LT"/>
                    </w:rPr>
                    <w:t>5</w:t>
                  </w:r>
                </w:sdtContent>
              </w:sdt>
              <w:r>
                <w:rPr>
                  <w:b/>
                  <w:bCs/>
                  <w:color w:val="000000"/>
                  <w:szCs w:val="24"/>
                  <w:lang w:eastAsia="lt-LT"/>
                </w:rPr>
                <w:t>. Informacija dėl įsakymo projekto antikorupcinio vertinimo</w:t>
              </w:r>
            </w:p>
            <w:p w14:paraId="2B120A4E" w14:textId="5F41D32B">
              <w:pPr>
                <w:overflowPunct w:val="0"/>
                <w:ind w:firstLine="567"/>
                <w:jc w:val="both"/>
                <w:textAlignment w:val="baseline"/>
                <w:rPr>
                  <w:i/>
                  <w:iCs/>
                  <w:color w:val="000000"/>
                  <w:szCs w:val="24"/>
                  <w:lang w:eastAsia="lt-LT"/>
                </w:rPr>
              </w:pPr>
              <w:r>
                <w:rPr>
                  <w:szCs w:val="24"/>
                  <w:lang w:eastAsia="lt-LT"/>
                </w:rPr>
                <w:t>Atliktas įsakymo projekto antikorupcinis vertinimas, parengta antikorupcinio vertinimo pažyma.</w:t>
              </w:r>
            </w:p>
          </w:sdtContent>
        </w:sdt>
        <w:sdt>
          <w:sdtPr>
            <w:alias w:val="6 p."/>
            <w:tag w:val="part_515987f4b6534a9db186495e33dd487f"/>
            <w:lock w:val="sdtLocked"/>
            <w:richText/>
          </w:sdtPr>
          <w:sdtContent>
            <w:p w14:paraId="6E22177E" w14:textId="18F76541">
              <w:pPr>
                <w:overflowPunct w:val="0"/>
                <w:ind w:firstLine="567"/>
                <w:jc w:val="both"/>
                <w:textAlignment w:val="baseline"/>
                <w:rPr>
                  <w:b/>
                  <w:bCs/>
                  <w:color w:val="000000"/>
                  <w:szCs w:val="24"/>
                  <w:lang w:eastAsia="lt-LT"/>
                </w:rPr>
              </w:pPr>
              <w:sdt>
                <w:sdtPr>
                  <w:alias w:val="Numeris"/>
                  <w:tag w:val="nr_515987f4b6534a9db186495e33dd487f"/>
                  <w:lock w:val="sdtLocked"/>
                  <w:richText/>
                </w:sdtPr>
                <w:sdtContent>
                  <w:r>
                    <w:rPr>
                      <w:b/>
                      <w:bCs/>
                      <w:color w:val="000000"/>
                      <w:szCs w:val="24"/>
                      <w:lang w:eastAsia="lt-LT"/>
                    </w:rPr>
                    <w:t>6</w:t>
                  </w:r>
                </w:sdtContent>
              </w:sdt>
              <w:r>
                <w:rPr>
                  <w:b/>
                  <w:bCs/>
                  <w:color w:val="000000"/>
                  <w:szCs w:val="24"/>
                  <w:lang w:eastAsia="lt-LT"/>
                </w:rPr>
                <w:t>. Informacija dėl ūkio subjektams sukeliamos administracinės naštos vertinimo, numatomo teisinio reguliavimo poveikio vertinimo, įsakymo projekto, perkeliančio ir (ar) įgyvendinančio Europos Sąjungos direktyvų ar kitų Europos Sąjungos teisės aktų nuostatų atitikties</w:t>
              </w:r>
            </w:p>
            <w:p w14:paraId="2846BC19" w14:textId="77777777">
              <w:pPr>
                <w:overflowPunct w:val="0"/>
                <w:ind w:firstLine="567"/>
                <w:jc w:val="both"/>
                <w:textAlignment w:val="baseline"/>
                <w:rPr>
                  <w:color w:val="000000"/>
                  <w:szCs w:val="24"/>
                  <w:lang w:eastAsia="lt-LT"/>
                </w:rPr>
              </w:pPr>
              <w:r>
                <w:rPr>
                  <w:color w:val="000000"/>
                  <w:szCs w:val="24"/>
                  <w:lang w:eastAsia="lt-LT"/>
                </w:rPr>
                <w:t>Įsakymo projektu ūkio subjektams nesukeliama administracinė našta, todėl administracinės naštos vertinimas nebus atliekamas, taip pat nebus atliekamas numatomo teisinio reguliavimo poveikio vertinimas.</w:t>
              </w:r>
            </w:p>
            <w:p w14:paraId="3CAAC228" w14:textId="0FB0E48D">
              <w:pPr>
                <w:overflowPunct w:val="0"/>
                <w:ind w:firstLine="567"/>
                <w:jc w:val="both"/>
                <w:textAlignment w:val="baseline"/>
                <w:rPr>
                  <w:b/>
                  <w:bCs/>
                  <w:color w:val="000000"/>
                  <w:szCs w:val="24"/>
                  <w:lang w:eastAsia="lt-LT"/>
                </w:rPr>
              </w:pPr>
              <w:r>
                <w:rPr>
                  <w:color w:val="000000"/>
                  <w:szCs w:val="24"/>
                  <w:lang w:eastAsia="lt-LT"/>
                </w:rPr>
                <w:t>Įsakymo projektu yra įgyvendinamos pirmiau išdėstytų Europos Sąjungos teisės aktų nuostatos.</w:t>
              </w:r>
            </w:p>
          </w:sdtContent>
        </w:sdt>
        <w:sdt>
          <w:sdtPr>
            <w:alias w:val="7 p."/>
            <w:tag w:val="part_18158fa241684903b058f626198907cb"/>
            <w:lock w:val="sdtLocked"/>
            <w:richText/>
          </w:sdtPr>
          <w:sdtContent>
            <w:p w14:paraId="7BEF4B88" w14:textId="65F41BF1">
              <w:pPr>
                <w:overflowPunct w:val="0"/>
                <w:ind w:firstLine="567"/>
                <w:jc w:val="both"/>
                <w:textAlignment w:val="baseline"/>
                <w:rPr>
                  <w:b/>
                  <w:bCs/>
                  <w:color w:val="000000"/>
                  <w:szCs w:val="24"/>
                  <w:lang w:eastAsia="lt-LT"/>
                </w:rPr>
              </w:pPr>
              <w:sdt>
                <w:sdtPr>
                  <w:alias w:val="Numeris"/>
                  <w:tag w:val="nr_18158fa241684903b058f626198907cb"/>
                  <w:lock w:val="sdtLocked"/>
                  <w:richText/>
                </w:sdtPr>
                <w:sdtContent>
                  <w:r>
                    <w:rPr>
                      <w:b/>
                      <w:bCs/>
                      <w:color w:val="000000"/>
                      <w:szCs w:val="24"/>
                      <w:lang w:eastAsia="lt-LT"/>
                    </w:rPr>
                    <w:t>7</w:t>
                  </w:r>
                </w:sdtContent>
              </w:sdt>
              <w:r>
                <w:rPr>
                  <w:b/>
                  <w:bCs/>
                  <w:color w:val="000000"/>
                  <w:szCs w:val="24"/>
                  <w:lang w:eastAsia="lt-LT"/>
                </w:rPr>
                <w:t>. Kita svarbi Informacija</w:t>
              </w:r>
            </w:p>
            <w:p w14:paraId="26318842" w14:textId="49189F67">
              <w:pPr>
                <w:overflowPunct w:val="0"/>
                <w:ind w:firstLine="567"/>
                <w:jc w:val="both"/>
                <w:textAlignment w:val="baseline"/>
                <w:rPr>
                  <w:color w:val="000000"/>
                  <w:szCs w:val="24"/>
                  <w:lang w:eastAsia="lt-LT"/>
                </w:rPr>
              </w:pPr>
              <w:r>
                <w:rPr>
                  <w:color w:val="000000"/>
                  <w:szCs w:val="24"/>
                  <w:lang w:eastAsia="lt-LT"/>
                </w:rPr>
                <w:t>Nėra.</w:t>
              </w:r>
            </w:p>
            <w:p w14:paraId="35A11986" w14:textId="68AA0B8D">
              <w:pPr>
                <w:ind w:firstLine="567"/>
                <w:rPr>
                  <w:rFonts w:eastAsia="Calibri"/>
                  <w:color w:val="000000"/>
                  <w:szCs w:val="24"/>
                </w:rPr>
              </w:pPr>
              <w:r>
                <w:rPr>
                  <w:rFonts w:eastAsia="Calibri"/>
                  <w:bCs/>
                  <w:color w:val="000000"/>
                  <w:szCs w:val="24"/>
                </w:rPr>
                <w:t>PRIDEDAMA:</w:t>
              </w:r>
            </w:p>
          </w:sdtContent>
        </w:sdt>
        <w:sdt>
          <w:sdtPr>
            <w:alias w:val="1 p."/>
            <w:tag w:val="part_77911bcbf95b49158c8a096b0c1d44e7"/>
            <w:lock w:val="sdtLocked"/>
            <w:richText/>
          </w:sdtPr>
          <w:sdtContent>
            <w:p w14:paraId="2E510608" w14:textId="4F2EA117">
              <w:pPr>
                <w:tabs>
                  <w:tab w:val="left" w:pos="851"/>
                </w:tabs>
                <w:ind w:firstLine="567"/>
                <w:jc w:val="both"/>
                <w:rPr>
                  <w:szCs w:val="24"/>
                  <w:lang w:eastAsia="lt-LT"/>
                </w:rPr>
              </w:pPr>
              <w:sdt>
                <w:sdtPr>
                  <w:alias w:val="Numeris"/>
                  <w:tag w:val="nr_77911bcbf95b49158c8a096b0c1d44e7"/>
                  <w:lock w:val="sdtLocked"/>
                  <w:richText/>
                </w:sdtPr>
                <w:sdtContent>
                  <w:r>
                    <w:rPr>
                      <w:szCs w:val="24"/>
                      <w:lang w:eastAsia="lt-LT"/>
                    </w:rPr>
                    <w:t>1</w:t>
                  </w:r>
                </w:sdtContent>
              </w:sdt>
              <w:r>
                <w:rPr>
                  <w:szCs w:val="24"/>
                  <w:lang w:eastAsia="lt-LT"/>
                </w:rPr>
                <w:t>.</w:t>
                <w:tab/>
                <w:t>Įsakymo projektas, 1 lapas.</w:t>
              </w:r>
            </w:p>
          </w:sdtContent>
        </w:sdt>
        <w:sdt>
          <w:sdtPr>
            <w:alias w:val="2 p."/>
            <w:tag w:val="part_67524a4eb42f4285abe80e7a70d250e3"/>
            <w:lock w:val="sdtLocked"/>
            <w:richText/>
          </w:sdtPr>
          <w:sdtContent>
            <w:p w14:paraId="7489FA88" w14:textId="7ED86885">
              <w:pPr>
                <w:tabs>
                  <w:tab w:val="left" w:pos="851"/>
                </w:tabs>
                <w:ind w:firstLine="567"/>
                <w:jc w:val="both"/>
                <w:rPr>
                  <w:szCs w:val="24"/>
                  <w:lang w:eastAsia="lt-LT"/>
                </w:rPr>
              </w:pPr>
              <w:sdt>
                <w:sdtPr>
                  <w:alias w:val="Numeris"/>
                  <w:tag w:val="nr_67524a4eb42f4285abe80e7a70d250e3"/>
                  <w:lock w:val="sdtLocked"/>
                  <w:richText/>
                </w:sdtPr>
                <w:sdtContent>
                  <w:r>
                    <w:rPr>
                      <w:szCs w:val="24"/>
                      <w:lang w:eastAsia="lt-LT"/>
                    </w:rPr>
                    <w:t>2</w:t>
                  </w:r>
                </w:sdtContent>
              </w:sdt>
              <w:r>
                <w:rPr>
                  <w:szCs w:val="24"/>
                  <w:lang w:eastAsia="lt-LT"/>
                </w:rPr>
                <w:t>.</w:t>
                <w:tab/>
                <w:t>Paramos už žemės ūkio naudmenas ir kitus plotus bei ūkinius gyvūnus paraiškos ir tiesioginių išmokų administravimo bei kontrolės taisyklių projektas, 69 lapai.</w:t>
              </w:r>
            </w:p>
          </w:sdtContent>
        </w:sdt>
        <w:sdt>
          <w:sdtPr>
            <w:alias w:val="3 p."/>
            <w:tag w:val="part_673a6649708a412a945f3e90611722f5"/>
            <w:lock w:val="sdtLocked"/>
            <w:richText/>
          </w:sdtPr>
          <w:sdtContent>
            <w:p w14:paraId="3C451B39" w14:textId="6DA21A50">
              <w:pPr>
                <w:tabs>
                  <w:tab w:val="left" w:pos="851"/>
                </w:tabs>
                <w:ind w:firstLine="567"/>
                <w:jc w:val="both"/>
                <w:rPr>
                  <w:szCs w:val="24"/>
                  <w:lang w:eastAsia="lt-LT"/>
                </w:rPr>
              </w:pPr>
              <w:sdt>
                <w:sdtPr>
                  <w:alias w:val="Numeris"/>
                  <w:tag w:val="nr_673a6649708a412a945f3e90611722f5"/>
                  <w:lock w:val="sdtLocked"/>
                  <w:richText/>
                </w:sdtPr>
                <w:sdtContent>
                  <w:r>
                    <w:rPr>
                      <w:szCs w:val="24"/>
                      <w:lang w:eastAsia="lt-LT"/>
                    </w:rPr>
                    <w:t>3</w:t>
                  </w:r>
                </w:sdtContent>
              </w:sdt>
              <w:r>
                <w:rPr>
                  <w:szCs w:val="24"/>
                  <w:lang w:eastAsia="lt-LT"/>
                </w:rPr>
                <w:t>.</w:t>
                <w:tab/>
                <w:t>Paramos už žemės ūkio naudmenas ir kitus plotus bei ūkinius gyvūnus paraiškos ir tiesioginių išmokų administravimo bei kontrolės taisyklių projekto 1 priedas, 13 lapų.</w:t>
              </w:r>
            </w:p>
          </w:sdtContent>
        </w:sdt>
        <w:sdt>
          <w:sdtPr>
            <w:alias w:val="4 p."/>
            <w:tag w:val="part_4ad0937867da446da061f266e9e6432b"/>
            <w:lock w:val="sdtLocked"/>
            <w:richText/>
          </w:sdtPr>
          <w:sdtContent>
            <w:p w14:paraId="4151A0AF" w14:textId="36D6E87F">
              <w:pPr>
                <w:tabs>
                  <w:tab w:val="left" w:pos="851"/>
                </w:tabs>
                <w:ind w:firstLine="567"/>
                <w:jc w:val="both"/>
                <w:rPr>
                  <w:szCs w:val="24"/>
                  <w:lang w:eastAsia="lt-LT"/>
                </w:rPr>
              </w:pPr>
              <w:sdt>
                <w:sdtPr>
                  <w:alias w:val="Numeris"/>
                  <w:tag w:val="nr_4ad0937867da446da061f266e9e6432b"/>
                  <w:lock w:val="sdtLocked"/>
                  <w:richText/>
                </w:sdtPr>
                <w:sdtContent>
                  <w:r>
                    <w:rPr>
                      <w:szCs w:val="24"/>
                      <w:lang w:eastAsia="lt-LT"/>
                    </w:rPr>
                    <w:t>4</w:t>
                  </w:r>
                </w:sdtContent>
              </w:sdt>
              <w:r>
                <w:rPr>
                  <w:szCs w:val="24"/>
                  <w:lang w:eastAsia="lt-LT"/>
                </w:rPr>
                <w:t>.</w:t>
                <w:tab/>
                <w:t>Paramos už žemės ūkio naudmenas ir kitus plotus bei ūkinius gyvūnus paraiškos ir tiesioginių išmokų administravimo bei kontrolės taisyklių projekto 2 priedas, 26 lapai.</w:t>
              </w:r>
            </w:p>
          </w:sdtContent>
        </w:sdt>
        <w:sdt>
          <w:sdtPr>
            <w:alias w:val="5 p."/>
            <w:tag w:val="part_2bfd862d19cb443897e775bfab85135f"/>
            <w:lock w:val="sdtLocked"/>
            <w:richText/>
          </w:sdtPr>
          <w:sdtContent>
            <w:p w14:paraId="7F638CA1" w14:textId="244CF16F">
              <w:pPr>
                <w:tabs>
                  <w:tab w:val="left" w:pos="851"/>
                </w:tabs>
                <w:ind w:firstLine="567"/>
                <w:jc w:val="both"/>
                <w:rPr>
                  <w:szCs w:val="24"/>
                  <w:lang w:eastAsia="lt-LT"/>
                </w:rPr>
              </w:pPr>
              <w:sdt>
                <w:sdtPr>
                  <w:alias w:val="Numeris"/>
                  <w:tag w:val="nr_2bfd862d19cb443897e775bfab85135f"/>
                  <w:lock w:val="sdtLocked"/>
                  <w:richText/>
                </w:sdtPr>
                <w:sdtContent>
                  <w:r>
                    <w:rPr>
                      <w:szCs w:val="24"/>
                      <w:lang w:eastAsia="lt-LT"/>
                    </w:rPr>
                    <w:t>5</w:t>
                  </w:r>
                </w:sdtContent>
              </w:sdt>
              <w:r>
                <w:rPr>
                  <w:szCs w:val="24"/>
                  <w:lang w:eastAsia="lt-LT"/>
                </w:rPr>
                <w:t>.</w:t>
                <w:tab/>
                <w:t>Paramos už žemės ūkio naudmenas ir kitus plotus bei ūkinius gyvūnus paraiškos ir tiesioginių išmokų administravimo bei kontrolės taisyklių projekto 3 priedas, 1 lapas.</w:t>
              </w:r>
            </w:p>
          </w:sdtContent>
        </w:sdt>
        <w:sdt>
          <w:sdtPr>
            <w:alias w:val="6 p."/>
            <w:tag w:val="part_c4f8339979c84e388d2d8ab95b323ef5"/>
            <w:lock w:val="sdtLocked"/>
            <w:richText/>
          </w:sdtPr>
          <w:sdtContent>
            <w:p w14:paraId="06AA6BB3" w14:textId="48BA0B36">
              <w:pPr>
                <w:tabs>
                  <w:tab w:val="left" w:pos="851"/>
                </w:tabs>
                <w:ind w:firstLine="567"/>
                <w:jc w:val="both"/>
                <w:rPr>
                  <w:szCs w:val="24"/>
                  <w:lang w:eastAsia="lt-LT"/>
                </w:rPr>
              </w:pPr>
              <w:sdt>
                <w:sdtPr>
                  <w:alias w:val="Numeris"/>
                  <w:tag w:val="nr_c4f8339979c84e388d2d8ab95b323ef5"/>
                  <w:lock w:val="sdtLocked"/>
                  <w:richText/>
                </w:sdtPr>
                <w:sdtContent>
                  <w:r>
                    <w:rPr>
                      <w:szCs w:val="24"/>
                      <w:lang w:eastAsia="lt-LT"/>
                    </w:rPr>
                    <w:t>6</w:t>
                  </w:r>
                </w:sdtContent>
              </w:sdt>
              <w:r>
                <w:rPr>
                  <w:szCs w:val="24"/>
                  <w:lang w:eastAsia="lt-LT"/>
                </w:rPr>
                <w:t>.</w:t>
                <w:tab/>
                <w:t>Paramos už žemės ūkio naudmenas ir kitus plotus bei ūkinius gyvūnus paraiškos ir tiesioginių išmokų administravimo bei kontrolės taisyklių projekto 4 priedas, 3 lapai.</w:t>
              </w:r>
            </w:p>
          </w:sdtContent>
        </w:sdt>
        <w:sdt>
          <w:sdtPr>
            <w:alias w:val="7 p."/>
            <w:tag w:val="part_89a9c4a722274692938019c411c0e57b"/>
            <w:lock w:val="sdtLocked"/>
            <w:richText/>
          </w:sdtPr>
          <w:sdtContent>
            <w:p w14:paraId="270C9848" w14:textId="2DDB14CF">
              <w:pPr>
                <w:tabs>
                  <w:tab w:val="left" w:pos="851"/>
                </w:tabs>
                <w:ind w:firstLine="567"/>
                <w:jc w:val="both"/>
                <w:rPr>
                  <w:szCs w:val="24"/>
                  <w:lang w:eastAsia="lt-LT"/>
                </w:rPr>
              </w:pPr>
              <w:sdt>
                <w:sdtPr>
                  <w:alias w:val="Numeris"/>
                  <w:tag w:val="nr_89a9c4a722274692938019c411c0e57b"/>
                  <w:lock w:val="sdtLocked"/>
                  <w:richText/>
                </w:sdtPr>
                <w:sdtContent>
                  <w:r>
                    <w:rPr>
                      <w:szCs w:val="24"/>
                      <w:lang w:eastAsia="lt-LT"/>
                    </w:rPr>
                    <w:t>7</w:t>
                  </w:r>
                </w:sdtContent>
              </w:sdt>
              <w:r>
                <w:rPr>
                  <w:szCs w:val="24"/>
                  <w:lang w:eastAsia="lt-LT"/>
                </w:rPr>
                <w:t>.</w:t>
                <w:tab/>
                <w:t>Paramos už žemės ūkio naudmenas ir kitus plotus bei ūkinius gyvūnus paraiškos ir tiesioginių išmokų administravimo bei kontrolės taisyklių projekto 5 priedas, 1 lapas.</w:t>
              </w:r>
            </w:p>
          </w:sdtContent>
        </w:sdt>
        <w:sdt>
          <w:sdtPr>
            <w:alias w:val="8 p."/>
            <w:tag w:val="part_29e0d08dd9e54ce3aaf41baa30b7cc87"/>
            <w:lock w:val="sdtLocked"/>
            <w:richText/>
          </w:sdtPr>
          <w:sdtContent>
            <w:p w14:paraId="64136F60" w14:textId="0F00D43E">
              <w:pPr>
                <w:tabs>
                  <w:tab w:val="left" w:pos="851"/>
                </w:tabs>
                <w:ind w:firstLine="567"/>
                <w:jc w:val="both"/>
                <w:rPr>
                  <w:szCs w:val="24"/>
                  <w:lang w:eastAsia="lt-LT"/>
                </w:rPr>
              </w:pPr>
              <w:sdt>
                <w:sdtPr>
                  <w:alias w:val="Numeris"/>
                  <w:tag w:val="nr_29e0d08dd9e54ce3aaf41baa30b7cc87"/>
                  <w:lock w:val="sdtLocked"/>
                  <w:richText/>
                </w:sdtPr>
                <w:sdtContent>
                  <w:r>
                    <w:rPr>
                      <w:szCs w:val="24"/>
                      <w:lang w:eastAsia="lt-LT"/>
                    </w:rPr>
                    <w:t>8</w:t>
                  </w:r>
                </w:sdtContent>
              </w:sdt>
              <w:r>
                <w:rPr>
                  <w:szCs w:val="24"/>
                  <w:lang w:eastAsia="lt-LT"/>
                </w:rPr>
                <w:t>.</w:t>
                <w:tab/>
                <w:t>Paramos už žemės ūkio naudmenas ir kitus plotus bei ūkinius gyvūnus paraiškos ir tiesioginių išmokų administravimo bei kontrolės taisyklių projekto 6 priedas, 1 lapas.</w:t>
              </w:r>
            </w:p>
          </w:sdtContent>
        </w:sdt>
        <w:sdt>
          <w:sdtPr>
            <w:alias w:val="9 p."/>
            <w:tag w:val="part_4cd85dd0a57a4c8d9388c0b6178b6d8d"/>
            <w:lock w:val="sdtLocked"/>
            <w:richText/>
          </w:sdtPr>
          <w:sdtContent>
            <w:p w14:paraId="71183D66" w14:textId="304981AF">
              <w:pPr>
                <w:tabs>
                  <w:tab w:val="left" w:pos="851"/>
                </w:tabs>
                <w:ind w:firstLine="567"/>
                <w:jc w:val="both"/>
                <w:rPr>
                  <w:szCs w:val="24"/>
                  <w:lang w:eastAsia="lt-LT"/>
                </w:rPr>
              </w:pPr>
              <w:sdt>
                <w:sdtPr>
                  <w:alias w:val="Numeris"/>
                  <w:tag w:val="nr_4cd85dd0a57a4c8d9388c0b6178b6d8d"/>
                  <w:lock w:val="sdtLocked"/>
                  <w:richText/>
                </w:sdtPr>
                <w:sdtContent>
                  <w:r>
                    <w:rPr>
                      <w:szCs w:val="24"/>
                      <w:lang w:eastAsia="lt-LT"/>
                    </w:rPr>
                    <w:t>9</w:t>
                  </w:r>
                </w:sdtContent>
              </w:sdt>
              <w:r>
                <w:rPr>
                  <w:szCs w:val="24"/>
                  <w:lang w:eastAsia="lt-LT"/>
                </w:rPr>
                <w:t>.</w:t>
                <w:tab/>
                <w:t>Paramos už žemės ūkio naudmenas ir kitus plotus bei ūkinius gyvūnus paraiškos ir tiesioginių išmokų administravimo bei kontrolės taisyklių projekto 7 priedas, 8 lapai.</w:t>
              </w:r>
            </w:p>
          </w:sdtContent>
        </w:sdt>
        <w:sdt>
          <w:sdtPr>
            <w:alias w:val="10 p."/>
            <w:tag w:val="part_5545cdecbd5445fcac9a8a64457790d8"/>
            <w:lock w:val="sdtLocked"/>
            <w:richText/>
          </w:sdtPr>
          <w:sdtContent>
            <w:p w14:paraId="368DDEAC" w14:textId="6CE1DF89">
              <w:pPr>
                <w:tabs>
                  <w:tab w:val="left" w:pos="993"/>
                </w:tabs>
                <w:ind w:firstLine="567"/>
                <w:jc w:val="both"/>
                <w:rPr>
                  <w:szCs w:val="24"/>
                  <w:lang w:eastAsia="lt-LT"/>
                </w:rPr>
              </w:pPr>
              <w:sdt>
                <w:sdtPr>
                  <w:alias w:val="Numeris"/>
                  <w:tag w:val="nr_5545cdecbd5445fcac9a8a64457790d8"/>
                  <w:lock w:val="sdtLocked"/>
                  <w:richText/>
                </w:sdtPr>
                <w:sdtContent>
                  <w:r>
                    <w:rPr>
                      <w:szCs w:val="24"/>
                      <w:lang w:eastAsia="lt-LT"/>
                    </w:rPr>
                    <w:t>10</w:t>
                  </w:r>
                </w:sdtContent>
              </w:sdt>
              <w:r>
                <w:rPr>
                  <w:szCs w:val="24"/>
                  <w:lang w:eastAsia="lt-LT"/>
                </w:rPr>
                <w:t>.</w:t>
                <w:tab/>
                <w:t>Paramos už žemės ūkio naudmenas ir kitus plotus bei ūkinius gyvūnus paraiškos ir tiesioginių išmokų administravimo bei kontrolės taisyklių projekto 8 priedas, 2 lapai.</w:t>
              </w:r>
            </w:p>
          </w:sdtContent>
        </w:sdt>
        <w:sdt>
          <w:sdtPr>
            <w:alias w:val="11 p."/>
            <w:tag w:val="part_aa567284c13a4a0bb2d71a7178f4f480"/>
            <w:lock w:val="sdtLocked"/>
            <w:richText/>
          </w:sdtPr>
          <w:sdtContent>
            <w:p w14:paraId="104BA6FB" w14:textId="32A7DD4F">
              <w:pPr>
                <w:tabs>
                  <w:tab w:val="left" w:pos="993"/>
                </w:tabs>
                <w:ind w:firstLine="567"/>
                <w:jc w:val="both"/>
                <w:rPr>
                  <w:szCs w:val="24"/>
                  <w:lang w:eastAsia="lt-LT"/>
                </w:rPr>
              </w:pPr>
              <w:sdt>
                <w:sdtPr>
                  <w:alias w:val="Numeris"/>
                  <w:tag w:val="nr_aa567284c13a4a0bb2d71a7178f4f480"/>
                  <w:lock w:val="sdtLocked"/>
                  <w:richText/>
                </w:sdtPr>
                <w:sdtContent>
                  <w:r>
                    <w:rPr>
                      <w:szCs w:val="24"/>
                      <w:lang w:eastAsia="lt-LT"/>
                    </w:rPr>
                    <w:t>11</w:t>
                  </w:r>
                </w:sdtContent>
              </w:sdt>
              <w:r>
                <w:rPr>
                  <w:szCs w:val="24"/>
                  <w:lang w:eastAsia="lt-LT"/>
                </w:rPr>
                <w:t>.</w:t>
                <w:tab/>
                <w:t>Paramos už žemės ūkio naudmenas ir kitus plotus bei ūkinius gyvūnus paraiškos ir tiesioginių išmokų administravimo bei kontrolės taisyklių projekto 9 priedas, 1 lapas.</w:t>
              </w:r>
            </w:p>
            <w:p w14:paraId="378D4EC3" w14:textId="77777777">
              <w:pPr>
                <w:overflowPunct w:val="0"/>
                <w:spacing w:line="360" w:lineRule="auto"/>
                <w:jc w:val="both"/>
                <w:textAlignment w:val="baseline"/>
                <w:rPr>
                  <w:szCs w:val="24"/>
                  <w:lang w:eastAsia="lt-LT"/>
                </w:rPr>
              </w:pPr>
            </w:p>
            <w:p w14:paraId="65561818" w14:textId="4CCAC14C">
              <w:pPr>
                <w:suppressAutoHyphens/>
                <w:overflowPunct w:val="0"/>
                <w:textAlignment w:val="baseline"/>
                <w:rPr>
                  <w:szCs w:val="24"/>
                  <w:lang w:eastAsia="lt-LT"/>
                </w:rPr>
              </w:pPr>
            </w:p>
            <w:p w14:paraId="71FE0415" w14:textId="38EF90B1">
              <w:pPr>
                <w:overflowPunct w:val="0"/>
                <w:spacing w:line="360" w:lineRule="auto"/>
                <w:jc w:val="both"/>
                <w:textAlignment w:val="baseline"/>
                <w:rPr>
                  <w:szCs w:val="24"/>
                  <w:lang w:eastAsia="lt-LT"/>
                </w:rPr>
              </w:pPr>
            </w:p>
            <w:p w14:paraId="597BA9E6" w14:textId="77777777">
              <w:pPr>
                <w:overflowPunct w:val="0"/>
                <w:spacing w:line="360" w:lineRule="auto"/>
                <w:jc w:val="both"/>
                <w:textAlignment w:val="baseline"/>
                <w:rPr>
                  <w:szCs w:val="24"/>
                  <w:lang w:eastAsia="lt-LT"/>
                </w:rPr>
              </w:pPr>
            </w:p>
          </w:sdtContent>
        </w:sdt>
        <w:sdt>
          <w:sdtPr>
            <w:alias w:val="signatura"/>
            <w:tag w:val="part_7d4d2df08d184b658326edb35068a293"/>
            <w:lock w:val="sdtLocked"/>
            <w:richText/>
          </w:sdtPr>
          <w:sdtContent>
            <w:p w14:paraId="225D8BFF" w14:textId="026EC357">
              <w:pPr>
                <w:overflowPunct w:val="0"/>
                <w:spacing w:line="360" w:lineRule="auto"/>
                <w:jc w:val="both"/>
                <w:textAlignment w:val="baseline"/>
                <w:rPr>
                  <w:szCs w:val="24"/>
                  <w:lang w:eastAsia="lt-LT"/>
                </w:rPr>
              </w:pPr>
              <w:r>
                <w:rPr>
                  <w:szCs w:val="24"/>
                  <w:lang w:eastAsia="lt-LT"/>
                </w:rPr>
                <w:t xml:space="preserve">Direktorė </w:t>
                <w:tab/>
                <w:tab/>
                <w:tab/>
                <w:tab/>
                <w:tab/>
                <w:tab/>
                <w:tab/>
                <w:tab/>
                <w:tab/>
                <w:t xml:space="preserve">           Jurgita Stakėnienė</w:t>
              </w:r>
            </w:p>
            <w:p w14:paraId="4721F95D" w14:textId="7D684118">
              <w:pPr>
                <w:overflowPunct w:val="0"/>
                <w:spacing w:line="360" w:lineRule="auto"/>
                <w:jc w:val="both"/>
                <w:textAlignment w:val="baseline"/>
                <w:rPr>
                  <w:szCs w:val="24"/>
                  <w:lang w:eastAsia="lt-LT"/>
                </w:rPr>
              </w:pPr>
            </w:p>
            <w:p w14:paraId="44DCAB4A" w14:textId="4FE5FF52">
              <w:pPr>
                <w:overflowPunct w:val="0"/>
                <w:spacing w:line="360" w:lineRule="auto"/>
                <w:jc w:val="both"/>
                <w:textAlignment w:val="baseline"/>
                <w:rPr>
                  <w:szCs w:val="24"/>
                  <w:lang w:eastAsia="lt-LT"/>
                </w:rPr>
              </w:pPr>
            </w:p>
            <w:p w14:paraId="0C5A5E44" w14:textId="77777777">
              <w:pPr>
                <w:overflowPunct w:val="0"/>
                <w:spacing w:line="360" w:lineRule="auto"/>
                <w:jc w:val="both"/>
                <w:textAlignment w:val="baseline"/>
                <w:rPr>
                  <w:szCs w:val="24"/>
                  <w:lang w:eastAsia="lt-LT"/>
                </w:rPr>
              </w:pPr>
            </w:p>
            <w:p w14:paraId="6305329A" w14:textId="45D97D1D">
              <w:pPr>
                <w:overflowPunct w:val="0"/>
                <w:spacing w:line="276" w:lineRule="auto"/>
                <w:jc w:val="both"/>
                <w:textAlignment w:val="baseline"/>
                <w:rPr>
                  <w:szCs w:val="24"/>
                  <w:lang w:val="en-GB" w:eastAsia="lt-LT"/>
                </w:rPr>
              </w:pPr>
              <w:r>
                <w:rPr>
                  <w:szCs w:val="24"/>
                  <w:lang w:eastAsia="lt-LT"/>
                </w:rPr>
                <w:t xml:space="preserve">Skirmantas Ramoška, tel. </w:t>
              </w:r>
              <w:r>
                <w:rPr>
                  <w:szCs w:val="24"/>
                  <w:lang w:val="en-GB" w:eastAsia="lt-LT"/>
                </w:rPr>
                <w:t>239 1166</w:t>
              </w:r>
            </w:p>
            <w:p w14:paraId="1A4E24C6" w14:textId="6FEB6EBF">
              <w:pPr>
                <w:overflowPunct w:val="0"/>
                <w:spacing w:line="276" w:lineRule="auto"/>
                <w:jc w:val="both"/>
                <w:textAlignment w:val="baseline"/>
                <w:rPr>
                  <w:szCs w:val="24"/>
                  <w:lang w:val="en-US" w:eastAsia="lt-LT"/>
                </w:rPr>
              </w:pPr>
              <w:r>
                <w:rPr>
                  <w:szCs w:val="24"/>
                  <w:lang w:val="en-US" w:eastAsia="lt-LT"/>
                </w:rPr>
                <w:t>Rolana Miknevičienė, tel. 239 1225</w:t>
              </w:r>
            </w:p>
          </w:sdtContent>
        </w:sdt>
      </w:sdtContent>
    </w:sdt>
    <w:sectPr>
      <w:pgSz w:w="11907" w:h="16840"/>
      <w:pgMar w:top="1247" w:right="567" w:bottom="1134" w:left="1701" w:header="567" w:footer="56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5B494C" w14:textId="77777777">
      <w:pPr>
        <w:overflowPunct w:val="0"/>
        <w:textAlignment w:val="baseline"/>
        <w:rPr>
          <w:lang w:val="en-GB" w:eastAsia="lt-LT"/>
        </w:rPr>
      </w:pPr>
      <w:r>
        <w:rPr>
          <w:lang w:val="en-GB" w:eastAsia="lt-LT"/>
        </w:rPr>
        <w:separator/>
      </w:r>
    </w:p>
  </w:endnote>
  <w:endnote w:type="continuationSeparator" w:id="0">
    <w:p w14:paraId="4BC224FE" w14:textId="77777777">
      <w:pPr>
        <w:overflowPunct w:val="0"/>
        <w:textAlignment w:val="baseline"/>
        <w:rPr>
          <w:lang w:val="en-GB" w:eastAsia="lt-LT"/>
        </w:rPr>
      </w:pPr>
      <w:r>
        <w:rPr>
          <w:lang w:val="en-GB" w:eastAsia="lt-LT"/>
        </w:rPr>
        <w:continuationSeparator/>
      </w:r>
    </w:p>
  </w:endnote>
  <w:endnote w:type="continuationNotice" w:id="1">
    <w:p w14:paraId="26585882"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D2B2A3" w14:textId="77777777">
      <w:pPr>
        <w:overflowPunct w:val="0"/>
        <w:textAlignment w:val="baseline"/>
        <w:rPr>
          <w:lang w:val="en-GB" w:eastAsia="lt-LT"/>
        </w:rPr>
      </w:pPr>
      <w:r>
        <w:rPr>
          <w:lang w:val="en-GB" w:eastAsia="lt-LT"/>
        </w:rPr>
        <w:separator/>
      </w:r>
    </w:p>
  </w:footnote>
  <w:footnote w:type="continuationSeparator" w:id="0">
    <w:p w14:paraId="5604C569" w14:textId="77777777">
      <w:pPr>
        <w:overflowPunct w:val="0"/>
        <w:textAlignment w:val="baseline"/>
        <w:rPr>
          <w:lang w:val="en-GB" w:eastAsia="lt-LT"/>
        </w:rPr>
      </w:pPr>
      <w:r>
        <w:rPr>
          <w:lang w:val="en-GB" w:eastAsia="lt-LT"/>
        </w:rPr>
        <w:continuationSeparator/>
      </w:r>
    </w:p>
  </w:footnote>
  <w:footnote w:type="continuationNotice" w:id="1">
    <w:p w14:paraId="6E94A375" w14:textId="77777777"/>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46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188C9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7317738">
      <w:bodyDiv w:val="1"/>
      <w:marLeft w:val="0"/>
      <w:marRight w:val="0"/>
      <w:marTop w:val="0"/>
      <w:marBottom w:val="0"/>
      <w:divBdr>
        <w:top w:val="none" w:sz="0" w:space="0" w:color="auto"/>
        <w:left w:val="none" w:sz="0" w:space="0" w:color="auto"/>
        <w:bottom w:val="none" w:sz="0" w:space="0" w:color="auto"/>
        <w:right w:val="none" w:sz="0" w:space="0" w:color="auto"/>
      </w:divBdr>
    </w:div>
    <w:div w:id="1130392588">
      <w:bodyDiv w:val="1"/>
      <w:marLeft w:val="0"/>
      <w:marRight w:val="0"/>
      <w:marTop w:val="0"/>
      <w:marBottom w:val="0"/>
      <w:divBdr>
        <w:top w:val="none" w:sz="0" w:space="0" w:color="auto"/>
        <w:left w:val="none" w:sz="0" w:space="0" w:color="auto"/>
        <w:bottom w:val="none" w:sz="0" w:space="0" w:color="auto"/>
        <w:right w:val="none" w:sz="0" w:space="0" w:color="auto"/>
      </w:divBdr>
    </w:div>
    <w:div w:id="1219316269">
      <w:bodyDiv w:val="1"/>
      <w:marLeft w:val="0"/>
      <w:marRight w:val="0"/>
      <w:marTop w:val="0"/>
      <w:marBottom w:val="0"/>
      <w:divBdr>
        <w:top w:val="none" w:sz="0" w:space="0" w:color="auto"/>
        <w:left w:val="none" w:sz="0" w:space="0" w:color="auto"/>
        <w:bottom w:val="none" w:sz="0" w:space="0" w:color="auto"/>
        <w:right w:val="none" w:sz="0" w:space="0" w:color="auto"/>
      </w:divBdr>
    </w:div>
    <w:div w:id="1294824506">
      <w:bodyDiv w:val="1"/>
      <w:marLeft w:val="0"/>
      <w:marRight w:val="0"/>
      <w:marTop w:val="0"/>
      <w:marBottom w:val="0"/>
      <w:divBdr>
        <w:top w:val="none" w:sz="0" w:space="0" w:color="auto"/>
        <w:left w:val="none" w:sz="0" w:space="0" w:color="auto"/>
        <w:bottom w:val="none" w:sz="0" w:space="0" w:color="auto"/>
        <w:right w:val="none" w:sz="0" w:space="0" w:color="auto"/>
      </w:divBdr>
    </w:div>
    <w:div w:id="1742558877">
      <w:bodyDiv w:val="1"/>
      <w:marLeft w:val="0"/>
      <w:marRight w:val="0"/>
      <w:marTop w:val="0"/>
      <w:marBottom w:val="0"/>
      <w:divBdr>
        <w:top w:val="none" w:sz="0" w:space="0" w:color="auto"/>
        <w:left w:val="none" w:sz="0" w:space="0" w:color="auto"/>
        <w:bottom w:val="none" w:sz="0" w:space="0" w:color="auto"/>
        <w:right w:val="none" w:sz="0" w:space="0" w:color="auto"/>
      </w:divBdr>
    </w:div>
    <w:div w:id="1940915314">
      <w:bodyDiv w:val="1"/>
      <w:marLeft w:val="0"/>
      <w:marRight w:val="0"/>
      <w:marTop w:val="0"/>
      <w:marBottom w:val="0"/>
      <w:divBdr>
        <w:top w:val="none" w:sz="0" w:space="0" w:color="auto"/>
        <w:left w:val="none" w:sz="0" w:space="0" w:color="auto"/>
        <w:bottom w:val="none" w:sz="0" w:space="0" w:color="auto"/>
        <w:right w:val="none" w:sz="0" w:space="0" w:color="auto"/>
      </w:divBdr>
    </w:div>
    <w:div w:id="1985430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3820b01f6aa4e8fa5f2b54841a5a2c0" PartId="c52b37a771284f05be106c6382765225">
    <Part Type="punktas" Nr="1" Abbr="1 p." DocPartId="2703b31d1eeb4dd5a6c06421067467a8" PartId="5ee20cfe71d44ef79ffd879615bfb7fa"/>
    <Part Type="punktas" Nr="2" Abbr="2 p." DocPartId="4dfb897fa1254915911b49ac32ed783a" PartId="9def636e2e6f4a9cbfe0fb5ed00032c4"/>
    <Part Type="punktas" Nr="3" Abbr="3 p." DocPartId="a27246d867e844d1a92ca5039cea0d73" PartId="7419135eeafd45b68329455d69dde36c"/>
    <Part Type="punktas" Nr="4" Abbr="4 p." DocPartId="fbb3d7ef55f9476a82240a332a17e4e4" PartId="55ca8b1813e84b31a0292a8638950785"/>
    <Part Type="punktas" Nr="5" Abbr="5 p." DocPartId="c2354a0ec4c845cf9f458d3127215e47" PartId="ee43cd4f250648e78dba8ad2bc3406bb"/>
    <Part Type="punktas" Nr="6" Abbr="6 p." DocPartId="b63f6154073643bfa94e767fc39f5309" PartId="515987f4b6534a9db186495e33dd487f"/>
    <Part Type="punktas" Nr="7" Abbr="7 p." DocPartId="1aa1605a00724f529e792c125b5ac36d" PartId="18158fa241684903b058f626198907cb"/>
    <Part Type="punktas" Nr="1" Abbr="1 p." Notes="Numeris ne iš eilės. Trūksta dalių? [DocDalys]" DocPartId="cbd6419e4db44b31af1ffb8d2cfe59d8" PartId="77911bcbf95b49158c8a096b0c1d44e7"/>
    <Part Type="punktas" Nr="2" Abbr="2 p." DocPartId="a24eaca0e7094b3798fdfe8a086724b9" PartId="67524a4eb42f4285abe80e7a70d250e3"/>
    <Part Type="punktas" Nr="3" Abbr="3 p." DocPartId="e5e97a55269d48e78208fe76d1beffee" PartId="673a6649708a412a945f3e90611722f5"/>
    <Part Type="punktas" Nr="4" Abbr="4 p." DocPartId="e7e48105b9134a019ccd277d67a40ff6" PartId="4ad0937867da446da061f266e9e6432b"/>
    <Part Type="punktas" Nr="5" Abbr="5 p." DocPartId="32bb59fb72f940cca28eb472b84cb64b" PartId="2bfd862d19cb443897e775bfab85135f"/>
    <Part Type="punktas" Nr="6" Abbr="6 p." DocPartId="dafe28abf61740dc9edf2bf1f8ffd637" PartId="c4f8339979c84e388d2d8ab95b323ef5"/>
    <Part Type="punktas" Nr="7" Abbr="7 p." DocPartId="7a23765f3af1470fb7a9da30c0d6f424" PartId="89a9c4a722274692938019c411c0e57b"/>
    <Part Type="punktas" Nr="8" Abbr="8 p." DocPartId="6b40b68754f8494abde7a8cb290aab78" PartId="29e0d08dd9e54ce3aaf41baa30b7cc87"/>
    <Part Type="punktas" Nr="9" Abbr="9 p." DocPartId="aeb1338d348441438c63e48f5a3fcf56" PartId="4cd85dd0a57a4c8d9388c0b6178b6d8d"/>
    <Part Type="punktas" Nr="10" Abbr="10 p." DocPartId="4065f3dd39c544abba11f329dce178de" PartId="5545cdecbd5445fcac9a8a64457790d8"/>
    <Part Type="punktas" Nr="11" Abbr="11 p." DocPartId="5df7ff1a0b524bf0ae6eddf9b40f457c" PartId="aa567284c13a4a0bb2d71a7178f4f480"/>
    <Part Type="signatura" DocPartId="752bfaf59238442da9a307f6b1f39aca" PartId="7d4d2df08d184b658326edb35068a293"/>
  </Part>
</Parts>
</file>

<file path=customXml/itemProps1.xml><?xml version="1.0" encoding="utf-8"?>
<ds:datastoreItem xmlns:ds="http://schemas.openxmlformats.org/officeDocument/2006/customXml" ds:itemID="{7E641B2A-B93F-402D-B07A-15A2C680A2A9}">
  <ds:schemaRefs>
    <ds:schemaRef ds:uri="http://schemas.openxmlformats.org/officeDocument/2006/bibliography"/>
  </ds:schemaRefs>
</ds:datastoreItem>
</file>

<file path=customXml/itemProps2.xml><?xml version="1.0" encoding="utf-8"?>
<ds:datastoreItem xmlns:ds="http://schemas.openxmlformats.org/officeDocument/2006/customXml" ds:itemID="{99CC3B00-BCA9-4E60-A3C1-E64AB3C6DD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731</Words>
  <Characters>4826</Characters>
  <Application>Microsoft Office Word</Application>
  <DocSecurity>4</DocSecurity>
  <Lines>98</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5515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terms:modified xsi:type="dcterms:W3CDTF">2023-01-31T09:25:00Z</dcterms:modified>
  <revision>1</revision>
</coreProperties>
</file>