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1E" w:rsidRPr="003A575A" w:rsidRDefault="00A2391E" w:rsidP="00A2391E">
      <w:pPr>
        <w:ind w:left="3888" w:firstLine="1296"/>
      </w:pPr>
      <w:r w:rsidRPr="003A575A">
        <w:t xml:space="preserve">Statybos techninio reglamento </w:t>
      </w:r>
    </w:p>
    <w:p w:rsidR="00A2391E" w:rsidRPr="003A575A" w:rsidRDefault="00A2391E" w:rsidP="00A2391E">
      <w:pPr>
        <w:ind w:left="5184"/>
      </w:pPr>
      <w:r w:rsidRPr="003A575A">
        <w:t>STR 2.</w:t>
      </w:r>
      <w:r w:rsidR="003A575A">
        <w:t>XX</w:t>
      </w:r>
      <w:r w:rsidRPr="003A575A">
        <w:t>.</w:t>
      </w:r>
      <w:r w:rsidR="003A575A">
        <w:t>XX</w:t>
      </w:r>
      <w:r w:rsidRPr="003A575A">
        <w:t>:2016 „Pastatų energinio naudingumo projektavimas ir sertifikavimas“</w:t>
      </w:r>
    </w:p>
    <w:p w:rsidR="00A2391E" w:rsidRPr="003A575A" w:rsidRDefault="00A2391E" w:rsidP="00A2391E">
      <w:pPr>
        <w:ind w:left="3888" w:firstLine="1296"/>
      </w:pPr>
      <w:r w:rsidRPr="003A575A">
        <w:t>13 priedas</w:t>
      </w:r>
    </w:p>
    <w:p w:rsidR="00A2391E" w:rsidRPr="003A575A" w:rsidRDefault="00A2391E" w:rsidP="00A2391E">
      <w:pPr>
        <w:ind w:left="3240" w:firstLine="1296"/>
      </w:pPr>
    </w:p>
    <w:p w:rsidR="00A2391E" w:rsidRPr="003A575A" w:rsidRDefault="00A2391E" w:rsidP="00A2391E">
      <w:pPr>
        <w:pStyle w:val="Heading2"/>
      </w:pPr>
      <w:bookmarkStart w:id="0" w:name="_Toc435605167"/>
      <w:r w:rsidRPr="003A575A">
        <w:t>Pastato šildymo sistemos šilumos šaltinio projektinė galia</w:t>
      </w:r>
      <w:bookmarkEnd w:id="0"/>
    </w:p>
    <w:p w:rsidR="00A2391E" w:rsidRPr="003A575A" w:rsidRDefault="00A2391E" w:rsidP="00A2391E"/>
    <w:p w:rsidR="00A2391E" w:rsidRPr="003A575A" w:rsidRDefault="00A2391E" w:rsidP="00D948AA">
      <w:pPr>
        <w:ind w:firstLine="567"/>
      </w:pPr>
      <w:r w:rsidRPr="003A575A">
        <w:t xml:space="preserve">1. Pastatui (jo daliai) šildyti reikalinga šilumos šaltinio projektinė galia </w:t>
      </w:r>
      <w:r w:rsidRPr="003A575A">
        <w:rPr>
          <w:i/>
        </w:rPr>
        <w:t>P</w:t>
      </w:r>
      <w:r w:rsidRPr="003A575A">
        <w:rPr>
          <w:i/>
          <w:vertAlign w:val="subscript"/>
        </w:rPr>
        <w:t>H</w:t>
      </w:r>
      <w:r w:rsidRPr="003A575A">
        <w:t>, W, turi būti skaičiuojama nevertinant šilumos pritekėjimų į patalpas. Ši galia turi būti skaičiuojama taip:</w:t>
      </w:r>
    </w:p>
    <w:p w:rsidR="00A2391E" w:rsidRPr="003A575A" w:rsidRDefault="00A2391E" w:rsidP="00D948AA">
      <w:pPr>
        <w:ind w:firstLine="567"/>
      </w:pPr>
      <w:r w:rsidRPr="003A575A">
        <w:t>1.1. jeigu pastate (jo dalyje) šildomų patalpų aukštis neviršija 5 m ir šildymo sistemoje įrengtas valdymas su nustatytosios vidaus temperatūros</w:t>
      </w:r>
      <w:r w:rsidRPr="003A575A">
        <w:rPr>
          <w:b/>
        </w:rPr>
        <w:t xml:space="preserve"> </w:t>
      </w:r>
      <w:r w:rsidRPr="003A575A">
        <w:t>keitimu visame pastato (jo dalies) šildomame plote,</w:t>
      </w:r>
    </w:p>
    <w:p w:rsidR="00A2391E" w:rsidRPr="003A575A" w:rsidRDefault="00A2391E" w:rsidP="00A2391E">
      <w:pPr>
        <w:ind w:firstLine="720"/>
      </w:pPr>
    </w:p>
    <w:tbl>
      <w:tblPr>
        <w:tblW w:w="0" w:type="auto"/>
        <w:tblLook w:val="01E0"/>
      </w:tblPr>
      <w:tblGrid>
        <w:gridCol w:w="8508"/>
        <w:gridCol w:w="1062"/>
      </w:tblGrid>
      <w:tr w:rsidR="00A2391E" w:rsidRPr="003A575A" w:rsidTr="001B68F0">
        <w:tc>
          <w:tcPr>
            <w:tcW w:w="8508" w:type="dxa"/>
            <w:vAlign w:val="center"/>
            <w:hideMark/>
          </w:tcPr>
          <w:p w:rsidR="00A2391E" w:rsidRPr="003A575A" w:rsidRDefault="00A2391E" w:rsidP="001B68F0">
            <w:pPr>
              <w:jc w:val="center"/>
            </w:pPr>
            <w:r w:rsidRPr="003A575A">
              <w:rPr>
                <w:rFonts w:eastAsia="Times New Roman"/>
                <w:i/>
                <w:position w:val="-14"/>
                <w:szCs w:val="24"/>
              </w:rPr>
              <w:object w:dxaOrig="38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pt;height:18.75pt" o:ole="">
                  <v:imagedata r:id="rId6" o:title=""/>
                </v:shape>
                <o:OLEObject Type="Embed" ProgID="Equation.3" ShapeID="_x0000_i1025" DrawAspect="Content" ObjectID="_1521889299" r:id="rId7"/>
              </w:object>
            </w:r>
            <w:r w:rsidRPr="003A575A">
              <w:t>;</w:t>
            </w:r>
          </w:p>
        </w:tc>
        <w:tc>
          <w:tcPr>
            <w:tcW w:w="1062" w:type="dxa"/>
            <w:vAlign w:val="center"/>
            <w:hideMark/>
          </w:tcPr>
          <w:p w:rsidR="00A2391E" w:rsidRPr="003A575A" w:rsidRDefault="00A2391E" w:rsidP="001B68F0">
            <w:pPr>
              <w:jc w:val="right"/>
            </w:pPr>
            <w:r w:rsidRPr="003A575A">
              <w:t>(13.1)</w:t>
            </w:r>
          </w:p>
        </w:tc>
      </w:tr>
    </w:tbl>
    <w:p w:rsidR="00A2391E" w:rsidRPr="003A575A" w:rsidRDefault="00A2391E" w:rsidP="00D948AA">
      <w:pPr>
        <w:tabs>
          <w:tab w:val="left" w:pos="567"/>
        </w:tabs>
      </w:pPr>
      <w:r w:rsidRPr="003A575A">
        <w:t>čia:</w:t>
      </w:r>
      <w:r w:rsidRPr="003A575A">
        <w:tab/>
      </w:r>
      <w:r w:rsidRPr="003A575A">
        <w:rPr>
          <w:i/>
        </w:rPr>
        <w:t>H</w:t>
      </w:r>
      <w:r w:rsidRPr="003A575A">
        <w:rPr>
          <w:i/>
          <w:vertAlign w:val="subscript"/>
        </w:rPr>
        <w:t>H.p,m</w:t>
      </w:r>
      <w:r w:rsidRPr="003A575A">
        <w:t xml:space="preserve"> - sausio mėnesio (m=1) pastato (jo dalies) skaičiuojamieji savitieji šilumos nuostoliai (W/K). Apskaičiuojami pagal Reglamento 2 priedo (2.118) formulę, kurios nario </w:t>
      </w:r>
      <w:r w:rsidRPr="003A575A">
        <w:rPr>
          <w:i/>
        </w:rPr>
        <w:t>Q</w:t>
      </w:r>
      <w:r w:rsidRPr="003A575A">
        <w:rPr>
          <w:i/>
          <w:vertAlign w:val="subscript"/>
        </w:rPr>
        <w:t>H.vent,m</w:t>
      </w:r>
      <w:r w:rsidRPr="003A575A">
        <w:t xml:space="preserve"> skaičiavimuose turi būti priimta, kad išorės oro kiekis 1 m² pastato vėdinimui </w:t>
      </w:r>
      <w:r w:rsidRPr="003A575A">
        <w:rPr>
          <w:i/>
        </w:rPr>
        <w:t>v</w:t>
      </w:r>
      <w:r w:rsidRPr="003A575A">
        <w:rPr>
          <w:vertAlign w:val="subscript"/>
        </w:rPr>
        <w:t>o</w:t>
      </w:r>
      <w:r w:rsidRPr="003A575A">
        <w:t xml:space="preserve"> (m</w:t>
      </w:r>
      <w:r w:rsidRPr="003A575A">
        <w:rPr>
          <w:vertAlign w:val="superscript"/>
        </w:rPr>
        <w:t>3</w:t>
      </w:r>
      <w:r w:rsidRPr="003A575A">
        <w:t>/(m</w:t>
      </w:r>
      <w:r w:rsidRPr="003A575A">
        <w:rPr>
          <w:vertAlign w:val="superscript"/>
        </w:rPr>
        <w:t>2</w:t>
      </w:r>
      <w:r w:rsidR="0068534A" w:rsidRPr="003A575A">
        <w:t>∙</w:t>
      </w:r>
      <w:r w:rsidRPr="003A575A">
        <w:t>h)) atitinka apskaičiuotam pagal (13.3) formulę;</w:t>
      </w:r>
    </w:p>
    <w:p w:rsidR="00A2391E" w:rsidRPr="003A575A" w:rsidRDefault="00A2391E" w:rsidP="00D948AA">
      <w:pPr>
        <w:ind w:firstLine="567"/>
      </w:pPr>
      <w:r w:rsidRPr="003A575A">
        <w:rPr>
          <w:i/>
        </w:rPr>
        <w:sym w:font="Symbol" w:char="F071"/>
      </w:r>
      <w:r w:rsidRPr="003A575A">
        <w:rPr>
          <w:i/>
          <w:vertAlign w:val="subscript"/>
        </w:rPr>
        <w:t>iH</w:t>
      </w:r>
      <w:r w:rsidRPr="003A575A">
        <w:t xml:space="preserve"> – pastato patalpų temperatūra šildymo sezono metu (</w:t>
      </w:r>
      <w:r w:rsidR="00D5266B" w:rsidRPr="003A575A">
        <w:rPr>
          <w:vertAlign w:val="superscript"/>
        </w:rPr>
        <w:t>0</w:t>
      </w:r>
      <w:r w:rsidRPr="003A575A">
        <w:t>C). Imama iš pastato projekto, o nesant duomenų, imama iš Reglamento 2 priedo 2.4 lentelės;</w:t>
      </w:r>
    </w:p>
    <w:p w:rsidR="00A2391E" w:rsidRPr="003A575A" w:rsidRDefault="00A2391E" w:rsidP="00D948AA">
      <w:pPr>
        <w:ind w:firstLine="567"/>
      </w:pPr>
      <w:r w:rsidRPr="003A575A">
        <w:rPr>
          <w:i/>
        </w:rPr>
        <w:sym w:font="Symbol" w:char="F071"/>
      </w:r>
      <w:r w:rsidRPr="003A575A">
        <w:rPr>
          <w:i/>
          <w:vertAlign w:val="subscript"/>
        </w:rPr>
        <w:t>e.ds</w:t>
      </w:r>
      <w:r w:rsidRPr="003A575A">
        <w:t xml:space="preserve"> – projektinė išorės temperatūra šilumos šaltinio galiai skaičiuoti, °C. Imama iš 13.1 lentelės;</w:t>
      </w:r>
    </w:p>
    <w:p w:rsidR="00A2391E" w:rsidRPr="003A575A" w:rsidRDefault="00A2391E" w:rsidP="00D948AA">
      <w:pPr>
        <w:ind w:firstLine="567"/>
      </w:pPr>
      <w:r w:rsidRPr="003A575A">
        <w:rPr>
          <w:i/>
        </w:rPr>
        <w:t>A</w:t>
      </w:r>
      <w:r w:rsidRPr="003A575A">
        <w:rPr>
          <w:i/>
          <w:vertAlign w:val="subscript"/>
        </w:rPr>
        <w:t>p</w:t>
      </w:r>
      <w:r w:rsidRPr="003A575A">
        <w:t xml:space="preserve"> – pastato šildomas plotas (m²);</w:t>
      </w:r>
    </w:p>
    <w:p w:rsidR="00A2391E" w:rsidRPr="003A575A" w:rsidRDefault="00A2391E" w:rsidP="00D948AA">
      <w:pPr>
        <w:ind w:firstLine="567"/>
      </w:pPr>
      <w:r w:rsidRPr="003A575A">
        <w:rPr>
          <w:i/>
        </w:rPr>
        <w:t>k</w:t>
      </w:r>
      <w:r w:rsidRPr="003A575A">
        <w:rPr>
          <w:i/>
          <w:vertAlign w:val="subscript"/>
        </w:rPr>
        <w:t>RH</w:t>
      </w:r>
      <w:r w:rsidRPr="003A575A">
        <w:t xml:space="preserve"> – šiluminės galios priedas, (W/m²). Imamas iš 13.2 arba 13.3 lentelės;</w:t>
      </w:r>
    </w:p>
    <w:p w:rsidR="00A2391E" w:rsidRPr="003A575A" w:rsidRDefault="00A2391E" w:rsidP="00D948AA">
      <w:pPr>
        <w:ind w:firstLine="567"/>
      </w:pPr>
      <w:r w:rsidRPr="003A575A">
        <w:rPr>
          <w:i/>
        </w:rPr>
        <w:t>P</w:t>
      </w:r>
      <w:r w:rsidRPr="003A575A">
        <w:rPr>
          <w:i/>
          <w:vertAlign w:val="subscript"/>
        </w:rPr>
        <w:t>hw</w:t>
      </w:r>
      <w:r w:rsidRPr="003A575A">
        <w:t xml:space="preserve"> – šiluminės galios priedas karštam buitiniam vandeniui ruošti (W). Šis galios priedas turi būti įvertintas tais atvejais, kai tas pats šilumos šaltinis naudojamas pastatui šildyti ir karštam buitiniam vandeniui ruošti. Šiluminės galios priedas </w:t>
      </w:r>
      <w:r w:rsidRPr="003A575A">
        <w:rPr>
          <w:i/>
        </w:rPr>
        <w:t>P</w:t>
      </w:r>
      <w:r w:rsidRPr="003A575A">
        <w:rPr>
          <w:i/>
          <w:vertAlign w:val="subscript"/>
        </w:rPr>
        <w:t>hw</w:t>
      </w:r>
      <w:r w:rsidRPr="003A575A">
        <w:t xml:space="preserve"> turi būti skaičiuojamas pagal „Pastatų karšto vandens sistemų įrengimo taisyklių“ [3.5] (13) formulę. </w:t>
      </w:r>
    </w:p>
    <w:p w:rsidR="00A2391E" w:rsidRPr="003A575A" w:rsidRDefault="00A2391E" w:rsidP="00D948AA">
      <w:pPr>
        <w:ind w:firstLine="567"/>
      </w:pPr>
      <w:r w:rsidRPr="003A575A">
        <w:t>1.2. jeigu pastate (jo dalyje) arba atskirose pastato zonose „z1“ šildomų patalpų aukštis viršija 5 m ir/arba šiose zonose „z1“ šildymo sezono metu palaikoma skirtinga temperatūra ir/arba nustatytoji vidaus temperatūra</w:t>
      </w:r>
      <w:r w:rsidRPr="003A575A">
        <w:rPr>
          <w:b/>
        </w:rPr>
        <w:t xml:space="preserve"> </w:t>
      </w:r>
      <w:r w:rsidRPr="003A575A">
        <w:t>keičiama ne visame pastato šildomame plote, o tik atskirose pastato zonose „z2“, o taip pat, kada atskirose pastato zonose „z2“ nustatytosios vidaus temperatūros</w:t>
      </w:r>
      <w:r w:rsidRPr="003A575A">
        <w:rPr>
          <w:b/>
        </w:rPr>
        <w:t xml:space="preserve"> </w:t>
      </w:r>
      <w:r w:rsidRPr="003A575A">
        <w:t>keitimas skirtingas,</w:t>
      </w:r>
      <w:r w:rsidRPr="003A575A">
        <w:tab/>
      </w:r>
    </w:p>
    <w:p w:rsidR="00A2391E" w:rsidRPr="003A575A" w:rsidRDefault="00A2391E" w:rsidP="00A2391E">
      <w:pPr>
        <w:ind w:firstLine="720"/>
      </w:pPr>
    </w:p>
    <w:tbl>
      <w:tblPr>
        <w:tblW w:w="0" w:type="auto"/>
        <w:tblLook w:val="01E0"/>
      </w:tblPr>
      <w:tblGrid>
        <w:gridCol w:w="8508"/>
        <w:gridCol w:w="1062"/>
      </w:tblGrid>
      <w:tr w:rsidR="00A2391E" w:rsidRPr="003A575A" w:rsidTr="001B68F0">
        <w:tc>
          <w:tcPr>
            <w:tcW w:w="8508" w:type="dxa"/>
            <w:vAlign w:val="center"/>
            <w:hideMark/>
          </w:tcPr>
          <w:p w:rsidR="00A2391E" w:rsidRPr="003A575A" w:rsidRDefault="00A2391E" w:rsidP="001B68F0">
            <w:pPr>
              <w:jc w:val="center"/>
            </w:pPr>
            <w:r w:rsidRPr="003A575A">
              <w:rPr>
                <w:rFonts w:eastAsia="Times New Roman"/>
                <w:i/>
                <w:position w:val="-32"/>
                <w:szCs w:val="24"/>
              </w:rPr>
              <w:object w:dxaOrig="6360" w:dyaOrig="1040">
                <v:shape id="_x0000_i1026" type="#_x0000_t75" style="width:317.9pt;height:51.7pt" o:ole="">
                  <v:imagedata r:id="rId8" o:title=""/>
                </v:shape>
                <o:OLEObject Type="Embed" ProgID="Equation.3" ShapeID="_x0000_i1026" DrawAspect="Content" ObjectID="_1521889300" r:id="rId9"/>
              </w:object>
            </w:r>
            <w:r w:rsidRPr="003A575A">
              <w:t>;</w:t>
            </w:r>
          </w:p>
        </w:tc>
        <w:tc>
          <w:tcPr>
            <w:tcW w:w="1062" w:type="dxa"/>
            <w:vAlign w:val="center"/>
            <w:hideMark/>
          </w:tcPr>
          <w:p w:rsidR="00A2391E" w:rsidRPr="003A575A" w:rsidRDefault="00A2391E" w:rsidP="001B68F0">
            <w:pPr>
              <w:jc w:val="right"/>
            </w:pPr>
            <w:r w:rsidRPr="003A575A">
              <w:t>(13.2)</w:t>
            </w:r>
          </w:p>
        </w:tc>
      </w:tr>
    </w:tbl>
    <w:p w:rsidR="00A2391E" w:rsidRPr="003A575A" w:rsidRDefault="00A2391E" w:rsidP="00D948AA">
      <w:pPr>
        <w:tabs>
          <w:tab w:val="left" w:pos="567"/>
        </w:tabs>
      </w:pPr>
      <w:r w:rsidRPr="003A575A">
        <w:t>čia:</w:t>
      </w:r>
      <w:r w:rsidRPr="003A575A">
        <w:tab/>
      </w:r>
      <w:r w:rsidRPr="003A575A">
        <w:rPr>
          <w:i/>
        </w:rPr>
        <w:t>H</w:t>
      </w:r>
      <w:r w:rsidRPr="003A575A">
        <w:rPr>
          <w:i/>
          <w:vertAlign w:val="subscript"/>
        </w:rPr>
        <w:t>H.p,m,z1</w:t>
      </w:r>
      <w:r w:rsidRPr="003A575A">
        <w:t xml:space="preserve"> - vasario mėnesio (m=2) atitinkamos pastato zonos „z1“ skaičiuojamieji savitieji šilumos nuostoliai (W/K). Apskaičiuojami pagal Reglamento 2 priedo (2.118) formulę, kurios nario </w:t>
      </w:r>
      <w:r w:rsidRPr="003A575A">
        <w:rPr>
          <w:i/>
        </w:rPr>
        <w:t>Q</w:t>
      </w:r>
      <w:r w:rsidRPr="003A575A">
        <w:rPr>
          <w:i/>
          <w:vertAlign w:val="subscript"/>
        </w:rPr>
        <w:t>H.vent,m</w:t>
      </w:r>
      <w:r w:rsidRPr="003A575A">
        <w:t xml:space="preserve"> skaičiavimuose turi būti priimta, kad išorės oro kiekis </w:t>
      </w:r>
      <w:smartTag w:uri="urn:schemas-microsoft-com:office:smarttags" w:element="metricconverter">
        <w:smartTagPr>
          <w:attr w:name="ProductID" w:val="1 m2"/>
        </w:smartTagPr>
        <w:r w:rsidRPr="003A575A">
          <w:t>1 m</w:t>
        </w:r>
        <w:r w:rsidRPr="003A575A">
          <w:rPr>
            <w:vertAlign w:val="superscript"/>
          </w:rPr>
          <w:t>2</w:t>
        </w:r>
      </w:smartTag>
      <w:r w:rsidRPr="003A575A">
        <w:t xml:space="preserve"> pastato zonos „z1“ vėdinimui </w:t>
      </w:r>
      <w:r w:rsidRPr="003A575A">
        <w:rPr>
          <w:i/>
        </w:rPr>
        <w:t>v</w:t>
      </w:r>
      <w:r w:rsidRPr="003A575A">
        <w:rPr>
          <w:i/>
          <w:vertAlign w:val="subscript"/>
        </w:rPr>
        <w:t>o</w:t>
      </w:r>
      <w:r w:rsidRPr="003A575A">
        <w:t xml:space="preserve"> (m</w:t>
      </w:r>
      <w:r w:rsidRPr="003A575A">
        <w:rPr>
          <w:vertAlign w:val="superscript"/>
        </w:rPr>
        <w:t>3</w:t>
      </w:r>
      <w:r w:rsidRPr="003A575A">
        <w:t>/(m</w:t>
      </w:r>
      <w:r w:rsidRPr="003A575A">
        <w:rPr>
          <w:vertAlign w:val="superscript"/>
        </w:rPr>
        <w:t>2</w:t>
      </w:r>
      <w:r w:rsidR="00D5266B" w:rsidRPr="003A575A">
        <w:t>∙</w:t>
      </w:r>
      <w:r w:rsidRPr="003A575A">
        <w:t>h)) atitinka apskaičiuotam pagal (13.3) formulę;</w:t>
      </w:r>
    </w:p>
    <w:p w:rsidR="00A2391E" w:rsidRPr="003A575A" w:rsidRDefault="00A2391E" w:rsidP="00D948AA">
      <w:pPr>
        <w:ind w:firstLine="567"/>
        <w:rPr>
          <w:i/>
        </w:rPr>
      </w:pPr>
      <w:r w:rsidRPr="003A575A">
        <w:rPr>
          <w:i/>
        </w:rPr>
        <w:t>k</w:t>
      </w:r>
      <w:r w:rsidRPr="003A575A">
        <w:rPr>
          <w:i/>
          <w:vertAlign w:val="subscript"/>
        </w:rPr>
        <w:t>H,z1</w:t>
      </w:r>
      <w:r w:rsidRPr="003A575A">
        <w:t xml:space="preserve"> – šiluminės galios pataisos koeficientas dėl šildomų patalpų aukščio atitinkamai pastato zonai „z1“. Kada šildomos patalpos aukštis neviršija 5 m, imama k=1, kitais atvejais imama iš 13.4 lentelės;</w:t>
      </w:r>
    </w:p>
    <w:p w:rsidR="00A2391E" w:rsidRPr="003A575A" w:rsidRDefault="00A2391E" w:rsidP="00D948AA">
      <w:pPr>
        <w:ind w:firstLine="567"/>
      </w:pPr>
      <w:r w:rsidRPr="003A575A">
        <w:rPr>
          <w:i/>
        </w:rPr>
        <w:t>A</w:t>
      </w:r>
      <w:r w:rsidRPr="003A575A">
        <w:rPr>
          <w:i/>
          <w:vertAlign w:val="subscript"/>
        </w:rPr>
        <w:t>z1</w:t>
      </w:r>
      <w:r w:rsidRPr="003A575A">
        <w:t xml:space="preserve"> – atitinkamos pastato zonos „z1“ šildomas plotas (m²);</w:t>
      </w:r>
    </w:p>
    <w:p w:rsidR="00A2391E" w:rsidRPr="003A575A" w:rsidRDefault="00D5266B" w:rsidP="00D948AA">
      <w:pPr>
        <w:ind w:firstLine="567"/>
      </w:pPr>
      <w:r w:rsidRPr="003A575A">
        <w:rPr>
          <w:i/>
        </w:rPr>
        <w:sym w:font="Symbol" w:char="F071"/>
      </w:r>
      <w:r w:rsidR="00A2391E" w:rsidRPr="003A575A">
        <w:rPr>
          <w:i/>
          <w:vertAlign w:val="subscript"/>
        </w:rPr>
        <w:t>iH,z1</w:t>
      </w:r>
      <w:r w:rsidR="00A2391E" w:rsidRPr="003A575A">
        <w:t xml:space="preserve"> – atitinkamos pastato zonos „z1“ šildomų patalpų temperatūra šildymo sezono metu (</w:t>
      </w:r>
      <w:r w:rsidR="003A575A" w:rsidRPr="003A575A">
        <w:t>°</w:t>
      </w:r>
      <w:r w:rsidR="00A2391E" w:rsidRPr="003A575A">
        <w:t>C). Imama iš pastato projekto, o nesant duomenų, imama iš Reglamento 2 priedo 2.4 lentelės;</w:t>
      </w:r>
    </w:p>
    <w:p w:rsidR="00A2391E" w:rsidRPr="003A575A" w:rsidRDefault="00A2391E" w:rsidP="00D948AA">
      <w:pPr>
        <w:ind w:firstLine="567"/>
      </w:pPr>
      <w:r w:rsidRPr="003A575A">
        <w:rPr>
          <w:i/>
        </w:rPr>
        <w:sym w:font="Symbol" w:char="F071"/>
      </w:r>
      <w:r w:rsidRPr="003A575A">
        <w:rPr>
          <w:i/>
          <w:vertAlign w:val="subscript"/>
        </w:rPr>
        <w:t>e.ds</w:t>
      </w:r>
      <w:r w:rsidRPr="003A575A">
        <w:t xml:space="preserve"> – projektinė išorės temperatūra šilumos šaltinio galiai skaičiuoti, °C. Imama iš 13.1 lentelės;</w:t>
      </w:r>
    </w:p>
    <w:p w:rsidR="00A2391E" w:rsidRPr="003A575A" w:rsidRDefault="00A2391E" w:rsidP="00D948AA">
      <w:pPr>
        <w:ind w:firstLine="567"/>
      </w:pPr>
      <w:r w:rsidRPr="003A575A">
        <w:rPr>
          <w:i/>
        </w:rPr>
        <w:t>A</w:t>
      </w:r>
      <w:r w:rsidRPr="003A575A">
        <w:rPr>
          <w:i/>
          <w:vertAlign w:val="subscript"/>
        </w:rPr>
        <w:t>z2</w:t>
      </w:r>
      <w:r w:rsidRPr="003A575A">
        <w:t xml:space="preserve"> – atitinkamos pastato zonos „z2“ šildomas plotas (m²);</w:t>
      </w:r>
    </w:p>
    <w:p w:rsidR="00A2391E" w:rsidRPr="003A575A" w:rsidRDefault="00A2391E" w:rsidP="00D948AA">
      <w:pPr>
        <w:ind w:firstLine="567"/>
      </w:pPr>
      <w:r w:rsidRPr="003A575A">
        <w:rPr>
          <w:i/>
        </w:rPr>
        <w:lastRenderedPageBreak/>
        <w:t>k</w:t>
      </w:r>
      <w:r w:rsidRPr="003A575A">
        <w:rPr>
          <w:i/>
          <w:vertAlign w:val="subscript"/>
        </w:rPr>
        <w:t>RH,z2</w:t>
      </w:r>
      <w:r w:rsidRPr="003A575A">
        <w:t xml:space="preserve"> – šiluminės galios priedas atitinkamai pastato zonai „z2“ (W/m²). Imamas iš 13.2 arba 13.3 lentelės.</w:t>
      </w:r>
    </w:p>
    <w:p w:rsidR="00A2391E" w:rsidRPr="003A575A" w:rsidRDefault="00A2391E" w:rsidP="00A2391E">
      <w:pPr>
        <w:pStyle w:val="BodyTextIndent"/>
        <w:ind w:firstLine="0"/>
      </w:pPr>
      <w:r w:rsidRPr="003A575A">
        <w:t xml:space="preserve"> </w:t>
      </w:r>
    </w:p>
    <w:tbl>
      <w:tblPr>
        <w:tblW w:w="0" w:type="auto"/>
        <w:tblLook w:val="01E0"/>
      </w:tblPr>
      <w:tblGrid>
        <w:gridCol w:w="8508"/>
        <w:gridCol w:w="1062"/>
      </w:tblGrid>
      <w:tr w:rsidR="00A2391E" w:rsidRPr="003A575A" w:rsidTr="001B68F0">
        <w:tc>
          <w:tcPr>
            <w:tcW w:w="8508" w:type="dxa"/>
            <w:vAlign w:val="center"/>
            <w:hideMark/>
          </w:tcPr>
          <w:p w:rsidR="00A2391E" w:rsidRPr="003A575A" w:rsidRDefault="00A2391E" w:rsidP="001B68F0">
            <w:pPr>
              <w:jc w:val="center"/>
            </w:pPr>
            <w:r w:rsidRPr="003A575A">
              <w:rPr>
                <w:rFonts w:eastAsia="Times New Roman"/>
                <w:i/>
                <w:position w:val="-30"/>
                <w:szCs w:val="24"/>
              </w:rPr>
              <w:object w:dxaOrig="1560" w:dyaOrig="700">
                <v:shape id="_x0000_i1027" type="#_x0000_t75" style="width:78.1pt;height:35.5pt" o:ole="">
                  <v:imagedata r:id="rId10" o:title=""/>
                </v:shape>
                <o:OLEObject Type="Embed" ProgID="Equation.3" ShapeID="_x0000_i1027" DrawAspect="Content" ObjectID="_1521889301" r:id="rId11"/>
              </w:object>
            </w:r>
            <w:r w:rsidRPr="003A575A">
              <w:t>;</w:t>
            </w:r>
          </w:p>
        </w:tc>
        <w:tc>
          <w:tcPr>
            <w:tcW w:w="1062" w:type="dxa"/>
            <w:vAlign w:val="center"/>
            <w:hideMark/>
          </w:tcPr>
          <w:p w:rsidR="00A2391E" w:rsidRPr="003A575A" w:rsidRDefault="00A2391E" w:rsidP="001B68F0">
            <w:pPr>
              <w:jc w:val="right"/>
            </w:pPr>
            <w:r w:rsidRPr="003A575A">
              <w:t>(13.3)</w:t>
            </w:r>
          </w:p>
        </w:tc>
      </w:tr>
    </w:tbl>
    <w:p w:rsidR="00A2391E" w:rsidRPr="003A575A" w:rsidRDefault="00A2391E" w:rsidP="00E81220">
      <w:pPr>
        <w:tabs>
          <w:tab w:val="left" w:pos="567"/>
        </w:tabs>
      </w:pPr>
      <w:r w:rsidRPr="003A575A">
        <w:t>čia:</w:t>
      </w:r>
      <w:r w:rsidRPr="003A575A">
        <w:tab/>
      </w:r>
      <w:r w:rsidRPr="003A575A">
        <w:rPr>
          <w:i/>
        </w:rPr>
        <w:t>n</w:t>
      </w:r>
      <w:r w:rsidRPr="003A575A">
        <w:rPr>
          <w:i/>
          <w:vertAlign w:val="subscript"/>
        </w:rPr>
        <w:t>vent.ds</w:t>
      </w:r>
      <w:r w:rsidRPr="003A575A">
        <w:rPr>
          <w:i/>
        </w:rPr>
        <w:t xml:space="preserve"> </w:t>
      </w:r>
      <w:r w:rsidRPr="003A575A">
        <w:t>– projektinė oro apykaita pastate kartais per valandą (1/h). Imama iš pastato projekto.</w:t>
      </w:r>
    </w:p>
    <w:p w:rsidR="00A2391E" w:rsidRPr="003A575A" w:rsidRDefault="00A2391E" w:rsidP="00A2391E"/>
    <w:p w:rsidR="00A2391E" w:rsidRPr="003A575A" w:rsidRDefault="00A2391E" w:rsidP="00A2391E">
      <w:pPr>
        <w:jc w:val="right"/>
      </w:pPr>
      <w:r w:rsidRPr="003A575A">
        <w:t>13.1 lentelė</w:t>
      </w:r>
    </w:p>
    <w:p w:rsidR="00A2391E" w:rsidRPr="003A575A" w:rsidRDefault="00A2391E" w:rsidP="00A2391E">
      <w:pPr>
        <w:ind w:left="720" w:hanging="720"/>
        <w:jc w:val="center"/>
        <w:rPr>
          <w:b/>
        </w:rPr>
      </w:pPr>
      <w:r w:rsidRPr="003A575A">
        <w:rPr>
          <w:b/>
        </w:rPr>
        <w:t xml:space="preserve">Projektinė išorės oro temperatūra </w:t>
      </w:r>
      <w:r w:rsidRPr="003A575A">
        <w:rPr>
          <w:b/>
          <w:i/>
        </w:rPr>
        <w:sym w:font="Symbol" w:char="F071"/>
      </w:r>
      <w:r w:rsidRPr="003A575A">
        <w:rPr>
          <w:b/>
          <w:i/>
          <w:vertAlign w:val="subscript"/>
        </w:rPr>
        <w:t xml:space="preserve">e.ds  </w:t>
      </w:r>
      <w:r w:rsidRPr="003A575A">
        <w:rPr>
          <w:b/>
        </w:rPr>
        <w:t xml:space="preserve">(°C) pastato šildymo sistemos šilumos šaltinio galiai skaičiuoti </w:t>
      </w:r>
    </w:p>
    <w:tbl>
      <w:tblPr>
        <w:tblW w:w="5000" w:type="pct"/>
        <w:tblLook w:val="01E0"/>
      </w:tblPr>
      <w:tblGrid>
        <w:gridCol w:w="5757"/>
        <w:gridCol w:w="4097"/>
      </w:tblGrid>
      <w:tr w:rsidR="00A2391E" w:rsidRPr="003A575A" w:rsidTr="001B68F0">
        <w:tc>
          <w:tcPr>
            <w:tcW w:w="2921" w:type="pct"/>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ind w:left="851" w:hanging="851"/>
              <w:jc w:val="center"/>
              <w:rPr>
                <w:spacing w:val="-6"/>
              </w:rPr>
            </w:pPr>
            <w:r w:rsidRPr="003A575A">
              <w:rPr>
                <w:spacing w:val="-6"/>
              </w:rPr>
              <w:t>Pastatų klasifikavimas pagal jų vidaus šiluminę talpą</w:t>
            </w:r>
          </w:p>
        </w:tc>
        <w:tc>
          <w:tcPr>
            <w:tcW w:w="2079" w:type="pct"/>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ind w:left="851" w:hanging="851"/>
              <w:jc w:val="center"/>
              <w:rPr>
                <w:spacing w:val="-6"/>
              </w:rPr>
            </w:pPr>
            <w:r w:rsidRPr="003A575A">
              <w:rPr>
                <w:spacing w:val="-6"/>
              </w:rPr>
              <w:t xml:space="preserve">Temperatūra </w:t>
            </w:r>
            <w:r w:rsidRPr="003A575A">
              <w:rPr>
                <w:i/>
              </w:rPr>
              <w:sym w:font="Symbol" w:char="F071"/>
            </w:r>
            <w:r w:rsidRPr="003A575A">
              <w:rPr>
                <w:i/>
                <w:vertAlign w:val="subscript"/>
              </w:rPr>
              <w:t>e.ds</w:t>
            </w:r>
            <w:r w:rsidRPr="003A575A">
              <w:t xml:space="preserve"> (°C)</w:t>
            </w:r>
          </w:p>
        </w:tc>
      </w:tr>
      <w:tr w:rsidR="00A2391E" w:rsidRPr="003A575A" w:rsidTr="001B68F0">
        <w:tc>
          <w:tcPr>
            <w:tcW w:w="2921" w:type="pct"/>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ind w:left="851" w:hanging="851"/>
              <w:rPr>
                <w:spacing w:val="-6"/>
              </w:rPr>
            </w:pPr>
            <w:r w:rsidRPr="003A575A">
              <w:rPr>
                <w:spacing w:val="-6"/>
              </w:rPr>
              <w:t>Labai lengvas pastatas</w:t>
            </w:r>
          </w:p>
        </w:tc>
        <w:tc>
          <w:tcPr>
            <w:tcW w:w="2079" w:type="pct"/>
            <w:tcBorders>
              <w:top w:val="single" w:sz="4" w:space="0" w:color="auto"/>
              <w:left w:val="single" w:sz="4" w:space="0" w:color="auto"/>
              <w:bottom w:val="single" w:sz="4" w:space="0" w:color="auto"/>
              <w:right w:val="single" w:sz="4" w:space="0" w:color="auto"/>
            </w:tcBorders>
            <w:vAlign w:val="bottom"/>
            <w:hideMark/>
          </w:tcPr>
          <w:p w:rsidR="00A2391E" w:rsidRPr="003A575A" w:rsidRDefault="00A2391E" w:rsidP="001B68F0">
            <w:pPr>
              <w:jc w:val="center"/>
            </w:pPr>
            <w:r w:rsidRPr="003A575A">
              <w:rPr>
                <w:spacing w:val="-6"/>
              </w:rPr>
              <w:t>-30</w:t>
            </w:r>
          </w:p>
        </w:tc>
      </w:tr>
      <w:tr w:rsidR="00A2391E" w:rsidRPr="003A575A" w:rsidTr="001B68F0">
        <w:tc>
          <w:tcPr>
            <w:tcW w:w="2921" w:type="pct"/>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ind w:left="851" w:hanging="851"/>
              <w:rPr>
                <w:spacing w:val="-6"/>
              </w:rPr>
            </w:pPr>
            <w:r w:rsidRPr="003A575A">
              <w:rPr>
                <w:spacing w:val="-6"/>
              </w:rPr>
              <w:t xml:space="preserve">Lengvas pastatas </w:t>
            </w:r>
          </w:p>
        </w:tc>
        <w:tc>
          <w:tcPr>
            <w:tcW w:w="2079" w:type="pct"/>
            <w:tcBorders>
              <w:top w:val="single" w:sz="4" w:space="0" w:color="auto"/>
              <w:left w:val="single" w:sz="4" w:space="0" w:color="auto"/>
              <w:bottom w:val="single" w:sz="4" w:space="0" w:color="auto"/>
              <w:right w:val="single" w:sz="4" w:space="0" w:color="auto"/>
            </w:tcBorders>
            <w:vAlign w:val="bottom"/>
            <w:hideMark/>
          </w:tcPr>
          <w:p w:rsidR="00A2391E" w:rsidRPr="003A575A" w:rsidRDefault="00A2391E" w:rsidP="001B68F0">
            <w:pPr>
              <w:jc w:val="center"/>
            </w:pPr>
            <w:r w:rsidRPr="003A575A">
              <w:rPr>
                <w:spacing w:val="-6"/>
              </w:rPr>
              <w:t>-30</w:t>
            </w:r>
          </w:p>
        </w:tc>
      </w:tr>
      <w:tr w:rsidR="00A2391E" w:rsidRPr="003A575A" w:rsidTr="001B68F0">
        <w:tc>
          <w:tcPr>
            <w:tcW w:w="2921" w:type="pct"/>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ind w:left="851" w:hanging="851"/>
              <w:rPr>
                <w:spacing w:val="-6"/>
              </w:rPr>
            </w:pPr>
            <w:r w:rsidRPr="003A575A">
              <w:rPr>
                <w:spacing w:val="-6"/>
              </w:rPr>
              <w:t xml:space="preserve">Vidutinio masyvumo pastatas </w:t>
            </w:r>
          </w:p>
        </w:tc>
        <w:tc>
          <w:tcPr>
            <w:tcW w:w="2079" w:type="pct"/>
            <w:tcBorders>
              <w:top w:val="single" w:sz="4" w:space="0" w:color="auto"/>
              <w:left w:val="single" w:sz="4" w:space="0" w:color="auto"/>
              <w:bottom w:val="single" w:sz="4" w:space="0" w:color="auto"/>
              <w:right w:val="single" w:sz="4" w:space="0" w:color="auto"/>
            </w:tcBorders>
            <w:vAlign w:val="bottom"/>
            <w:hideMark/>
          </w:tcPr>
          <w:p w:rsidR="00A2391E" w:rsidRPr="003A575A" w:rsidRDefault="00A2391E" w:rsidP="001B68F0">
            <w:pPr>
              <w:jc w:val="center"/>
            </w:pPr>
            <w:r w:rsidRPr="003A575A">
              <w:rPr>
                <w:spacing w:val="-6"/>
              </w:rPr>
              <w:t>-27</w:t>
            </w:r>
          </w:p>
        </w:tc>
      </w:tr>
      <w:tr w:rsidR="00A2391E" w:rsidRPr="003A575A" w:rsidTr="001B68F0">
        <w:tc>
          <w:tcPr>
            <w:tcW w:w="2921" w:type="pct"/>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ind w:left="851" w:hanging="851"/>
              <w:rPr>
                <w:spacing w:val="-6"/>
              </w:rPr>
            </w:pPr>
            <w:r w:rsidRPr="003A575A">
              <w:rPr>
                <w:spacing w:val="-6"/>
              </w:rPr>
              <w:t xml:space="preserve">Masyvus pastatas </w:t>
            </w:r>
          </w:p>
        </w:tc>
        <w:tc>
          <w:tcPr>
            <w:tcW w:w="2079" w:type="pct"/>
            <w:tcBorders>
              <w:top w:val="single" w:sz="4" w:space="0" w:color="auto"/>
              <w:left w:val="single" w:sz="4" w:space="0" w:color="auto"/>
              <w:bottom w:val="single" w:sz="4" w:space="0" w:color="auto"/>
              <w:right w:val="single" w:sz="4" w:space="0" w:color="auto"/>
            </w:tcBorders>
            <w:vAlign w:val="bottom"/>
            <w:hideMark/>
          </w:tcPr>
          <w:p w:rsidR="00A2391E" w:rsidRPr="003A575A" w:rsidRDefault="00A2391E" w:rsidP="001B68F0">
            <w:pPr>
              <w:jc w:val="center"/>
            </w:pPr>
            <w:r w:rsidRPr="003A575A">
              <w:rPr>
                <w:spacing w:val="-6"/>
              </w:rPr>
              <w:t>-24</w:t>
            </w:r>
          </w:p>
        </w:tc>
      </w:tr>
      <w:tr w:rsidR="00A2391E" w:rsidRPr="003A575A" w:rsidTr="001B68F0">
        <w:tc>
          <w:tcPr>
            <w:tcW w:w="2921" w:type="pct"/>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ind w:left="851" w:hanging="851"/>
              <w:rPr>
                <w:spacing w:val="-6"/>
              </w:rPr>
            </w:pPr>
            <w:r w:rsidRPr="003A575A">
              <w:rPr>
                <w:spacing w:val="-6"/>
              </w:rPr>
              <w:t xml:space="preserve">Labai masyvus pastatas </w:t>
            </w:r>
          </w:p>
        </w:tc>
        <w:tc>
          <w:tcPr>
            <w:tcW w:w="2079" w:type="pct"/>
            <w:tcBorders>
              <w:top w:val="single" w:sz="4" w:space="0" w:color="auto"/>
              <w:left w:val="single" w:sz="4" w:space="0" w:color="auto"/>
              <w:bottom w:val="single" w:sz="4" w:space="0" w:color="auto"/>
              <w:right w:val="single" w:sz="4" w:space="0" w:color="auto"/>
            </w:tcBorders>
            <w:vAlign w:val="bottom"/>
            <w:hideMark/>
          </w:tcPr>
          <w:p w:rsidR="00A2391E" w:rsidRPr="003A575A" w:rsidRDefault="00A2391E" w:rsidP="001B68F0">
            <w:pPr>
              <w:jc w:val="center"/>
            </w:pPr>
            <w:r w:rsidRPr="003A575A">
              <w:rPr>
                <w:spacing w:val="-6"/>
              </w:rPr>
              <w:t>-24</w:t>
            </w:r>
          </w:p>
        </w:tc>
      </w:tr>
    </w:tbl>
    <w:p w:rsidR="00A2391E" w:rsidRPr="003A575A" w:rsidRDefault="00A2391E" w:rsidP="00A2391E"/>
    <w:p w:rsidR="00A2391E" w:rsidRPr="003A575A" w:rsidRDefault="00A2391E" w:rsidP="00A2391E">
      <w:pPr>
        <w:pStyle w:val="BodyText"/>
        <w:ind w:left="6480" w:firstLine="1296"/>
      </w:pPr>
      <w:r w:rsidRPr="003A575A">
        <w:t xml:space="preserve">13.2 lentelė </w:t>
      </w:r>
    </w:p>
    <w:p w:rsidR="00A2391E" w:rsidRPr="003A575A" w:rsidRDefault="00A2391E" w:rsidP="00A2391E">
      <w:pPr>
        <w:pStyle w:val="BodyText"/>
        <w:rPr>
          <w:b/>
        </w:rPr>
      </w:pPr>
      <w:r w:rsidRPr="003A575A">
        <w:rPr>
          <w:b/>
        </w:rPr>
        <w:t>Šiluminės galios priedas negyvenamosios paskirties pastatams, kai šildymo sistemoje įrengtas valdymas su pastato vidaus nustatytosios temperatūros keitimu (pažemintos temperatūros palaikymo trukmė 12 h) ir (ar) pažemintos temperatūros palaikymu savaitgaliais [3.39]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814"/>
        <w:gridCol w:w="1075"/>
        <w:gridCol w:w="923"/>
        <w:gridCol w:w="814"/>
        <w:gridCol w:w="1075"/>
        <w:gridCol w:w="923"/>
        <w:gridCol w:w="766"/>
        <w:gridCol w:w="1006"/>
        <w:gridCol w:w="867"/>
      </w:tblGrid>
      <w:tr w:rsidR="00A2391E" w:rsidRPr="003A575A" w:rsidTr="001B68F0">
        <w:trPr>
          <w:cantSplit/>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pStyle w:val="BodyText"/>
              <w:rPr>
                <w:bCs/>
                <w:sz w:val="20"/>
                <w:szCs w:val="20"/>
              </w:rPr>
            </w:pPr>
            <w:r w:rsidRPr="003A575A">
              <w:rPr>
                <w:bCs/>
                <w:sz w:val="20"/>
                <w:szCs w:val="20"/>
              </w:rPr>
              <w:t>Pašildymo trukmė, h</w:t>
            </w:r>
          </w:p>
        </w:tc>
        <w:tc>
          <w:tcPr>
            <w:tcW w:w="8252" w:type="dxa"/>
            <w:gridSpan w:val="9"/>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pStyle w:val="BodyText"/>
              <w:rPr>
                <w:bCs/>
              </w:rPr>
            </w:pPr>
            <w:r w:rsidRPr="003A575A">
              <w:rPr>
                <w:bCs/>
              </w:rPr>
              <w:t xml:space="preserve">Šiluminės galios priedai </w:t>
            </w:r>
            <w:r w:rsidRPr="003A575A">
              <w:rPr>
                <w:bCs/>
                <w:i/>
              </w:rPr>
              <w:t>k</w:t>
            </w:r>
            <w:r w:rsidRPr="003A575A">
              <w:rPr>
                <w:bCs/>
                <w:i/>
                <w:vertAlign w:val="subscript"/>
              </w:rPr>
              <w:t>RH</w:t>
            </w:r>
            <w:r w:rsidRPr="003A575A">
              <w:rPr>
                <w:bCs/>
              </w:rPr>
              <w:t xml:space="preserve"> arba </w:t>
            </w:r>
            <w:r w:rsidRPr="003A575A">
              <w:rPr>
                <w:bCs/>
                <w:i/>
              </w:rPr>
              <w:t>k</w:t>
            </w:r>
            <w:r w:rsidRPr="003A575A">
              <w:rPr>
                <w:bCs/>
                <w:i/>
                <w:vertAlign w:val="subscript"/>
              </w:rPr>
              <w:t>RH,z2</w:t>
            </w:r>
            <w:r w:rsidRPr="003A575A">
              <w:rPr>
                <w:bCs/>
              </w:rPr>
              <w:t xml:space="preserve"> (W/m²), esant įvairiems pastato vidaus nustatytosios temperatūros pokyčiams (K)</w:t>
            </w:r>
          </w:p>
        </w:tc>
      </w:tr>
      <w:tr w:rsidR="00A2391E" w:rsidRPr="003A575A" w:rsidTr="001B68F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rPr>
                <w:bCs/>
                <w:sz w:val="20"/>
                <w:szCs w:val="20"/>
              </w:rPr>
            </w:pPr>
          </w:p>
        </w:tc>
        <w:tc>
          <w:tcPr>
            <w:tcW w:w="2860" w:type="dxa"/>
            <w:gridSpan w:val="3"/>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bCs/>
              </w:rPr>
            </w:pPr>
            <w:r w:rsidRPr="003A575A">
              <w:rPr>
                <w:bCs/>
              </w:rPr>
              <w:t>2 K</w:t>
            </w:r>
          </w:p>
        </w:tc>
        <w:tc>
          <w:tcPr>
            <w:tcW w:w="2860" w:type="dxa"/>
            <w:gridSpan w:val="3"/>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bCs/>
              </w:rPr>
            </w:pPr>
            <w:r w:rsidRPr="003A575A">
              <w:rPr>
                <w:bCs/>
              </w:rPr>
              <w:t>3 K</w:t>
            </w:r>
          </w:p>
        </w:tc>
        <w:tc>
          <w:tcPr>
            <w:tcW w:w="2532" w:type="dxa"/>
            <w:gridSpan w:val="3"/>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bCs/>
              </w:rPr>
            </w:pPr>
            <w:r w:rsidRPr="003A575A">
              <w:rPr>
                <w:bCs/>
              </w:rPr>
              <w:t>4 K</w:t>
            </w:r>
          </w:p>
        </w:tc>
      </w:tr>
      <w:tr w:rsidR="00A2391E" w:rsidRPr="003A575A" w:rsidTr="001B68F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rPr>
                <w:bCs/>
                <w:sz w:val="20"/>
                <w:szCs w:val="20"/>
              </w:rPr>
            </w:pPr>
          </w:p>
        </w:tc>
        <w:tc>
          <w:tcPr>
            <w:tcW w:w="8252" w:type="dxa"/>
            <w:gridSpan w:val="9"/>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bCs/>
              </w:rPr>
            </w:pPr>
            <w:r w:rsidRPr="003A575A">
              <w:rPr>
                <w:spacing w:val="-6"/>
              </w:rPr>
              <w:t>Pastatų klasifikavimas pagal jų vidaus šiluminę talpą</w:t>
            </w:r>
          </w:p>
        </w:tc>
      </w:tr>
      <w:tr w:rsidR="00A2391E" w:rsidRPr="003A575A" w:rsidTr="001B68F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rPr>
                <w:bCs/>
                <w:sz w:val="20"/>
                <w:szCs w:val="20"/>
              </w:rPr>
            </w:pPr>
          </w:p>
        </w:tc>
        <w:tc>
          <w:tcPr>
            <w:tcW w:w="827"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18"/>
                <w:szCs w:val="18"/>
              </w:rPr>
            </w:pPr>
            <w:r w:rsidRPr="003A575A">
              <w:rPr>
                <w:sz w:val="18"/>
                <w:szCs w:val="18"/>
              </w:rPr>
              <w:t>Labai lengvi arba lengvi pastatai</w:t>
            </w:r>
          </w:p>
        </w:tc>
        <w:tc>
          <w:tcPr>
            <w:tcW w:w="10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18"/>
                <w:szCs w:val="18"/>
              </w:rPr>
            </w:pPr>
            <w:r w:rsidRPr="003A575A">
              <w:rPr>
                <w:sz w:val="18"/>
                <w:szCs w:val="18"/>
              </w:rPr>
              <w:t>Vidutinio masyvumo pastatai</w:t>
            </w:r>
          </w:p>
        </w:tc>
        <w:tc>
          <w:tcPr>
            <w:tcW w:w="939"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18"/>
                <w:szCs w:val="18"/>
              </w:rPr>
            </w:pPr>
            <w:r w:rsidRPr="003A575A">
              <w:rPr>
                <w:sz w:val="18"/>
                <w:szCs w:val="18"/>
              </w:rPr>
              <w:t>Masyvūs ir labai masyvūs pastatai</w:t>
            </w:r>
          </w:p>
        </w:tc>
        <w:tc>
          <w:tcPr>
            <w:tcW w:w="827"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18"/>
                <w:szCs w:val="18"/>
              </w:rPr>
            </w:pPr>
            <w:r w:rsidRPr="003A575A">
              <w:rPr>
                <w:sz w:val="18"/>
                <w:szCs w:val="18"/>
              </w:rPr>
              <w:t>Labai lengvi arba lengvi pastatai</w:t>
            </w:r>
          </w:p>
        </w:tc>
        <w:tc>
          <w:tcPr>
            <w:tcW w:w="10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18"/>
                <w:szCs w:val="18"/>
              </w:rPr>
            </w:pPr>
            <w:r w:rsidRPr="003A575A">
              <w:rPr>
                <w:sz w:val="18"/>
                <w:szCs w:val="18"/>
              </w:rPr>
              <w:t>Vidutinio masyvumo pastatai</w:t>
            </w:r>
          </w:p>
        </w:tc>
        <w:tc>
          <w:tcPr>
            <w:tcW w:w="939"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18"/>
                <w:szCs w:val="18"/>
              </w:rPr>
            </w:pPr>
            <w:r w:rsidRPr="003A575A">
              <w:rPr>
                <w:sz w:val="18"/>
                <w:szCs w:val="18"/>
              </w:rPr>
              <w:t>Masyvūs ir labai masyvūs pastatai</w:t>
            </w:r>
          </w:p>
        </w:tc>
        <w:tc>
          <w:tcPr>
            <w:tcW w:w="75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18"/>
                <w:szCs w:val="18"/>
              </w:rPr>
            </w:pPr>
            <w:r w:rsidRPr="003A575A">
              <w:rPr>
                <w:sz w:val="18"/>
                <w:szCs w:val="18"/>
              </w:rPr>
              <w:t>Labai lengvi arba lengvi pastatai</w:t>
            </w:r>
          </w:p>
        </w:tc>
        <w:tc>
          <w:tcPr>
            <w:tcW w:w="98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18"/>
                <w:szCs w:val="18"/>
              </w:rPr>
            </w:pPr>
            <w:r w:rsidRPr="003A575A">
              <w:rPr>
                <w:sz w:val="18"/>
                <w:szCs w:val="18"/>
              </w:rPr>
              <w:t>Vidutinio masyvumo pastatai</w:t>
            </w:r>
          </w:p>
        </w:tc>
        <w:tc>
          <w:tcPr>
            <w:tcW w:w="7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18"/>
                <w:szCs w:val="18"/>
              </w:rPr>
            </w:pPr>
            <w:r w:rsidRPr="003A575A">
              <w:rPr>
                <w:sz w:val="18"/>
                <w:szCs w:val="18"/>
              </w:rPr>
              <w:t>Masyvūs ir labai masyvūs pastatai</w:t>
            </w:r>
          </w:p>
        </w:tc>
      </w:tr>
      <w:tr w:rsidR="00A2391E" w:rsidRPr="003A575A" w:rsidTr="001B68F0">
        <w:tc>
          <w:tcPr>
            <w:tcW w:w="1108"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w:t>
            </w:r>
          </w:p>
        </w:tc>
        <w:tc>
          <w:tcPr>
            <w:tcW w:w="827"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18</w:t>
            </w:r>
          </w:p>
        </w:tc>
        <w:tc>
          <w:tcPr>
            <w:tcW w:w="10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23</w:t>
            </w:r>
          </w:p>
        </w:tc>
        <w:tc>
          <w:tcPr>
            <w:tcW w:w="939"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25</w:t>
            </w:r>
          </w:p>
        </w:tc>
        <w:tc>
          <w:tcPr>
            <w:tcW w:w="827"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27</w:t>
            </w:r>
          </w:p>
        </w:tc>
        <w:tc>
          <w:tcPr>
            <w:tcW w:w="10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30</w:t>
            </w:r>
          </w:p>
        </w:tc>
        <w:tc>
          <w:tcPr>
            <w:tcW w:w="939"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27</w:t>
            </w:r>
          </w:p>
        </w:tc>
        <w:tc>
          <w:tcPr>
            <w:tcW w:w="75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36</w:t>
            </w:r>
          </w:p>
        </w:tc>
        <w:tc>
          <w:tcPr>
            <w:tcW w:w="98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27</w:t>
            </w:r>
          </w:p>
        </w:tc>
        <w:tc>
          <w:tcPr>
            <w:tcW w:w="7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31</w:t>
            </w:r>
          </w:p>
        </w:tc>
      </w:tr>
      <w:tr w:rsidR="00A2391E" w:rsidRPr="003A575A" w:rsidTr="001B68F0">
        <w:tc>
          <w:tcPr>
            <w:tcW w:w="1108"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2</w:t>
            </w:r>
          </w:p>
        </w:tc>
        <w:tc>
          <w:tcPr>
            <w:tcW w:w="827"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9</w:t>
            </w:r>
          </w:p>
        </w:tc>
        <w:tc>
          <w:tcPr>
            <w:tcW w:w="10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16</w:t>
            </w:r>
          </w:p>
        </w:tc>
        <w:tc>
          <w:tcPr>
            <w:tcW w:w="939"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2</w:t>
            </w:r>
          </w:p>
        </w:tc>
        <w:tc>
          <w:tcPr>
            <w:tcW w:w="827"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18</w:t>
            </w:r>
          </w:p>
        </w:tc>
        <w:tc>
          <w:tcPr>
            <w:tcW w:w="10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20</w:t>
            </w:r>
          </w:p>
        </w:tc>
        <w:tc>
          <w:tcPr>
            <w:tcW w:w="939"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23</w:t>
            </w:r>
          </w:p>
        </w:tc>
        <w:tc>
          <w:tcPr>
            <w:tcW w:w="75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22</w:t>
            </w:r>
          </w:p>
        </w:tc>
        <w:tc>
          <w:tcPr>
            <w:tcW w:w="98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24</w:t>
            </w:r>
          </w:p>
        </w:tc>
        <w:tc>
          <w:tcPr>
            <w:tcW w:w="7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25</w:t>
            </w:r>
          </w:p>
        </w:tc>
      </w:tr>
      <w:tr w:rsidR="00A2391E" w:rsidRPr="003A575A" w:rsidTr="001B68F0">
        <w:tc>
          <w:tcPr>
            <w:tcW w:w="1108"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3</w:t>
            </w:r>
          </w:p>
        </w:tc>
        <w:tc>
          <w:tcPr>
            <w:tcW w:w="827"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6</w:t>
            </w:r>
          </w:p>
        </w:tc>
        <w:tc>
          <w:tcPr>
            <w:tcW w:w="10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13</w:t>
            </w:r>
          </w:p>
        </w:tc>
        <w:tc>
          <w:tcPr>
            <w:tcW w:w="939"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18</w:t>
            </w:r>
          </w:p>
        </w:tc>
        <w:tc>
          <w:tcPr>
            <w:tcW w:w="827"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11</w:t>
            </w:r>
          </w:p>
        </w:tc>
        <w:tc>
          <w:tcPr>
            <w:tcW w:w="10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16</w:t>
            </w:r>
          </w:p>
        </w:tc>
        <w:tc>
          <w:tcPr>
            <w:tcW w:w="939"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18</w:t>
            </w:r>
          </w:p>
        </w:tc>
        <w:tc>
          <w:tcPr>
            <w:tcW w:w="75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18</w:t>
            </w:r>
          </w:p>
        </w:tc>
        <w:tc>
          <w:tcPr>
            <w:tcW w:w="98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18</w:t>
            </w:r>
          </w:p>
        </w:tc>
        <w:tc>
          <w:tcPr>
            <w:tcW w:w="7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18</w:t>
            </w:r>
          </w:p>
        </w:tc>
      </w:tr>
      <w:tr w:rsidR="00A2391E" w:rsidRPr="003A575A" w:rsidTr="001B68F0">
        <w:tc>
          <w:tcPr>
            <w:tcW w:w="1108"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4</w:t>
            </w:r>
          </w:p>
        </w:tc>
        <w:tc>
          <w:tcPr>
            <w:tcW w:w="827"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4</w:t>
            </w:r>
          </w:p>
        </w:tc>
        <w:tc>
          <w:tcPr>
            <w:tcW w:w="10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11</w:t>
            </w:r>
          </w:p>
        </w:tc>
        <w:tc>
          <w:tcPr>
            <w:tcW w:w="939"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16</w:t>
            </w:r>
          </w:p>
        </w:tc>
        <w:tc>
          <w:tcPr>
            <w:tcW w:w="827"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6</w:t>
            </w:r>
          </w:p>
        </w:tc>
        <w:tc>
          <w:tcPr>
            <w:tcW w:w="10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13</w:t>
            </w:r>
          </w:p>
        </w:tc>
        <w:tc>
          <w:tcPr>
            <w:tcW w:w="939"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16</w:t>
            </w:r>
          </w:p>
        </w:tc>
        <w:tc>
          <w:tcPr>
            <w:tcW w:w="75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11</w:t>
            </w:r>
          </w:p>
        </w:tc>
        <w:tc>
          <w:tcPr>
            <w:tcW w:w="98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16</w:t>
            </w:r>
          </w:p>
        </w:tc>
        <w:tc>
          <w:tcPr>
            <w:tcW w:w="79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sz w:val="20"/>
                <w:szCs w:val="20"/>
              </w:rPr>
            </w:pPr>
            <w:r w:rsidRPr="003A575A">
              <w:rPr>
                <w:sz w:val="20"/>
                <w:szCs w:val="20"/>
              </w:rPr>
              <w:t>16</w:t>
            </w:r>
          </w:p>
        </w:tc>
      </w:tr>
    </w:tbl>
    <w:p w:rsidR="00A2391E" w:rsidRPr="003A575A" w:rsidRDefault="00A2391E" w:rsidP="00A2391E">
      <w:pPr>
        <w:pStyle w:val="BodyText"/>
      </w:pPr>
    </w:p>
    <w:p w:rsidR="00A2391E" w:rsidRPr="003A575A" w:rsidRDefault="00A2391E" w:rsidP="00A2391E">
      <w:pPr>
        <w:pStyle w:val="BodyText"/>
        <w:ind w:left="7776"/>
      </w:pPr>
      <w:r w:rsidRPr="003A575A">
        <w:t xml:space="preserve">13.3 lentelė </w:t>
      </w:r>
    </w:p>
    <w:p w:rsidR="00A2391E" w:rsidRPr="003A575A" w:rsidRDefault="00A2391E" w:rsidP="00A2391E">
      <w:pPr>
        <w:pStyle w:val="BodyText"/>
        <w:rPr>
          <w:b/>
        </w:rPr>
      </w:pPr>
      <w:r w:rsidRPr="003A575A">
        <w:rPr>
          <w:b/>
        </w:rPr>
        <w:t>Šiluminės galios priedas gyvenamosios paskirties pastatams, kada šildymo sistemoje įrengtas valdymas su pastato vidaus nustatytosios temperatūros keitimu ir kada pažemintos temperatūros palaikymo trukmė neviršija 8 h [3.39]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2"/>
        <w:gridCol w:w="2624"/>
        <w:gridCol w:w="2426"/>
        <w:gridCol w:w="2188"/>
      </w:tblGrid>
      <w:tr w:rsidR="00A2391E" w:rsidRPr="003A575A" w:rsidTr="001B68F0">
        <w:trPr>
          <w:cantSplit/>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pStyle w:val="BodyText"/>
              <w:rPr>
                <w:bCs/>
              </w:rPr>
            </w:pPr>
            <w:r w:rsidRPr="003A575A">
              <w:rPr>
                <w:bCs/>
              </w:rPr>
              <w:t>Pašildymo trukmė, h</w:t>
            </w:r>
          </w:p>
        </w:tc>
        <w:tc>
          <w:tcPr>
            <w:tcW w:w="7238" w:type="dxa"/>
            <w:gridSpan w:val="3"/>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rPr>
                <w:bCs/>
              </w:rPr>
            </w:pPr>
            <w:r w:rsidRPr="003A575A">
              <w:rPr>
                <w:bCs/>
              </w:rPr>
              <w:t xml:space="preserve">Šiluminės galios priedai </w:t>
            </w:r>
            <w:r w:rsidRPr="003A575A">
              <w:rPr>
                <w:bCs/>
                <w:i/>
              </w:rPr>
              <w:t>k</w:t>
            </w:r>
            <w:r w:rsidRPr="003A575A">
              <w:rPr>
                <w:bCs/>
                <w:i/>
                <w:vertAlign w:val="subscript"/>
              </w:rPr>
              <w:t>RH</w:t>
            </w:r>
            <w:r w:rsidRPr="003A575A">
              <w:rPr>
                <w:bCs/>
              </w:rPr>
              <w:t xml:space="preserve"> arba</w:t>
            </w:r>
            <w:r w:rsidRPr="003A575A">
              <w:rPr>
                <w:bCs/>
                <w:i/>
              </w:rPr>
              <w:t xml:space="preserve"> k</w:t>
            </w:r>
            <w:r w:rsidRPr="003A575A">
              <w:rPr>
                <w:bCs/>
                <w:i/>
                <w:vertAlign w:val="subscript"/>
              </w:rPr>
              <w:t>RH,z2</w:t>
            </w:r>
            <w:r w:rsidRPr="003A575A">
              <w:rPr>
                <w:bCs/>
              </w:rPr>
              <w:t xml:space="preserve"> (W/m²) bet kurios vidaus šiluminės talpos pastatams, esant įvairiems pastato vidaus nustatytosios temperatūros pokyčiams (K)</w:t>
            </w:r>
          </w:p>
        </w:tc>
      </w:tr>
      <w:tr w:rsidR="00A2391E" w:rsidRPr="003A575A" w:rsidTr="001B68F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rPr>
                <w:bCs/>
                <w:szCs w:val="24"/>
              </w:rPr>
            </w:pPr>
          </w:p>
        </w:tc>
        <w:tc>
          <w:tcPr>
            <w:tcW w:w="262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1 K</w:t>
            </w:r>
          </w:p>
        </w:tc>
        <w:tc>
          <w:tcPr>
            <w:tcW w:w="2426"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2 K</w:t>
            </w:r>
          </w:p>
        </w:tc>
        <w:tc>
          <w:tcPr>
            <w:tcW w:w="2188"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3 K</w:t>
            </w:r>
          </w:p>
        </w:tc>
      </w:tr>
      <w:tr w:rsidR="00A2391E" w:rsidRPr="003A575A" w:rsidTr="001B68F0">
        <w:tc>
          <w:tcPr>
            <w:tcW w:w="2122"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1</w:t>
            </w:r>
          </w:p>
        </w:tc>
        <w:tc>
          <w:tcPr>
            <w:tcW w:w="262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11</w:t>
            </w:r>
          </w:p>
        </w:tc>
        <w:tc>
          <w:tcPr>
            <w:tcW w:w="2426"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22</w:t>
            </w:r>
          </w:p>
        </w:tc>
        <w:tc>
          <w:tcPr>
            <w:tcW w:w="2188"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45</w:t>
            </w:r>
          </w:p>
        </w:tc>
      </w:tr>
      <w:tr w:rsidR="00A2391E" w:rsidRPr="003A575A" w:rsidTr="001B68F0">
        <w:tc>
          <w:tcPr>
            <w:tcW w:w="2122"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2</w:t>
            </w:r>
          </w:p>
        </w:tc>
        <w:tc>
          <w:tcPr>
            <w:tcW w:w="262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6</w:t>
            </w:r>
          </w:p>
        </w:tc>
        <w:tc>
          <w:tcPr>
            <w:tcW w:w="2426"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11</w:t>
            </w:r>
          </w:p>
        </w:tc>
        <w:tc>
          <w:tcPr>
            <w:tcW w:w="2188"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22</w:t>
            </w:r>
          </w:p>
        </w:tc>
      </w:tr>
      <w:tr w:rsidR="00A2391E" w:rsidRPr="003A575A" w:rsidTr="001B68F0">
        <w:tc>
          <w:tcPr>
            <w:tcW w:w="2122"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3</w:t>
            </w:r>
          </w:p>
        </w:tc>
        <w:tc>
          <w:tcPr>
            <w:tcW w:w="262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4</w:t>
            </w:r>
          </w:p>
        </w:tc>
        <w:tc>
          <w:tcPr>
            <w:tcW w:w="2426"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9</w:t>
            </w:r>
          </w:p>
        </w:tc>
        <w:tc>
          <w:tcPr>
            <w:tcW w:w="2188"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16</w:t>
            </w:r>
          </w:p>
        </w:tc>
      </w:tr>
      <w:tr w:rsidR="00A2391E" w:rsidRPr="003A575A" w:rsidTr="001B68F0">
        <w:tc>
          <w:tcPr>
            <w:tcW w:w="2122"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4</w:t>
            </w:r>
          </w:p>
        </w:tc>
        <w:tc>
          <w:tcPr>
            <w:tcW w:w="2624"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2</w:t>
            </w:r>
          </w:p>
        </w:tc>
        <w:tc>
          <w:tcPr>
            <w:tcW w:w="2426"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7</w:t>
            </w:r>
          </w:p>
        </w:tc>
        <w:tc>
          <w:tcPr>
            <w:tcW w:w="2188"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pPr>
              <w:pStyle w:val="BodyText"/>
            </w:pPr>
            <w:r w:rsidRPr="003A575A">
              <w:t>13</w:t>
            </w:r>
          </w:p>
        </w:tc>
      </w:tr>
    </w:tbl>
    <w:p w:rsidR="00A2391E" w:rsidRPr="003A575A" w:rsidRDefault="00A2391E" w:rsidP="00A2391E"/>
    <w:p w:rsidR="00A2391E" w:rsidRPr="003A575A" w:rsidRDefault="00A2391E" w:rsidP="00A2391E">
      <w:pPr>
        <w:pStyle w:val="BodyText"/>
        <w:ind w:left="6480" w:firstLine="1296"/>
      </w:pPr>
      <w:r w:rsidRPr="003A575A">
        <w:br w:type="page"/>
      </w:r>
      <w:r w:rsidRPr="003A575A">
        <w:lastRenderedPageBreak/>
        <w:t xml:space="preserve">13.4 lentelė </w:t>
      </w:r>
    </w:p>
    <w:p w:rsidR="00A2391E" w:rsidRPr="003A575A" w:rsidRDefault="00A2391E" w:rsidP="00A2391E">
      <w:pPr>
        <w:jc w:val="center"/>
        <w:rPr>
          <w:b/>
        </w:rPr>
      </w:pPr>
      <w:r w:rsidRPr="003A575A">
        <w:rPr>
          <w:b/>
        </w:rPr>
        <w:t>Šiluminės galios pataisos koeficientas dėl šildomų patalpų aukščio</w:t>
      </w:r>
      <w:r w:rsidRPr="003A575A">
        <w:rPr>
          <w:b/>
          <w:i/>
        </w:rPr>
        <w:t xml:space="preserve"> k</w:t>
      </w:r>
      <w:r w:rsidRPr="003A575A">
        <w:rPr>
          <w:b/>
          <w:i/>
          <w:vertAlign w:val="subscript"/>
        </w:rPr>
        <w:t>H,z1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2391E" w:rsidRPr="003A575A" w:rsidTr="001B68F0">
        <w:tc>
          <w:tcPr>
            <w:tcW w:w="3190" w:type="dxa"/>
            <w:vMerge w:val="restart"/>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Dominuojančio šildymo būdo ir šildymo prietaisų išdėstymo apibūdinimas</w:t>
            </w:r>
          </w:p>
        </w:tc>
        <w:tc>
          <w:tcPr>
            <w:tcW w:w="6380" w:type="dxa"/>
            <w:gridSpan w:val="2"/>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rPr>
                <w:i/>
              </w:rPr>
              <w:t>k</w:t>
            </w:r>
            <w:r w:rsidRPr="003A575A">
              <w:rPr>
                <w:i/>
                <w:vertAlign w:val="subscript"/>
              </w:rPr>
              <w:t>H,z1</w:t>
            </w:r>
          </w:p>
        </w:tc>
      </w:tr>
      <w:tr w:rsidR="00A2391E" w:rsidRPr="003A575A" w:rsidTr="001B68F0">
        <w:tc>
          <w:tcPr>
            <w:tcW w:w="0" w:type="auto"/>
            <w:vMerge/>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rPr>
                <w:szCs w:val="24"/>
              </w:rPr>
            </w:pP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Šildomos patalpos aukštis nuo 5 iki 10 m</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Šildomos patalpos aukštis nuo 10 iki 15 m</w:t>
            </w:r>
          </w:p>
        </w:tc>
      </w:tr>
      <w:tr w:rsidR="00A2391E" w:rsidRPr="003A575A" w:rsidTr="001B68F0">
        <w:tc>
          <w:tcPr>
            <w:tcW w:w="3190"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r w:rsidRPr="003A575A">
              <w:t>Šildomos grindys</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1</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1</w:t>
            </w:r>
          </w:p>
        </w:tc>
      </w:tr>
      <w:tr w:rsidR="00A2391E" w:rsidRPr="003A575A" w:rsidTr="001B68F0">
        <w:tc>
          <w:tcPr>
            <w:tcW w:w="3190"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r w:rsidRPr="003A575A">
              <w:t>Šildomos lubos (lubų temperatūra mažesnė už 40 °C)</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1,15</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netinkamas naudojimas</w:t>
            </w:r>
          </w:p>
        </w:tc>
      </w:tr>
      <w:tr w:rsidR="00A2391E" w:rsidRPr="003A575A" w:rsidTr="001B68F0">
        <w:tc>
          <w:tcPr>
            <w:tcW w:w="3190"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r w:rsidRPr="003A575A">
              <w:t>Vidutinės ir aukštos temperatūros spindulinis šildymas iš viršaus į apačią</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1</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1,15</w:t>
            </w:r>
          </w:p>
        </w:tc>
      </w:tr>
      <w:tr w:rsidR="00A2391E" w:rsidRPr="003A575A" w:rsidTr="001B68F0">
        <w:tc>
          <w:tcPr>
            <w:tcW w:w="3190"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r w:rsidRPr="003A575A">
              <w:t>Natūrali šilto oro konvekcija</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1,15</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netinkamas naudojimas</w:t>
            </w:r>
          </w:p>
        </w:tc>
      </w:tr>
      <w:tr w:rsidR="00A2391E" w:rsidRPr="003A575A" w:rsidTr="001B68F0">
        <w:tc>
          <w:tcPr>
            <w:tcW w:w="3190"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r w:rsidRPr="003A575A">
              <w:t>Priverstinis šilto oro maišymas sudarant kryžminį oro srautą žemame lygyje</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1,3</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1,6</w:t>
            </w:r>
          </w:p>
        </w:tc>
      </w:tr>
      <w:tr w:rsidR="00A2391E" w:rsidRPr="003A575A" w:rsidTr="001B68F0">
        <w:tc>
          <w:tcPr>
            <w:tcW w:w="3190"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r w:rsidRPr="003A575A">
              <w:t>Priverstinis šilto oro maišymas nukreipiant oro srautą iš viršaus į apačią</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1,21</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1,45</w:t>
            </w:r>
          </w:p>
        </w:tc>
      </w:tr>
      <w:tr w:rsidR="00A2391E" w:rsidRPr="003A575A" w:rsidTr="001B68F0">
        <w:tc>
          <w:tcPr>
            <w:tcW w:w="3190" w:type="dxa"/>
            <w:tcBorders>
              <w:top w:val="single" w:sz="4" w:space="0" w:color="auto"/>
              <w:left w:val="single" w:sz="4" w:space="0" w:color="auto"/>
              <w:bottom w:val="single" w:sz="4" w:space="0" w:color="auto"/>
              <w:right w:val="single" w:sz="4" w:space="0" w:color="auto"/>
            </w:tcBorders>
            <w:hideMark/>
          </w:tcPr>
          <w:p w:rsidR="00A2391E" w:rsidRPr="003A575A" w:rsidRDefault="00A2391E" w:rsidP="001B68F0">
            <w:r w:rsidRPr="003A575A">
              <w:t>Priverstinis oro maišymas sudarant vidutinės ir aukštos temperatūros kryžminį oro srautą iš vidutinio lygio</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1,15</w:t>
            </w:r>
          </w:p>
        </w:tc>
        <w:tc>
          <w:tcPr>
            <w:tcW w:w="3190" w:type="dxa"/>
            <w:tcBorders>
              <w:top w:val="single" w:sz="4" w:space="0" w:color="auto"/>
              <w:left w:val="single" w:sz="4" w:space="0" w:color="auto"/>
              <w:bottom w:val="single" w:sz="4" w:space="0" w:color="auto"/>
              <w:right w:val="single" w:sz="4" w:space="0" w:color="auto"/>
            </w:tcBorders>
            <w:vAlign w:val="center"/>
            <w:hideMark/>
          </w:tcPr>
          <w:p w:rsidR="00A2391E" w:rsidRPr="003A575A" w:rsidRDefault="00A2391E" w:rsidP="001B68F0">
            <w:pPr>
              <w:jc w:val="center"/>
            </w:pPr>
            <w:r w:rsidRPr="003A575A">
              <w:t>1,3</w:t>
            </w:r>
          </w:p>
        </w:tc>
      </w:tr>
    </w:tbl>
    <w:p w:rsidR="00A2391E" w:rsidRPr="003A575A" w:rsidRDefault="00A2391E" w:rsidP="00A2391E"/>
    <w:p w:rsidR="00A2391E" w:rsidRPr="003A575A" w:rsidRDefault="00A2391E" w:rsidP="00E81220">
      <w:pPr>
        <w:ind w:firstLine="567"/>
      </w:pPr>
      <w:r w:rsidRPr="003A575A">
        <w:t>1.3. jeigu pastato (jo dalies) nustatytosios vidaus temperatūros</w:t>
      </w:r>
      <w:r w:rsidRPr="003A575A">
        <w:rPr>
          <w:b/>
        </w:rPr>
        <w:t xml:space="preserve"> </w:t>
      </w:r>
      <w:r w:rsidRPr="003A575A">
        <w:t>keitimas negalimas arba šis keitimas galimas, bet projektavimo metu nustatytosios vidaus temperatūros</w:t>
      </w:r>
      <w:r w:rsidRPr="003A575A">
        <w:rPr>
          <w:b/>
        </w:rPr>
        <w:t xml:space="preserve"> </w:t>
      </w:r>
      <w:r w:rsidRPr="003A575A">
        <w:t>keitimo pobūdis nežinomas, tada</w:t>
      </w:r>
    </w:p>
    <w:p w:rsidR="00A2391E" w:rsidRPr="003A575A" w:rsidRDefault="00A2391E" w:rsidP="00A2391E"/>
    <w:tbl>
      <w:tblPr>
        <w:tblW w:w="0" w:type="auto"/>
        <w:tblLook w:val="01E0"/>
      </w:tblPr>
      <w:tblGrid>
        <w:gridCol w:w="8508"/>
        <w:gridCol w:w="1062"/>
      </w:tblGrid>
      <w:tr w:rsidR="00A2391E" w:rsidRPr="003A575A" w:rsidTr="001B68F0">
        <w:tc>
          <w:tcPr>
            <w:tcW w:w="8508" w:type="dxa"/>
            <w:vAlign w:val="center"/>
            <w:hideMark/>
          </w:tcPr>
          <w:p w:rsidR="00A2391E" w:rsidRPr="003A575A" w:rsidRDefault="00A2391E" w:rsidP="001B68F0">
            <w:pPr>
              <w:jc w:val="center"/>
            </w:pPr>
            <w:r w:rsidRPr="003A575A">
              <w:rPr>
                <w:rFonts w:eastAsia="Times New Roman"/>
                <w:i/>
                <w:position w:val="-14"/>
                <w:szCs w:val="24"/>
              </w:rPr>
              <w:object w:dxaOrig="3360" w:dyaOrig="380">
                <v:shape id="_x0000_i1028" type="#_x0000_t75" style="width:167.85pt;height:18.75pt" o:ole="">
                  <v:imagedata r:id="rId12" o:title=""/>
                </v:shape>
                <o:OLEObject Type="Embed" ProgID="Equation.3" ShapeID="_x0000_i1028" DrawAspect="Content" ObjectID="_1521889302" r:id="rId13"/>
              </w:object>
            </w:r>
            <w:r w:rsidRPr="003A575A">
              <w:t>;</w:t>
            </w:r>
          </w:p>
        </w:tc>
        <w:tc>
          <w:tcPr>
            <w:tcW w:w="1062" w:type="dxa"/>
            <w:vAlign w:val="center"/>
            <w:hideMark/>
          </w:tcPr>
          <w:p w:rsidR="00A2391E" w:rsidRPr="003A575A" w:rsidRDefault="00A2391E" w:rsidP="001B68F0">
            <w:pPr>
              <w:jc w:val="right"/>
            </w:pPr>
            <w:r w:rsidRPr="003A575A">
              <w:t>(13.4)</w:t>
            </w:r>
          </w:p>
        </w:tc>
      </w:tr>
    </w:tbl>
    <w:p w:rsidR="00A2391E" w:rsidRPr="003A575A" w:rsidRDefault="00A2391E" w:rsidP="00E81220">
      <w:pPr>
        <w:tabs>
          <w:tab w:val="left" w:pos="567"/>
        </w:tabs>
      </w:pPr>
      <w:r w:rsidRPr="003A575A">
        <w:t xml:space="preserve">čia: </w:t>
      </w:r>
      <w:r w:rsidRPr="003A575A">
        <w:tab/>
      </w:r>
      <w:r w:rsidRPr="003A575A">
        <w:rPr>
          <w:i/>
        </w:rPr>
        <w:t>k</w:t>
      </w:r>
      <w:r w:rsidRPr="003A575A">
        <w:rPr>
          <w:i/>
          <w:vertAlign w:val="subscript"/>
        </w:rPr>
        <w:t>P</w:t>
      </w:r>
      <w:r w:rsidRPr="003A575A">
        <w:t xml:space="preserve"> – šiluminės galios pataisos koeficientas. Jeigu pastato projekte numatyta, kad šildymo sezono metu nustatytoji vidaus temperatūra negali būti keičiama, imama </w:t>
      </w:r>
      <w:r w:rsidRPr="003A575A">
        <w:rPr>
          <w:i/>
        </w:rPr>
        <w:t>k</w:t>
      </w:r>
      <w:r w:rsidRPr="003A575A">
        <w:rPr>
          <w:i/>
          <w:vertAlign w:val="subscript"/>
        </w:rPr>
        <w:t>P</w:t>
      </w:r>
      <w:r w:rsidRPr="003A575A">
        <w:t xml:space="preserve">=1,1, kitais atvejais imama </w:t>
      </w:r>
      <w:r w:rsidRPr="003A575A">
        <w:rPr>
          <w:i/>
        </w:rPr>
        <w:t>k</w:t>
      </w:r>
      <w:r w:rsidRPr="003A575A">
        <w:rPr>
          <w:i/>
          <w:vertAlign w:val="subscript"/>
        </w:rPr>
        <w:t>P</w:t>
      </w:r>
      <w:r w:rsidRPr="003A575A">
        <w:t xml:space="preserve">=1,3. </w:t>
      </w:r>
    </w:p>
    <w:p w:rsidR="00A2391E" w:rsidRPr="003A575A" w:rsidRDefault="00A2391E" w:rsidP="00A2391E">
      <w:pPr>
        <w:jc w:val="center"/>
      </w:pPr>
      <w:r w:rsidRPr="003A575A">
        <w:t>___________________________</w:t>
      </w:r>
    </w:p>
    <w:p w:rsidR="00724B45" w:rsidRPr="003A575A" w:rsidRDefault="00724B45"/>
    <w:sectPr w:rsidR="00724B45" w:rsidRPr="003A575A" w:rsidSect="00E81220">
      <w:headerReference w:type="default" r:id="rId14"/>
      <w:pgSz w:w="11906" w:h="16838"/>
      <w:pgMar w:top="1135" w:right="567"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6A7" w:rsidRDefault="00CC56A7" w:rsidP="003A575A">
      <w:r>
        <w:separator/>
      </w:r>
    </w:p>
  </w:endnote>
  <w:endnote w:type="continuationSeparator" w:id="0">
    <w:p w:rsidR="00CC56A7" w:rsidRDefault="00CC56A7" w:rsidP="003A57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6A7" w:rsidRDefault="00CC56A7" w:rsidP="003A575A">
      <w:r>
        <w:separator/>
      </w:r>
    </w:p>
  </w:footnote>
  <w:footnote w:type="continuationSeparator" w:id="0">
    <w:p w:rsidR="00CC56A7" w:rsidRDefault="00CC56A7" w:rsidP="003A5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236"/>
      <w:docPartObj>
        <w:docPartGallery w:val="Page Numbers (Top of Page)"/>
        <w:docPartUnique/>
      </w:docPartObj>
    </w:sdtPr>
    <w:sdtContent>
      <w:p w:rsidR="003A575A" w:rsidRDefault="00CD309F">
        <w:pPr>
          <w:pStyle w:val="Header"/>
          <w:jc w:val="center"/>
        </w:pPr>
        <w:fldSimple w:instr=" PAGE   \* MERGEFORMAT ">
          <w:r w:rsidR="005A5501">
            <w:rPr>
              <w:noProof/>
            </w:rPr>
            <w:t>3</w:t>
          </w:r>
        </w:fldSimple>
      </w:p>
    </w:sdtContent>
  </w:sdt>
  <w:p w:rsidR="003A575A" w:rsidRDefault="003A57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A2391E"/>
    <w:rsid w:val="000A1404"/>
    <w:rsid w:val="003A575A"/>
    <w:rsid w:val="005A5501"/>
    <w:rsid w:val="0068534A"/>
    <w:rsid w:val="00724B45"/>
    <w:rsid w:val="009E1E3D"/>
    <w:rsid w:val="00A2391E"/>
    <w:rsid w:val="00B82841"/>
    <w:rsid w:val="00CC56A7"/>
    <w:rsid w:val="00CD309F"/>
    <w:rsid w:val="00D5266B"/>
    <w:rsid w:val="00D948AA"/>
    <w:rsid w:val="00E8122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1E"/>
    <w:pPr>
      <w:spacing w:after="0" w:line="240" w:lineRule="auto"/>
      <w:jc w:val="both"/>
    </w:pPr>
    <w:rPr>
      <w:rFonts w:ascii="Times New Roman" w:eastAsia="Calibri" w:hAnsi="Times New Roman" w:cs="Times New Roman"/>
      <w:sz w:val="24"/>
    </w:rPr>
  </w:style>
  <w:style w:type="paragraph" w:styleId="Heading2">
    <w:name w:val="heading 2"/>
    <w:basedOn w:val="Normal"/>
    <w:next w:val="Normal"/>
    <w:link w:val="Heading2Char"/>
    <w:qFormat/>
    <w:rsid w:val="00A2391E"/>
    <w:pPr>
      <w:keepNext/>
      <w:overflowPunct w:val="0"/>
      <w:autoSpaceDE w:val="0"/>
      <w:autoSpaceDN w:val="0"/>
      <w:adjustRightInd w:val="0"/>
      <w:spacing w:before="120" w:after="120"/>
      <w:jc w:val="center"/>
      <w:textAlignment w:val="baseline"/>
      <w:outlineLvl w:val="1"/>
    </w:pPr>
    <w:rPr>
      <w:rFonts w:ascii="Times New Roman Bold" w:eastAsia="Times New Roman" w:hAnsi="Times New Roman Bold"/>
      <w:b/>
      <w:caps/>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391E"/>
    <w:rPr>
      <w:rFonts w:ascii="Times New Roman Bold" w:eastAsia="Times New Roman" w:hAnsi="Times New Roman Bold" w:cs="Times New Roman"/>
      <w:b/>
      <w:caps/>
      <w:sz w:val="24"/>
      <w:szCs w:val="20"/>
      <w:lang w:eastAsia="lt-LT"/>
    </w:rPr>
  </w:style>
  <w:style w:type="paragraph" w:styleId="BodyTextIndent">
    <w:name w:val="Body Text Indent"/>
    <w:basedOn w:val="Normal"/>
    <w:link w:val="BodyTextIndentChar"/>
    <w:rsid w:val="00A2391E"/>
    <w:pPr>
      <w:ind w:firstLine="720"/>
    </w:pPr>
    <w:rPr>
      <w:rFonts w:eastAsia="Times New Roman"/>
      <w:szCs w:val="24"/>
    </w:rPr>
  </w:style>
  <w:style w:type="character" w:customStyle="1" w:styleId="BodyTextIndentChar">
    <w:name w:val="Body Text Indent Char"/>
    <w:basedOn w:val="DefaultParagraphFont"/>
    <w:link w:val="BodyTextIndent"/>
    <w:rsid w:val="00A2391E"/>
    <w:rPr>
      <w:rFonts w:ascii="Times New Roman" w:eastAsia="Times New Roman" w:hAnsi="Times New Roman" w:cs="Times New Roman"/>
      <w:sz w:val="24"/>
      <w:szCs w:val="24"/>
    </w:rPr>
  </w:style>
  <w:style w:type="paragraph" w:styleId="BodyText">
    <w:name w:val="Body Text"/>
    <w:basedOn w:val="Normal"/>
    <w:link w:val="BodyTextChar"/>
    <w:rsid w:val="00A2391E"/>
    <w:pPr>
      <w:jc w:val="center"/>
    </w:pPr>
    <w:rPr>
      <w:rFonts w:eastAsia="Times New Roman"/>
      <w:kern w:val="16"/>
      <w:szCs w:val="24"/>
    </w:rPr>
  </w:style>
  <w:style w:type="character" w:customStyle="1" w:styleId="BodyTextChar">
    <w:name w:val="Body Text Char"/>
    <w:basedOn w:val="DefaultParagraphFont"/>
    <w:link w:val="BodyText"/>
    <w:rsid w:val="00A2391E"/>
    <w:rPr>
      <w:rFonts w:ascii="Times New Roman" w:eastAsia="Times New Roman" w:hAnsi="Times New Roman" w:cs="Times New Roman"/>
      <w:kern w:val="16"/>
      <w:sz w:val="24"/>
      <w:szCs w:val="24"/>
    </w:rPr>
  </w:style>
  <w:style w:type="paragraph" w:styleId="Header">
    <w:name w:val="header"/>
    <w:basedOn w:val="Normal"/>
    <w:link w:val="HeaderChar"/>
    <w:uiPriority w:val="99"/>
    <w:unhideWhenUsed/>
    <w:rsid w:val="003A575A"/>
    <w:pPr>
      <w:tabs>
        <w:tab w:val="center" w:pos="4819"/>
        <w:tab w:val="right" w:pos="9638"/>
      </w:tabs>
    </w:pPr>
  </w:style>
  <w:style w:type="character" w:customStyle="1" w:styleId="HeaderChar">
    <w:name w:val="Header Char"/>
    <w:basedOn w:val="DefaultParagraphFont"/>
    <w:link w:val="Header"/>
    <w:uiPriority w:val="99"/>
    <w:rsid w:val="003A575A"/>
    <w:rPr>
      <w:rFonts w:ascii="Times New Roman" w:eastAsia="Calibri" w:hAnsi="Times New Roman" w:cs="Times New Roman"/>
      <w:sz w:val="24"/>
    </w:rPr>
  </w:style>
  <w:style w:type="paragraph" w:styleId="Footer">
    <w:name w:val="footer"/>
    <w:basedOn w:val="Normal"/>
    <w:link w:val="FooterChar"/>
    <w:uiPriority w:val="99"/>
    <w:semiHidden/>
    <w:unhideWhenUsed/>
    <w:rsid w:val="003A575A"/>
    <w:pPr>
      <w:tabs>
        <w:tab w:val="center" w:pos="4819"/>
        <w:tab w:val="right" w:pos="9638"/>
      </w:tabs>
    </w:pPr>
  </w:style>
  <w:style w:type="character" w:customStyle="1" w:styleId="FooterChar">
    <w:name w:val="Footer Char"/>
    <w:basedOn w:val="DefaultParagraphFont"/>
    <w:link w:val="Footer"/>
    <w:uiPriority w:val="99"/>
    <w:semiHidden/>
    <w:rsid w:val="003A575A"/>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3980</Words>
  <Characters>2270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t.baranauskas</dc:creator>
  <cp:lastModifiedBy>t.baranauskas</cp:lastModifiedBy>
  <cp:revision>3</cp:revision>
  <dcterms:created xsi:type="dcterms:W3CDTF">2016-01-21T14:09:00Z</dcterms:created>
  <dcterms:modified xsi:type="dcterms:W3CDTF">2016-04-11T11:01:00Z</dcterms:modified>
</cp:coreProperties>
</file>