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9005ffcf440451988de2f9e5d22820f"/>
        <w:lock w:val="sdtLocked"/>
        <w:richText/>
      </w:sdtPr>
      <w:sdtContent>
        <w:p w14:paraId="753ABB6C" w14:textId="77777777">
          <w:pPr>
            <w:tabs>
              <w:tab w:val="center" w:pos="4153"/>
              <w:tab w:val="right" w:pos="8306"/>
            </w:tabs>
            <w:jc w:val="right"/>
          </w:pPr>
        </w:p>
        <w:p w14:paraId="69351D76" w14:textId="77777777">
          <w:pPr>
            <w:tabs>
              <w:tab w:val="center" w:pos="4153"/>
              <w:tab w:val="right" w:pos="8306"/>
            </w:tabs>
            <w:jc w:val="right"/>
          </w:pPr>
        </w:p>
        <w:p w14:paraId="6F549C0F" w14:textId="77777777">
          <w:pPr>
            <w:jc w:val="center"/>
            <w:rPr>
              <w:b/>
              <w:bCs/>
              <w:lang w:val="en-US"/>
            </w:rPr>
          </w:pPr>
        </w:p>
        <w:p w14:paraId="42A5F668" w14:textId="2022BA5F">
          <w:pPr>
            <w:jc w:val="center"/>
            <w:rPr>
              <w:b/>
              <w:bCs/>
            </w:rPr>
          </w:pPr>
          <w:r>
            <w:rPr>
              <w:b/>
              <w:bCs/>
            </w:rPr>
            <w:t>ŠIAULIŲ MIESTO SAVIVALDYBĖS ADMINISTRACIJOS</w:t>
          </w:r>
        </w:p>
        <w:sdt>
          <w:sdtPr>
            <w:alias w:val="skyrius"/>
            <w:tag w:val="part_3f4fb61ce5a54f92bef520fa0f8854fa"/>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3f4fb61ce5a54f92bef520fa0f8854fa"/>
                <w:lock w:val="sdtLocked"/>
                <w:richText/>
              </w:sdtPr>
              <w:sdtContent>
                <w:p w14:paraId="42A5F66C" w14:textId="0736FF6C">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2024 M. VASARIO </w:t>
                  </w:r>
                </w:p>
                <w:p w14:paraId="42A5F66D" w14:textId="5496DABC">
                  <w:pPr>
                    <w:keepNext/>
                    <w:jc w:val="center"/>
                    <w:rPr>
                      <w:b/>
                      <w:bCs/>
                      <w:lang w:eastAsia="x-none"/>
                    </w:rPr>
                  </w:pPr>
                  <w:r>
                    <w:rPr>
                      <w:b/>
                      <w:bCs/>
                      <w:lang w:eastAsia="x-none"/>
                    </w:rPr>
                    <w:t>1 D. SPRENDIMO NR. T-2 „DĖL</w:t>
                  </w:r>
                  <w:r>
                    <w:rPr>
                      <w:b/>
                      <w:bCs/>
                      <w:lang w:val="x-none" w:eastAsia="x-none"/>
                    </w:rPr>
                    <w:t xml:space="preserve"> ŠIAULIŲ MIESTO SAVIVALDYBĖS 20</w:t>
                  </w:r>
                  <w:r>
                    <w:rPr>
                      <w:b/>
                      <w:bCs/>
                      <w:lang w:eastAsia="x-none"/>
                    </w:rPr>
                    <w:t>24</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449DCA8A">
              <w:pPr>
                <w:jc w:val="center"/>
              </w:pPr>
              <w:r>
                <w:t>2024-03-14</w:t>
              </w:r>
            </w:p>
            <w:p w14:paraId="42A5F671" w14:textId="23CED36B">
              <w:pPr>
                <w:jc w:val="center"/>
                <w:rPr>
                  <w:szCs w:val="24"/>
                </w:rPr>
              </w:pPr>
              <w:r>
                <w:rPr>
                  <w:szCs w:val="24"/>
                </w:rPr>
                <w:t>Šiauliai</w:t>
              </w:r>
            </w:p>
            <w:p w14:paraId="42A5F674" w14:textId="01C25392">
              <w:pPr>
                <w:rPr>
                  <w:szCs w:val="24"/>
                </w:rPr>
              </w:pPr>
            </w:p>
            <w:sdt>
              <w:sdtPr>
                <w:alias w:val="poskyris"/>
                <w:tag w:val="part_2efd8d359da642bc9fffe01be4451834"/>
                <w:lock w:val="sdtLocked"/>
                <w:richText/>
              </w:sdtPr>
              <w:sdtContent>
                <w:p w14:paraId="42A5F675" w14:textId="77777777">
                  <w:pPr>
                    <w:ind w:firstLine="567"/>
                    <w:jc w:val="both"/>
                    <w:rPr>
                      <w:b/>
                      <w:bCs/>
                    </w:rPr>
                  </w:pPr>
                  <w:sdt>
                    <w:sdtPr>
                      <w:alias w:val="Pavadinimas"/>
                      <w:tag w:val="title_2efd8d359da642bc9fffe01be4451834"/>
                      <w:lock w:val="sdtLocked"/>
                      <w:richText/>
                    </w:sdtPr>
                    <w:sdtContent>
                      <w:r>
                        <w:rPr>
                          <w:b/>
                          <w:bCs/>
                        </w:rPr>
                        <w:t>Parengto sprendimo projekto tikslas ir uždaviniai.</w:t>
                      </w:r>
                    </w:sdtContent>
                  </w:sdt>
                </w:p>
                <w:p w14:paraId="1FC229B2" w14:textId="005FDB75">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24</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9b56d87484d345d68d893f5659a1412c"/>
                <w:lock w:val="sdtLocked"/>
                <w:richText/>
              </w:sdtPr>
              <w:sdtContent>
                <w:p w14:paraId="42A5F678" w14:textId="77777777">
                  <w:pPr>
                    <w:ind w:firstLine="540"/>
                    <w:jc w:val="both"/>
                    <w:rPr>
                      <w:b/>
                      <w:szCs w:val="24"/>
                      <w:shd w:val="clear" w:color="auto" w:fill="FFFFFF"/>
                    </w:rPr>
                  </w:pPr>
                  <w:sdt>
                    <w:sdtPr>
                      <w:alias w:val="Pavadinimas"/>
                      <w:tag w:val="title_9b56d87484d345d68d893f5659a1412c"/>
                      <w:lock w:val="sdtLocked"/>
                      <w:richText/>
                    </w:sdtPr>
                    <w:sdtContent>
                      <w:r>
                        <w:rPr>
                          <w:b/>
                          <w:szCs w:val="24"/>
                          <w:shd w:val="clear" w:color="auto" w:fill="FFFFFF"/>
                        </w:rPr>
                        <w:t xml:space="preserve">Dabartinis sprendimo projekte aptariamų klausimų reguliavimas. </w:t>
                      </w:r>
                    </w:sdtContent>
                  </w:sdt>
                </w:p>
                <w:p w14:paraId="217578E6" w14:textId="4731D5BB">
                  <w:pPr>
                    <w:ind w:firstLine="540"/>
                    <w:jc w:val="both"/>
                    <w:rPr>
                      <w:szCs w:val="24"/>
                      <w:lang w:eastAsia="lt-LT"/>
                    </w:rPr>
                  </w:pPr>
                  <w:r>
                    <w:rPr>
                      <w:szCs w:val="24"/>
                      <w:lang w:eastAsia="lt-LT"/>
                    </w:rPr>
                    <w:t xml:space="preserve">Sprendimo projektas parengtas vadovaujantis Lietuvos Respublikos socialinės apsaugos ir darbo ministro įsakymais: 2024 m. kovo 5 d. įsakymu Nr. A1-187 „Dėl Lietuvos Respublikos socialinės apsaugos ir darbo ministro 2024 m. sausio 19 d. įsakymo Nr. A1-47 „Dėl lėšų paskirstymo 2024 metais savivaldybėms socialinių paslaugų įstaigose dirbančių socialinių paslaugų srities darbuotojų pareiginei algai padidinti patvirtinimo“ pakeitimo“, 2024 m. kovo 5 d. įsakymu Nr. A1-187 „Dėl lėšų paskirstymo 2024 metais savivaldybėms socialinių paslaugų įstaigose dirbančių socialinių paslaugų srities darbuotojų pareiginei algai padidinti ir socialinių paslaugų šakos kolektyvinėje sutartyje nustatytiems įsipareigojimams įgyvendinti patvirtinimo“ ir 2024 m. sausio 22 d. įsakymu Nr. A1-53 „Dėl 2024 metų lėšų paskirstymo savivaldybėms bendruomeninei veiklai stiprinti, įgyvendinant Nevyriausybinių organizacijų veiklos stiprinimo 2023-2025 metų veiksmų plano 2.1.1.1 priemonės „Stiprinti bendruomeninę veiklą savivaldybėse“ bandomąjį modelį, patvirtinimo“, </w:t>
                  </w:r>
                  <w:r>
                    <w:rPr>
                      <w:rFonts w:eastAsia="HG Mincho Light J"/>
                      <w:color w:val="000000"/>
                      <w:szCs w:val="24"/>
                      <w:lang w:eastAsia="lt-LT"/>
                    </w:rPr>
                    <w:t xml:space="preserve">Lietuvos Respublikos švietimo, mokslo ir sporto ministro 2024 m. sausio 26 d. įsakymu Nr. V-84 „Dėl Lietuvos Respublikos valstybės biudžeto lėšų profesiniam orientavimui apskaičiavimo, paskirstymo ir panaudojimo tvarkos aprašo patvirtinimo“ ir 2024 m. vasario 8 d. įsakymu Nr. V-144 „Dėl lėšų, skirtų pareigybėms steigti ir išlaikyti regioniniuose specialiojo ugdymo centruose, apskaičiavimo ir paskirstymo“, Asmens su negalia teisių apsaugos agentūros prie </w:t>
                  </w:r>
                  <w:r>
                    <w:rPr>
                      <w:szCs w:val="24"/>
                      <w:lang w:eastAsia="lt-LT"/>
                    </w:rPr>
                    <w:t>Lietuvos Respublikos socialinės apsaugos ir darbo ministerijos direktoriaus 2024 m. sausio 25 d. įsakymu Nr. V-21 „Dėl Lietuvos Respublikos valstybės biudžeto dotacijų savivaldybių administracijoms, atliekančioms asmenų su negalia reikalų koordinavimo funkciją, skyrimo 2024 metams“, Akcinės bendrovės Lietuvos automobilių Kelių direkcijos generalinio direktoriaus įsakymu „Dėl Kelių priežiūros ir plėtros programos finansavimo lėšų savivaldybių institucijų valdomiems vietinės reikšmės keliams paskirstymo 2024 metais“, Lietuvos Respublikos krašto apsaugos ministro įsakymu „Dėl privažiuojamųjų prie krašto apsaugos sistemos objektų savivaldybių vietinės reikšmės kelių taisymo (remonto) 2024 metais lėšų paskirstymo“,</w:t>
                  </w:r>
                  <w:r>
                    <w:rPr>
                      <w:rFonts w:eastAsia="HG Mincho Light J"/>
                      <w:color w:val="000000"/>
                      <w:szCs w:val="24"/>
                      <w:lang w:eastAsia="lt-LT"/>
                    </w:rPr>
                    <w:t xml:space="preserve"> Asmens su negalia teisių apsaugos agentūros prie </w:t>
                  </w:r>
                  <w:r>
                    <w:rPr>
                      <w:szCs w:val="24"/>
                      <w:lang w:eastAsia="lt-LT"/>
                    </w:rPr>
                    <w:t>Lietuvos Respublikos socialinės apsaugos ir darbo ministerijos</w:t>
                  </w:r>
                  <w:r>
                    <w:rPr>
                      <w:rFonts w:eastAsia="HG Mincho Light J"/>
                      <w:color w:val="000000"/>
                      <w:szCs w:val="24"/>
                      <w:lang w:eastAsia="lt-LT"/>
                    </w:rPr>
                    <w:t xml:space="preserve"> ir Šiaulių miesto savivaldybės administracijos 2024 m. vasario 1 d. sutartimi Nr. SŽ-97 ir vasario 8 d. sutartimi Nr. SŽ-114 „Dėl projekto „Perėjimas nuo institucinės globos prie bendruomeninių paslaugų Sostinės regione, Vidurio ir vakarų Lietuvos regione“.</w:t>
                  </w:r>
                </w:p>
                <w:p w14:paraId="42A5F67A" w14:textId="3558F87D">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2024 metų biudžeto pakeitimo rengia Strateginio planavimo ir finansų skyrius, atsižvelgiant į asignavimų valdytojų gautus prašymus dėl biudžeto asignavimų pakeitimų bei Strateginio planavimo grupės (toliau – SPG) 2024 m. kovo 6 d. posėdžio metu priimtais sprendimais (2024 m. kovo 6 d. SPG posėdžio protokolas DVS „Avilys“</w:t>
                  </w:r>
                  <w:r>
                    <w:rPr>
                      <w:color w:val="FF0000"/>
                    </w:rPr>
                    <w:t xml:space="preserve"> </w:t>
                  </w:r>
                  <w:r>
                    <w:t>Nr. VM-17).</w:t>
                  </w:r>
                </w:p>
              </w:sdtContent>
            </w:sdt>
            <w:sdt>
              <w:sdtPr>
                <w:alias w:val="poskyris"/>
                <w:tag w:val="part_1cb2379736184c50ac3b84b3af8be408"/>
                <w:lock w:val="sdtLocked"/>
                <w:richText/>
              </w:sdtPr>
              <w:sdtContent>
                <w:p w14:paraId="42A5F67B" w14:textId="77777777">
                  <w:pPr>
                    <w:ind w:firstLine="540"/>
                    <w:jc w:val="both"/>
                    <w:rPr>
                      <w:b/>
                      <w:szCs w:val="24"/>
                    </w:rPr>
                  </w:pPr>
                  <w:sdt>
                    <w:sdtPr>
                      <w:alias w:val="Pavadinimas"/>
                      <w:tag w:val="title_1cb2379736184c50ac3b84b3af8be408"/>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4c8d97d8fd5f46d5b98d2f6dd23f544b"/>
                    <w:lock w:val="sdtLocked"/>
                    <w:richText/>
                  </w:sdtPr>
                  <w:sdtContent>
                    <w:p w14:paraId="3FC0EB2C" w14:textId="7D8E93D4">
                      <w:pPr>
                        <w:tabs>
                          <w:tab w:val="left" w:pos="1296"/>
                        </w:tabs>
                        <w:ind w:firstLine="567"/>
                        <w:jc w:val="both"/>
                        <w:rPr>
                          <w:b/>
                        </w:rPr>
                      </w:pPr>
                      <w:sdt>
                        <w:sdtPr>
                          <w:alias w:val="Numeris"/>
                          <w:tag w:val="nr_4c8d97d8fd5f46d5b98d2f6dd23f544b"/>
                          <w:lock w:val="sdtLocked"/>
                          <w:richText/>
                        </w:sdtPr>
                        <w:sdtContent>
                          <w:r>
                            <w:rPr>
                              <w:b/>
                            </w:rPr>
                            <w:t>1</w:t>
                          </w:r>
                        </w:sdtContent>
                      </w:sdt>
                      <w:r>
                        <w:rPr>
                          <w:b/>
                        </w:rPr>
                        <w:t>.</w:t>
                        <w:tab/>
                      </w:r>
                      <w:r>
                        <w:rPr>
                          <w:b/>
                          <w:szCs w:val="24"/>
                        </w:rPr>
                        <w:t>Sprendimo projekte pajamos ir asignavimai didinami 1 652,5 tūkst. Eur:</w:t>
                      </w:r>
                    </w:p>
                    <w:sdt>
                      <w:sdtPr>
                        <w:alias w:val="1.1 pp."/>
                        <w:tag w:val="part_a338c46c43404254b4e086a9768be966"/>
                        <w:lock w:val="sdtLocked"/>
                        <w:richText/>
                      </w:sdtPr>
                      <w:sdtContent>
                        <w:p w14:paraId="4942EE20" w14:textId="11E44743">
                          <w:pPr>
                            <w:ind w:firstLine="710"/>
                            <w:jc w:val="both"/>
                          </w:pPr>
                          <w:sdt>
                            <w:sdtPr>
                              <w:alias w:val="Numeris"/>
                              <w:tag w:val="nr_a338c46c43404254b4e086a9768be966"/>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 xml:space="preserve">164,4 tūkst. Eur didinamos Miesto infrastruktūros objektų priežiūros, modernizavimo ir plėtros programos (04) Kelių priežiūros ir plėtros programos lėšos VB(KPPP), skirtos suprojektuoti, nutiesti, išasfaltuoti ar rekonstruoti žvyruotas gatves (raštas Nr. GM-38), ir 685,0 tūkst. Eur didinamos valstybės biudžeto lėšos (VB), skirtos Aerouosto gatvės atkarpos tarp Dubijos g. ir Lakūnų g. ir Lakūnų gatvės rekonstrukcijos darbams finansuoti (raštas Nr. GM-37). Asignavimų valdytojas – Administracija; </w:t>
                          </w:r>
                        </w:p>
                      </w:sdtContent>
                    </w:sdt>
                    <w:sdt>
                      <w:sdtPr>
                        <w:alias w:val="1.2 pp."/>
                        <w:tag w:val="part_5f33ff61e16a4afdb71563eb233e2146"/>
                        <w:lock w:val="sdtLocked"/>
                        <w:richText/>
                      </w:sdtPr>
                      <w:sdtContent>
                        <w:p w14:paraId="0FA8C927" w14:textId="73444538">
                          <w:pPr>
                            <w:ind w:firstLine="710"/>
                            <w:jc w:val="both"/>
                          </w:pPr>
                          <w:sdt>
                            <w:sdtPr>
                              <w:alias w:val="Numeris"/>
                              <w:tag w:val="nr_5f33ff61e16a4afdb71563eb233e2146"/>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 xml:space="preserve">303,7 tūkst. Eur didinamos Švietimo prieinamumo ir kokybės užtikrinimo programos (08) valstybės biudžeto lėšos (VB), skirtos: 36,1 tūkst. Eur Šiaulių „Santakos“ ugdymo centrui psichologo, specialiojo pedagogo, socialinio pedagogo, logopedo, ergoterapeuto pareigybėms steigti ir išlaikyti (raštas Nr. GM-46), 232,0 tūkst. Eur Gytarių progimnazijos sporto aikštyno atnaujinimo darbams (raštas Nr. GM-45) ir 35,6 tūkst. Eur profesinio orientavimo paslaugų teikimui Šiaulių miesto bendrojo ugdymo mokyklose (raštas Nr. GS-23), asignavimų valdytojas – Administracija; </w:t>
                          </w:r>
                        </w:p>
                      </w:sdtContent>
                    </w:sdt>
                    <w:sdt>
                      <w:sdtPr>
                        <w:alias w:val="1.3 pp."/>
                        <w:tag w:val="part_61e638d8276042e286dd1beae61974b1"/>
                        <w:lock w:val="sdtLocked"/>
                        <w:richText/>
                      </w:sdtPr>
                      <w:sdtContent>
                        <w:p w14:paraId="4F3F3815" w14:textId="601FB153">
                          <w:pPr>
                            <w:ind w:firstLine="710"/>
                            <w:jc w:val="both"/>
                          </w:pPr>
                          <w:sdt>
                            <w:sdtPr>
                              <w:alias w:val="Numeris"/>
                              <w:tag w:val="nr_61e638d8276042e286dd1beae61974b1"/>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 xml:space="preserve">255,5 tūkst. Eur didinamos Socialinės paramos įgyvendinimo programos (10) valstybės biudžeto lėšos (VB), skirtos 41,6 tūkst. Eur Šiaulių miesto savivaldybės socialinių paslaugų centrui socialinių paslaugų šakos kolektyvinėje sutartyje nustatytiems įsipareigojimams įgyvendinti ir 213,9 tūkst. Eur socialinių paslaugų įstaigose dirbančių socialinių paslaugų srities darbuotojų pareiginei algai padidinti: Šiaulių miesto savivaldybės socialinių paslaugų centrui 82,9 tūkst. Eur, Šiaulių miesto savivaldybės globos namams 76,2 tūkst. Eur, Šiaulių miesto šeimos centrui 28,5 tūkst. Eur ir Kompleksinių paslaugų namams „Alka“ 26,3 tūkst. Eur (raštas Nr. GF-62); </w:t>
                          </w:r>
                        </w:p>
                      </w:sdtContent>
                    </w:sdt>
                    <w:sdt>
                      <w:sdtPr>
                        <w:alias w:val="1.4 pp."/>
                        <w:tag w:val="part_8f1f9e4db057454aa26a3a0e28ca9c57"/>
                        <w:lock w:val="sdtLocked"/>
                        <w:richText/>
                      </w:sdtPr>
                      <w:sdtContent>
                        <w:p w14:paraId="227212AC" w14:textId="7B1D1456">
                          <w:pPr>
                            <w:ind w:firstLine="710"/>
                            <w:jc w:val="both"/>
                          </w:pPr>
                          <w:sdt>
                            <w:sdtPr>
                              <w:alias w:val="Numeris"/>
                              <w:tag w:val="nr_8f1f9e4db057454aa26a3a0e28ca9c57"/>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 xml:space="preserve">53,3 tūkst. Eur didinamo Socialinės paramos įgyvendinimo programos (10) Europos Sąjungos lėšos (ES), skirtos projekto „Perėjimas nuo institucinės globos prie bendruomeninių paslaugų Sostinės regione, Vidurio ir vakarų Lietuvos regione“ įgyvendinimui (raštas Nr. GM-49). Asignavimų valdytojas – Administracija; </w:t>
                          </w:r>
                        </w:p>
                      </w:sdtContent>
                    </w:sdt>
                    <w:sdt>
                      <w:sdtPr>
                        <w:alias w:val="1.5 pp."/>
                        <w:tag w:val="part_b72cef754a894f6b81763cb2f659f6bb"/>
                        <w:lock w:val="sdtLocked"/>
                        <w:richText/>
                      </w:sdtPr>
                      <w:sdtContent>
                        <w:p w14:paraId="2F609845" w14:textId="1C397C51">
                          <w:pPr>
                            <w:ind w:firstLine="710"/>
                            <w:jc w:val="both"/>
                          </w:pPr>
                          <w:sdt>
                            <w:sdtPr>
                              <w:alias w:val="Numeris"/>
                              <w:tag w:val="nr_b72cef754a894f6b81763cb2f659f6bb"/>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92,6 tūkst. Eur didinamos Savivaldybės veiklos programos (11) valstybės biudžeto lėšos (VB), skirtos: 50,0 tūkst. Eur Projekto „GovTech4All“ įgyvendinimui (raštas Nr. GM-39), 2,3 tūkst. Eur Integracijos paslaugų trečiųjų šalių piliečiams teikimo ir stiprinimo priemonių įgyvendinimui (raštas Nr. GF-60), 31,5 tūkst. Eur Asmenų su negalia koordinatoriaus pareigybės išlaikymui (raštas Nr. GF-33), 3,8 tūkst. Eur bendruomeninės veiklos savivaldybėje stiprinimui (raštas Nr. GF-51) ir 5,0 tūkst. Eur gauti kaip kompensacija už Administracijos įsigytą elektromobilį NISSAN LEAF MY22m (raštas Nr. GF-53). Asignavimų valdytojas – Administracija;</w:t>
                          </w:r>
                        </w:p>
                      </w:sdtContent>
                    </w:sdt>
                    <w:sdt>
                      <w:sdtPr>
                        <w:alias w:val="1.6 pp."/>
                        <w:tag w:val="part_a60388b97e22493ea02a230dd4974eff"/>
                        <w:lock w:val="sdtLocked"/>
                        <w:richText/>
                      </w:sdtPr>
                      <w:sdtContent>
                        <w:p w14:paraId="0F4131A1" w14:textId="78FBCD29">
                          <w:pPr>
                            <w:ind w:firstLine="710"/>
                            <w:jc w:val="both"/>
                          </w:pPr>
                          <w:sdt>
                            <w:sdtPr>
                              <w:alias w:val="Numeris"/>
                              <w:tag w:val="nr_a60388b97e22493ea02a230dd4974eff"/>
                              <w:lock w:val="sdtLocked"/>
                              <w:richText/>
                            </w:sdtPr>
                            <w:sdtContent>
                              <w:r>
                                <w:rPr>
                                  <w:rFonts w:eastAsia="HG Mincho Light J"/>
                                  <w:color w:val="000000"/>
                                  <w:szCs w:val="24"/>
                                  <w:lang w:eastAsia="lt-LT"/>
                                </w:rPr>
                                <w:t>1.6</w:t>
                              </w:r>
                            </w:sdtContent>
                          </w:sdt>
                          <w:r>
                            <w:rPr>
                              <w:rFonts w:eastAsia="HG Mincho Light J"/>
                              <w:color w:val="000000"/>
                              <w:szCs w:val="24"/>
                              <w:lang w:eastAsia="lt-LT"/>
                            </w:rPr>
                            <w:tab/>
                          </w:r>
                          <w:r>
                            <w:t xml:space="preserve">32,6 tūkst. Eur didinamos Savivaldybės veiklos programos (11) lėšos valstybinėms funkcijoms vykdyti VB(VF), skirtos tarpinstitucinio bendradarbiavimo koordinatoriaus darbo organizavimui ir ta pačia suma 32,6 tūkst. Eur mažinamos valstybės biudžeto lėšos (VB), skirtos tai pačiai funkcijai vykdyti (rašto Nr. GF-45). Asignavimų valdytojas – Administracija; </w:t>
                          </w:r>
                        </w:p>
                      </w:sdtContent>
                    </w:sdt>
                    <w:sdt>
                      <w:sdtPr>
                        <w:alias w:val="1.7 pp."/>
                        <w:tag w:val="part_0d8f13a8e9a34f21858362e4c087f3b9"/>
                        <w:lock w:val="sdtLocked"/>
                        <w:richText/>
                      </w:sdtPr>
                      <w:sdtContent>
                        <w:p w14:paraId="3B28EF09" w14:textId="7C312C1A">
                          <w:pPr>
                            <w:ind w:firstLine="710"/>
                            <w:jc w:val="both"/>
                          </w:pPr>
                          <w:sdt>
                            <w:sdtPr>
                              <w:alias w:val="Numeris"/>
                              <w:tag w:val="nr_0d8f13a8e9a34f21858362e4c087f3b9"/>
                              <w:lock w:val="sdtLocked"/>
                              <w:richText/>
                            </w:sdtPr>
                            <w:sdtContent>
                              <w:r>
                                <w:rPr>
                                  <w:rFonts w:eastAsia="HG Mincho Light J"/>
                                  <w:color w:val="000000"/>
                                  <w:szCs w:val="24"/>
                                  <w:lang w:eastAsia="lt-LT"/>
                                </w:rPr>
                                <w:t>1.7</w:t>
                              </w:r>
                            </w:sdtContent>
                          </w:sdt>
                          <w:r>
                            <w:rPr>
                              <w:rFonts w:eastAsia="HG Mincho Light J"/>
                              <w:color w:val="000000"/>
                              <w:szCs w:val="24"/>
                              <w:lang w:eastAsia="lt-LT"/>
                            </w:rPr>
                            <w:tab/>
                          </w:r>
                          <w:r>
                            <w:t>98,0 tūkst. Eur didinamos įstaigų pajamų lėšos (PL). Pagal asignavimų valdytojus lėšos pasiskirsto taip: 39,0 tūkst. Eur Šiaulių centro pradinei mokykla (raštas Nr. BGF-302), 1,0 tūkst. Eur Šiaulių „Spindulio“ ugdymo centras (raštas Nr. BGF-393), 12,0 tūkst. Eur Šiaulių sporto gimnazija (raštas Nr. BGF-321) ir 46,0 tūkst. Eur Kompleksinių paslaugų namai „Alka“ (raštas Nr. BGF-384).</w:t>
                          </w:r>
                        </w:p>
                      </w:sdtContent>
                    </w:sdt>
                  </w:sdtContent>
                </w:sdt>
                <w:sdt>
                  <w:sdtPr>
                    <w:alias w:val="2 p."/>
                    <w:tag w:val="part_05d89af983f0480ab6cd18bb4452b61b"/>
                    <w:lock w:val="sdtLocked"/>
                    <w:richText/>
                  </w:sdtPr>
                  <w:sdtContent>
                    <w:p w14:paraId="6CEB9CFD" w14:textId="26206C33">
                      <w:pPr>
                        <w:ind w:firstLine="567"/>
                        <w:jc w:val="both"/>
                        <w:rPr>
                          <w:b/>
                          <w:bCs/>
                        </w:rPr>
                      </w:pPr>
                      <w:sdt>
                        <w:sdtPr>
                          <w:alias w:val="Numeris"/>
                          <w:tag w:val="nr_05d89af983f0480ab6cd18bb4452b61b"/>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6 146,8</w:t>
                      </w:r>
                      <w:r>
                        <w:rPr>
                          <w:b/>
                          <w:color w:val="C00000"/>
                        </w:rPr>
                        <w:t xml:space="preserve"> </w:t>
                      </w:r>
                      <w:r>
                        <w:rPr>
                          <w:b/>
                        </w:rPr>
                        <w:t>tūkst. Eur perskirstomi patvirtinti asignavimai tarp programų ir asignavimų valdytojų:</w:t>
                      </w:r>
                    </w:p>
                    <w:sdt>
                      <w:sdtPr>
                        <w:alias w:val="2.1 pp."/>
                        <w:tag w:val="part_236141b679f04f43840630aa9b610450"/>
                        <w:lock w:val="sdtLocked"/>
                        <w:richText/>
                      </w:sdtPr>
                      <w:sdtContent>
                        <w:p w14:paraId="4F287484" w14:textId="157C2C76">
                          <w:pPr>
                            <w:ind w:firstLine="710"/>
                            <w:jc w:val="both"/>
                          </w:pPr>
                          <w:sdt>
                            <w:sdtPr>
                              <w:alias w:val="Numeris"/>
                              <w:tag w:val="nr_236141b679f04f43840630aa9b610450"/>
                              <w:lock w:val="sdtLocked"/>
                              <w:richText/>
                            </w:sdtPr>
                            <w:sdtContent>
                              <w:r>
                                <w:rPr>
                                  <w:rFonts w:eastAsia="HG Mincho Light J"/>
                                  <w:color w:val="000000"/>
                                  <w:szCs w:val="24"/>
                                  <w:lang w:eastAsia="lt-LT"/>
                                </w:rPr>
                                <w:t>2.1</w:t>
                              </w:r>
                            </w:sdtContent>
                          </w:sdt>
                          <w:r>
                            <w:rPr>
                              <w:rFonts w:eastAsia="HG Mincho Light J"/>
                              <w:color w:val="000000"/>
                              <w:szCs w:val="24"/>
                              <w:lang w:eastAsia="lt-LT"/>
                            </w:rPr>
                            <w:tab/>
                          </w:r>
                          <w:r>
                            <w:t xml:space="preserve">881,5 tūkst. Eur perskirstomi tarp programų ir asignavimų valdytojų taip:  </w:t>
                          </w:r>
                        </w:p>
                        <w:p w14:paraId="36AAE7E4" w14:textId="77777777">
                          <w:pPr>
                            <w:widowControl w:val="0"/>
                            <w:suppressAutoHyphens/>
                            <w:ind w:left="710"/>
                            <w:jc w:val="both"/>
                            <w:rPr>
                              <w:rFonts w:eastAsia="HG Mincho Light J"/>
                              <w:color w:val="000000"/>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1267"/>
                            <w:gridCol w:w="1229"/>
                            <w:gridCol w:w="1208"/>
                            <w:gridCol w:w="4274"/>
                          </w:tblGrid>
                          <w:tr w14:paraId="52A61865" w14:textId="77777777">
                            <w:tc>
                              <w:tcPr>
                                <w:tcW w:w="1656" w:type="dxa"/>
                              </w:tcPr>
                              <w:p w14:paraId="04835966" w14:textId="77777777">
                                <w:pPr>
                                  <w:tabs>
                                    <w:tab w:val="left" w:pos="855"/>
                                  </w:tabs>
                                  <w:jc w:val="both"/>
                                  <w:rPr>
                                    <w:szCs w:val="24"/>
                                    <w:lang w:eastAsia="ar-SA"/>
                                  </w:rPr>
                                </w:pPr>
                                <w:r>
                                  <w:rPr>
                                    <w:szCs w:val="24"/>
                                    <w:lang w:eastAsia="ar-SA"/>
                                  </w:rPr>
                                  <w:t>Programos pavadinimas</w:t>
                                </w:r>
                              </w:p>
                            </w:tc>
                            <w:tc>
                              <w:tcPr>
                                <w:tcW w:w="1267" w:type="dxa"/>
                              </w:tcPr>
                              <w:p w14:paraId="078F3450" w14:textId="77777777">
                                <w:pPr>
                                  <w:tabs>
                                    <w:tab w:val="left" w:pos="855"/>
                                  </w:tabs>
                                  <w:jc w:val="both"/>
                                  <w:rPr>
                                    <w:szCs w:val="24"/>
                                    <w:lang w:eastAsia="ar-SA"/>
                                  </w:rPr>
                                </w:pPr>
                                <w:r>
                                  <w:rPr>
                                    <w:szCs w:val="24"/>
                                    <w:lang w:eastAsia="ar-SA"/>
                                  </w:rPr>
                                  <w:t>Lėšų šaltinis</w:t>
                                </w:r>
                              </w:p>
                            </w:tc>
                            <w:tc>
                              <w:tcPr>
                                <w:tcW w:w="1229" w:type="dxa"/>
                              </w:tcPr>
                              <w:p w14:paraId="1BD69CB5" w14:textId="77777777">
                                <w:pPr>
                                  <w:tabs>
                                    <w:tab w:val="left" w:pos="855"/>
                                  </w:tabs>
                                  <w:jc w:val="both"/>
                                  <w:rPr>
                                    <w:szCs w:val="24"/>
                                    <w:lang w:eastAsia="ar-SA"/>
                                  </w:rPr>
                                </w:pPr>
                                <w:r>
                                  <w:rPr>
                                    <w:szCs w:val="24"/>
                                    <w:lang w:eastAsia="ar-SA"/>
                                  </w:rPr>
                                  <w:t xml:space="preserve">Mažinama </w:t>
                                </w:r>
                                <w:r>
                                  <w:rPr>
                                    <w:sz w:val="22"/>
                                    <w:szCs w:val="22"/>
                                    <w:lang w:eastAsia="ar-SA"/>
                                  </w:rPr>
                                  <w:t>(tūkst. Eur)</w:t>
                                </w:r>
                              </w:p>
                            </w:tc>
                            <w:tc>
                              <w:tcPr>
                                <w:tcW w:w="1208" w:type="dxa"/>
                              </w:tcPr>
                              <w:p w14:paraId="134695B6" w14:textId="77777777">
                                <w:pPr>
                                  <w:tabs>
                                    <w:tab w:val="left" w:pos="855"/>
                                  </w:tabs>
                                  <w:jc w:val="both"/>
                                  <w:rPr>
                                    <w:szCs w:val="24"/>
                                    <w:lang w:eastAsia="ar-SA"/>
                                  </w:rPr>
                                </w:pPr>
                                <w:r>
                                  <w:rPr>
                                    <w:szCs w:val="24"/>
                                    <w:lang w:eastAsia="ar-SA"/>
                                  </w:rPr>
                                  <w:t>Didinama (</w:t>
                                </w:r>
                                <w:r>
                                  <w:rPr>
                                    <w:sz w:val="22"/>
                                    <w:szCs w:val="22"/>
                                    <w:lang w:eastAsia="ar-SA"/>
                                  </w:rPr>
                                  <w:t>tūkst. Eur)</w:t>
                                </w:r>
                              </w:p>
                            </w:tc>
                            <w:tc>
                              <w:tcPr>
                                <w:tcW w:w="4274" w:type="dxa"/>
                              </w:tcPr>
                              <w:p w14:paraId="15EA2550" w14:textId="77777777">
                                <w:pPr>
                                  <w:tabs>
                                    <w:tab w:val="left" w:pos="855"/>
                                  </w:tabs>
                                  <w:jc w:val="center"/>
                                  <w:rPr>
                                    <w:szCs w:val="24"/>
                                    <w:lang w:eastAsia="ar-SA"/>
                                  </w:rPr>
                                </w:pPr>
                                <w:r>
                                  <w:rPr>
                                    <w:szCs w:val="24"/>
                                    <w:lang w:eastAsia="ar-SA"/>
                                  </w:rPr>
                                  <w:t>Mažinimo/didinimo priežastys</w:t>
                                </w:r>
                              </w:p>
                            </w:tc>
                          </w:tr>
                          <w:tr w14:paraId="5B71F960" w14:textId="77777777">
                            <w:tc>
                              <w:tcPr>
                                <w:tcW w:w="1656" w:type="dxa"/>
                              </w:tcPr>
                              <w:p w14:paraId="5786C907" w14:textId="73E16431">
                                <w:pPr>
                                  <w:tabs>
                                    <w:tab w:val="left" w:pos="855"/>
                                  </w:tabs>
                                  <w:jc w:val="both"/>
                                  <w:rPr>
                                    <w:szCs w:val="24"/>
                                    <w:lang w:eastAsia="ar-SA"/>
                                  </w:rPr>
                                </w:pPr>
                                <w:r>
                                  <w:t xml:space="preserve">Kultūros plėtros programa   (</w:t>
                                </w:r>
                                <w:r>
                                  <w:rPr>
                                    <w:szCs w:val="24"/>
                                    <w:lang w:eastAsia="ar-SA"/>
                                  </w:rPr>
                                  <w:t>02)</w:t>
                                </w:r>
                              </w:p>
                            </w:tc>
                            <w:tc>
                              <w:tcPr>
                                <w:tcW w:w="1267" w:type="dxa"/>
                              </w:tcPr>
                              <w:p w14:paraId="32A45358" w14:textId="15D47F52">
                                <w:pPr>
                                  <w:tabs>
                                    <w:tab w:val="left" w:pos="855"/>
                                  </w:tabs>
                                  <w:jc w:val="center"/>
                                  <w:rPr>
                                    <w:szCs w:val="24"/>
                                    <w:lang w:eastAsia="ar-SA"/>
                                  </w:rPr>
                                </w:pPr>
                                <w:r>
                                  <w:rPr>
                                    <w:szCs w:val="24"/>
                                    <w:lang w:eastAsia="ar-SA"/>
                                  </w:rPr>
                                  <w:t>SB(LIK)</w:t>
                                </w:r>
                              </w:p>
                            </w:tc>
                            <w:tc>
                              <w:tcPr>
                                <w:tcW w:w="1229" w:type="dxa"/>
                              </w:tcPr>
                              <w:p w14:paraId="651E13E2" w14:textId="3C0E17B6">
                                <w:pPr>
                                  <w:tabs>
                                    <w:tab w:val="left" w:pos="855"/>
                                  </w:tabs>
                                  <w:jc w:val="center"/>
                                  <w:rPr>
                                    <w:szCs w:val="24"/>
                                    <w:lang w:eastAsia="ar-SA"/>
                                  </w:rPr>
                                </w:pPr>
                              </w:p>
                            </w:tc>
                            <w:tc>
                              <w:tcPr>
                                <w:tcW w:w="1208" w:type="dxa"/>
                              </w:tcPr>
                              <w:p w14:paraId="4DEDB8CA" w14:textId="6A22EEFE">
                                <w:pPr>
                                  <w:tabs>
                                    <w:tab w:val="left" w:pos="855"/>
                                  </w:tabs>
                                  <w:jc w:val="center"/>
                                  <w:rPr>
                                    <w:szCs w:val="24"/>
                                    <w:lang w:eastAsia="ar-SA"/>
                                  </w:rPr>
                                </w:pPr>
                                <w:r>
                                  <w:rPr>
                                    <w:szCs w:val="24"/>
                                    <w:lang w:eastAsia="ar-SA"/>
                                  </w:rPr>
                                  <w:t>50,0</w:t>
                                </w:r>
                              </w:p>
                            </w:tc>
                            <w:tc>
                              <w:tcPr>
                                <w:tcW w:w="4274" w:type="dxa"/>
                              </w:tcPr>
                              <w:p w14:paraId="33D7089B" w14:textId="31C8064C">
                                <w:pPr>
                                  <w:tabs>
                                    <w:tab w:val="left" w:pos="855"/>
                                  </w:tabs>
                                  <w:jc w:val="both"/>
                                  <w:rPr>
                                    <w:szCs w:val="24"/>
                                    <w:lang w:eastAsia="ar-SA"/>
                                  </w:rPr>
                                </w:pPr>
                                <w:r>
                                  <w:rPr>
                                    <w:szCs w:val="24"/>
                                    <w:lang w:eastAsia="ar-SA"/>
                                  </w:rPr>
                                  <w:t xml:space="preserve">Dailės galerijos pastato techninio projekto parengimui. Asignavimų valdytojas – Dailės galerija (raštas Nr. GM-52) </w:t>
                                </w:r>
                              </w:p>
                            </w:tc>
                          </w:tr>
                          <w:tr w14:paraId="56D5985E" w14:textId="77777777">
                            <w:trPr>
                              <w:trHeight w:val="503"/>
                            </w:trPr>
                            <w:tc>
                              <w:tcPr>
                                <w:tcW w:w="1656" w:type="dxa"/>
                              </w:tcPr>
                              <w:p w14:paraId="3E78B443" w14:textId="05D9C9CD">
                                <w:pPr>
                                  <w:tabs>
                                    <w:tab w:val="left" w:pos="855"/>
                                  </w:tabs>
                                  <w:jc w:val="both"/>
                                  <w:rPr>
                                    <w:szCs w:val="24"/>
                                    <w:lang w:eastAsia="ar-SA"/>
                                  </w:rPr>
                                </w:pPr>
                                <w:r>
                                  <w:t xml:space="preserve">Sporto plėtros programos  (</w:t>
                                </w:r>
                                <w:r>
                                  <w:rPr>
                                    <w:szCs w:val="24"/>
                                    <w:lang w:eastAsia="ar-SA"/>
                                  </w:rPr>
                                  <w:t>07)</w:t>
                                </w:r>
                              </w:p>
                            </w:tc>
                            <w:tc>
                              <w:tcPr>
                                <w:tcW w:w="1267" w:type="dxa"/>
                              </w:tcPr>
                              <w:p w14:paraId="4DAF40D7" w14:textId="679B9261">
                                <w:pPr>
                                  <w:tabs>
                                    <w:tab w:val="left" w:pos="855"/>
                                  </w:tabs>
                                  <w:jc w:val="center"/>
                                  <w:rPr>
                                    <w:szCs w:val="24"/>
                                    <w:lang w:eastAsia="ar-SA"/>
                                  </w:rPr>
                                </w:pPr>
                                <w:r>
                                  <w:rPr>
                                    <w:szCs w:val="24"/>
                                    <w:lang w:eastAsia="ar-SA"/>
                                  </w:rPr>
                                  <w:t>SB(LIK)</w:t>
                                </w:r>
                              </w:p>
                            </w:tc>
                            <w:tc>
                              <w:tcPr>
                                <w:tcW w:w="1229" w:type="dxa"/>
                              </w:tcPr>
                              <w:p w14:paraId="57575311" w14:textId="77777777">
                                <w:pPr>
                                  <w:tabs>
                                    <w:tab w:val="left" w:pos="855"/>
                                  </w:tabs>
                                  <w:jc w:val="center"/>
                                  <w:rPr>
                                    <w:szCs w:val="24"/>
                                    <w:lang w:eastAsia="ar-SA"/>
                                  </w:rPr>
                                </w:pPr>
                              </w:p>
                            </w:tc>
                            <w:tc>
                              <w:tcPr>
                                <w:tcW w:w="1208" w:type="dxa"/>
                              </w:tcPr>
                              <w:p w14:paraId="4C1AA0A5" w14:textId="2C4C954A">
                                <w:pPr>
                                  <w:tabs>
                                    <w:tab w:val="left" w:pos="855"/>
                                  </w:tabs>
                                  <w:jc w:val="center"/>
                                  <w:rPr>
                                    <w:szCs w:val="24"/>
                                    <w:lang w:eastAsia="ar-SA"/>
                                  </w:rPr>
                                </w:pPr>
                                <w:r>
                                  <w:rPr>
                                    <w:szCs w:val="24"/>
                                    <w:lang w:eastAsia="ar-SA"/>
                                  </w:rPr>
                                  <w:t>31,2</w:t>
                                </w:r>
                              </w:p>
                            </w:tc>
                            <w:tc>
                              <w:tcPr>
                                <w:tcW w:w="4274" w:type="dxa"/>
                              </w:tcPr>
                              <w:p w14:paraId="3491C23E" w14:textId="19423E05">
                                <w:pPr>
                                  <w:tabs>
                                    <w:tab w:val="left" w:pos="855"/>
                                  </w:tabs>
                                  <w:jc w:val="both"/>
                                  <w:rPr>
                                    <w:szCs w:val="24"/>
                                    <w:lang w:eastAsia="ar-SA"/>
                                  </w:rPr>
                                </w:pPr>
                                <w:r>
                                  <w:t xml:space="preserve">16,0 tūkst. Eur Gytarių futbolo aikštės reklaminių tentų įrengimui ir apšvietimo modernizavimo darbų atlikimui ir 15,2 tūkst. Eur sportininkų stipendijų išmokėjimui. Asignavimų valdytojas – Administracija (raštas Nr. GM-50)  </w:t>
                                </w:r>
                              </w:p>
                            </w:tc>
                          </w:tr>
                          <w:tr w14:paraId="1F519005" w14:textId="77777777">
                            <w:trPr>
                              <w:trHeight w:val="608"/>
                            </w:trPr>
                            <w:tc>
                              <w:tcPr>
                                <w:tcW w:w="1656" w:type="dxa"/>
                                <w:vMerge w:val="restart"/>
                              </w:tcPr>
                              <w:p w14:paraId="5D9EAC7D" w14:textId="44AADF11">
                                <w:pPr>
                                  <w:tabs>
                                    <w:tab w:val="left" w:pos="855"/>
                                  </w:tabs>
                                  <w:jc w:val="both"/>
                                  <w:rPr>
                                    <w:szCs w:val="24"/>
                                    <w:lang w:eastAsia="ar-SA"/>
                                  </w:rPr>
                                </w:pPr>
                                <w:r>
                                  <w:t xml:space="preserve">Švietimo prieinamumo ir kokybės užtikrinimo programa   (</w:t>
                                </w:r>
                                <w:r>
                                  <w:rPr>
                                    <w:szCs w:val="24"/>
                                    <w:lang w:eastAsia="ar-SA"/>
                                  </w:rPr>
                                  <w:t>08)</w:t>
                                </w:r>
                              </w:p>
                            </w:tc>
                            <w:tc>
                              <w:tcPr>
                                <w:tcW w:w="1267" w:type="dxa"/>
                              </w:tcPr>
                              <w:p w14:paraId="20DF8EAF" w14:textId="3B1D8A83">
                                <w:pPr>
                                  <w:tabs>
                                    <w:tab w:val="left" w:pos="855"/>
                                  </w:tabs>
                                  <w:jc w:val="center"/>
                                  <w:rPr>
                                    <w:szCs w:val="24"/>
                                    <w:lang w:eastAsia="ar-SA"/>
                                  </w:rPr>
                                </w:pPr>
                                <w:r>
                                  <w:rPr>
                                    <w:szCs w:val="24"/>
                                    <w:lang w:eastAsia="ar-SA"/>
                                  </w:rPr>
                                  <w:t xml:space="preserve">SB(LIK) </w:t>
                                </w:r>
                              </w:p>
                            </w:tc>
                            <w:tc>
                              <w:tcPr>
                                <w:tcW w:w="1229" w:type="dxa"/>
                              </w:tcPr>
                              <w:p w14:paraId="3B718200" w14:textId="2A9A7967">
                                <w:pPr>
                                  <w:tabs>
                                    <w:tab w:val="left" w:pos="855"/>
                                  </w:tabs>
                                  <w:jc w:val="center"/>
                                  <w:rPr>
                                    <w:szCs w:val="24"/>
                                    <w:lang w:eastAsia="ar-SA"/>
                                  </w:rPr>
                                </w:pPr>
                              </w:p>
                            </w:tc>
                            <w:tc>
                              <w:tcPr>
                                <w:tcW w:w="1208" w:type="dxa"/>
                              </w:tcPr>
                              <w:p w14:paraId="0C951D35" w14:textId="6E60C24B">
                                <w:pPr>
                                  <w:tabs>
                                    <w:tab w:val="left" w:pos="855"/>
                                  </w:tabs>
                                  <w:jc w:val="center"/>
                                  <w:rPr>
                                    <w:szCs w:val="24"/>
                                    <w:lang w:eastAsia="ar-SA"/>
                                  </w:rPr>
                                </w:pPr>
                                <w:r>
                                  <w:rPr>
                                    <w:szCs w:val="24"/>
                                    <w:lang w:eastAsia="ar-SA"/>
                                  </w:rPr>
                                  <w:t>19,1</w:t>
                                </w:r>
                              </w:p>
                            </w:tc>
                            <w:tc>
                              <w:tcPr>
                                <w:tcW w:w="4274" w:type="dxa"/>
                              </w:tcPr>
                              <w:p w14:paraId="4F8E409C" w14:textId="1638D135">
                                <w:pPr>
                                  <w:tabs>
                                    <w:tab w:val="left" w:pos="855"/>
                                  </w:tabs>
                                  <w:jc w:val="both"/>
                                  <w:rPr>
                                    <w:szCs w:val="24"/>
                                    <w:lang w:eastAsia="ar-SA"/>
                                  </w:rPr>
                                </w:pPr>
                                <w:r>
                                  <w:rPr>
                                    <w:szCs w:val="24"/>
                                    <w:lang w:eastAsia="ar-SA"/>
                                  </w:rPr>
                                  <w:t>Didždvario gimnazijai už papildomų patalpų nuomą VUŠA (raštas Nr. GS-19)</w:t>
                                </w:r>
                              </w:p>
                            </w:tc>
                          </w:tr>
                          <w:tr w14:paraId="47F0836D" w14:textId="77777777">
                            <w:trPr>
                              <w:trHeight w:val="419"/>
                            </w:trPr>
                            <w:tc>
                              <w:tcPr>
                                <w:tcW w:w="1656" w:type="dxa"/>
                                <w:vMerge/>
                              </w:tcPr>
                              <w:p w14:paraId="542150D8" w14:textId="77777777">
                                <w:pPr>
                                  <w:tabs>
                                    <w:tab w:val="left" w:pos="855"/>
                                  </w:tabs>
                                  <w:jc w:val="both"/>
                                  <w:rPr>
                                    <w:szCs w:val="24"/>
                                    <w:lang w:eastAsia="ar-SA"/>
                                  </w:rPr>
                                </w:pPr>
                              </w:p>
                            </w:tc>
                            <w:tc>
                              <w:tcPr>
                                <w:tcW w:w="1267" w:type="dxa"/>
                              </w:tcPr>
                              <w:p w14:paraId="0ADC4488" w14:textId="277A03A4">
                                <w:pPr>
                                  <w:tabs>
                                    <w:tab w:val="left" w:pos="855"/>
                                  </w:tabs>
                                  <w:jc w:val="center"/>
                                  <w:rPr>
                                    <w:szCs w:val="24"/>
                                    <w:lang w:eastAsia="ar-SA"/>
                                  </w:rPr>
                                </w:pPr>
                                <w:r>
                                  <w:rPr>
                                    <w:szCs w:val="24"/>
                                    <w:lang w:eastAsia="ar-SA"/>
                                  </w:rPr>
                                  <w:t>SB(LIK)</w:t>
                                </w:r>
                              </w:p>
                            </w:tc>
                            <w:tc>
                              <w:tcPr>
                                <w:tcW w:w="1229" w:type="dxa"/>
                              </w:tcPr>
                              <w:p w14:paraId="3F3DDED6" w14:textId="5DB5D89A">
                                <w:pPr>
                                  <w:tabs>
                                    <w:tab w:val="left" w:pos="855"/>
                                  </w:tabs>
                                  <w:jc w:val="center"/>
                                  <w:rPr>
                                    <w:szCs w:val="24"/>
                                    <w:lang w:eastAsia="ar-SA"/>
                                  </w:rPr>
                                </w:pPr>
                              </w:p>
                            </w:tc>
                            <w:tc>
                              <w:tcPr>
                                <w:tcW w:w="1208" w:type="dxa"/>
                              </w:tcPr>
                              <w:p w14:paraId="439A91E2" w14:textId="20F92E9E">
                                <w:pPr>
                                  <w:tabs>
                                    <w:tab w:val="left" w:pos="855"/>
                                  </w:tabs>
                                  <w:jc w:val="center"/>
                                  <w:rPr>
                                    <w:szCs w:val="24"/>
                                    <w:lang w:eastAsia="ar-SA"/>
                                  </w:rPr>
                                </w:pPr>
                                <w:r>
                                  <w:rPr>
                                    <w:szCs w:val="24"/>
                                    <w:lang w:eastAsia="ar-SA"/>
                                  </w:rPr>
                                  <w:t>350,0</w:t>
                                </w:r>
                              </w:p>
                            </w:tc>
                            <w:tc>
                              <w:tcPr>
                                <w:tcW w:w="4274" w:type="dxa"/>
                              </w:tcPr>
                              <w:p w14:paraId="1BDB5249" w14:textId="344FEB7E">
                                <w:pPr>
                                  <w:tabs>
                                    <w:tab w:val="left" w:pos="855"/>
                                  </w:tabs>
                                  <w:jc w:val="both"/>
                                  <w:rPr>
                                    <w:szCs w:val="24"/>
                                    <w:lang w:eastAsia="ar-SA"/>
                                  </w:rPr>
                                </w:pPr>
                                <w:r>
                                  <w:rPr>
                                    <w:szCs w:val="24"/>
                                    <w:lang w:eastAsia="ar-SA"/>
                                  </w:rPr>
                                  <w:t xml:space="preserve">Vykdant l/d „Salduvė“ pastato grindų ardymo darbus atsiradusių sąmatoje nenumatytų darbų (demontuoti senas pertvaras, įrengti pamatus, naujas pertvaras ir atlikti apdailos darbus) apmokėjimui. </w:t>
                                </w:r>
                                <w:r>
                                  <w:t xml:space="preserve">Asignavimų valdytojas – Administracija (raštas Nr. GM-43)  </w:t>
                                </w:r>
                              </w:p>
                            </w:tc>
                          </w:tr>
                          <w:tr w14:paraId="500D57DD" w14:textId="77777777">
                            <w:trPr>
                              <w:trHeight w:val="705"/>
                            </w:trPr>
                            <w:tc>
                              <w:tcPr>
                                <w:tcW w:w="1656" w:type="dxa"/>
                                <w:vMerge w:val="restart"/>
                              </w:tcPr>
                              <w:p w14:paraId="170EC026" w14:textId="018DE9D7">
                                <w:pPr>
                                  <w:tabs>
                                    <w:tab w:val="left" w:pos="855"/>
                                  </w:tabs>
                                  <w:jc w:val="both"/>
                                  <w:rPr>
                                    <w:szCs w:val="24"/>
                                    <w:lang w:eastAsia="ar-SA"/>
                                  </w:rPr>
                                </w:pPr>
                                <w:r>
                                  <w:t xml:space="preserve">Socialinės paramos įgyvendinimo programa   (</w:t>
                                </w:r>
                                <w:r>
                                  <w:rPr>
                                    <w:szCs w:val="24"/>
                                    <w:lang w:eastAsia="ar-SA"/>
                                  </w:rPr>
                                  <w:t>10)</w:t>
                                </w:r>
                              </w:p>
                            </w:tc>
                            <w:tc>
                              <w:tcPr>
                                <w:tcW w:w="1267" w:type="dxa"/>
                              </w:tcPr>
                              <w:p w14:paraId="6B01E25A" w14:textId="7359DB30">
                                <w:pPr>
                                  <w:tabs>
                                    <w:tab w:val="left" w:pos="855"/>
                                  </w:tabs>
                                  <w:jc w:val="center"/>
                                  <w:rPr>
                                    <w:szCs w:val="24"/>
                                    <w:lang w:eastAsia="ar-SA"/>
                                  </w:rPr>
                                </w:pPr>
                                <w:r>
                                  <w:rPr>
                                    <w:szCs w:val="24"/>
                                    <w:lang w:eastAsia="ar-SA"/>
                                  </w:rPr>
                                  <w:t>SB(LIK)</w:t>
                                </w:r>
                              </w:p>
                            </w:tc>
                            <w:tc>
                              <w:tcPr>
                                <w:tcW w:w="1229" w:type="dxa"/>
                              </w:tcPr>
                              <w:p w14:paraId="42557B8D" w14:textId="593AB134">
                                <w:pPr>
                                  <w:tabs>
                                    <w:tab w:val="left" w:pos="855"/>
                                  </w:tabs>
                                  <w:jc w:val="center"/>
                                  <w:rPr>
                                    <w:szCs w:val="24"/>
                                    <w:lang w:eastAsia="ar-SA"/>
                                  </w:rPr>
                                </w:pPr>
                              </w:p>
                            </w:tc>
                            <w:tc>
                              <w:tcPr>
                                <w:tcW w:w="1208" w:type="dxa"/>
                              </w:tcPr>
                              <w:p w14:paraId="64719694" w14:textId="760A9D58">
                                <w:pPr>
                                  <w:tabs>
                                    <w:tab w:val="left" w:pos="855"/>
                                  </w:tabs>
                                  <w:jc w:val="center"/>
                                  <w:rPr>
                                    <w:szCs w:val="24"/>
                                    <w:lang w:eastAsia="ar-SA"/>
                                  </w:rPr>
                                </w:pPr>
                                <w:r>
                                  <w:rPr>
                                    <w:szCs w:val="24"/>
                                    <w:lang w:eastAsia="ar-SA"/>
                                  </w:rPr>
                                  <w:t>72,4</w:t>
                                </w:r>
                              </w:p>
                            </w:tc>
                            <w:tc>
                              <w:tcPr>
                                <w:tcW w:w="4274" w:type="dxa"/>
                              </w:tcPr>
                              <w:p w14:paraId="74AA9B1B" w14:textId="7125775C">
                                <w:pPr>
                                  <w:tabs>
                                    <w:tab w:val="left" w:pos="855"/>
                                  </w:tabs>
                                  <w:jc w:val="both"/>
                                  <w:rPr>
                                    <w:szCs w:val="24"/>
                                    <w:lang w:eastAsia="ar-SA"/>
                                  </w:rPr>
                                </w:pPr>
                                <w:r>
                                  <w:rPr>
                                    <w:szCs w:val="24"/>
                                    <w:lang w:eastAsia="ar-SA"/>
                                  </w:rPr>
                                  <w:t xml:space="preserve">Socialinių paslaugų centrui dėl Pagalbos į namus paslaugos teikimo papildomų pareigybių darbo užmokesčiui (raštas Nr. GM-51) </w:t>
                                </w:r>
                              </w:p>
                            </w:tc>
                          </w:tr>
                          <w:tr w14:paraId="6E136F52" w14:textId="77777777">
                            <w:trPr>
                              <w:trHeight w:val="427"/>
                            </w:trPr>
                            <w:tc>
                              <w:tcPr>
                                <w:tcW w:w="1656" w:type="dxa"/>
                                <w:vMerge/>
                              </w:tcPr>
                              <w:p w14:paraId="3D917ACC" w14:textId="77777777">
                                <w:pPr>
                                  <w:tabs>
                                    <w:tab w:val="left" w:pos="855"/>
                                  </w:tabs>
                                  <w:jc w:val="both"/>
                                  <w:rPr>
                                    <w:szCs w:val="24"/>
                                    <w:lang w:eastAsia="ar-SA"/>
                                  </w:rPr>
                                </w:pPr>
                              </w:p>
                            </w:tc>
                            <w:tc>
                              <w:tcPr>
                                <w:tcW w:w="1267" w:type="dxa"/>
                              </w:tcPr>
                              <w:p w14:paraId="2D18E7FF" w14:textId="51C58579">
                                <w:pPr>
                                  <w:tabs>
                                    <w:tab w:val="left" w:pos="855"/>
                                  </w:tabs>
                                  <w:jc w:val="center"/>
                                  <w:rPr>
                                    <w:szCs w:val="24"/>
                                    <w:lang w:eastAsia="ar-SA"/>
                                  </w:rPr>
                                </w:pPr>
                                <w:r>
                                  <w:rPr>
                                    <w:szCs w:val="24"/>
                                    <w:lang w:eastAsia="ar-SA"/>
                                  </w:rPr>
                                  <w:t>SB (LIK)</w:t>
                                </w:r>
                              </w:p>
                            </w:tc>
                            <w:tc>
                              <w:tcPr>
                                <w:tcW w:w="1229" w:type="dxa"/>
                              </w:tcPr>
                              <w:p w14:paraId="2F88FF4C" w14:textId="3BACFFF7">
                                <w:pPr>
                                  <w:tabs>
                                    <w:tab w:val="left" w:pos="855"/>
                                  </w:tabs>
                                  <w:jc w:val="center"/>
                                  <w:rPr>
                                    <w:szCs w:val="24"/>
                                    <w:lang w:eastAsia="ar-SA"/>
                                  </w:rPr>
                                </w:pPr>
                              </w:p>
                            </w:tc>
                            <w:tc>
                              <w:tcPr>
                                <w:tcW w:w="1208" w:type="dxa"/>
                              </w:tcPr>
                              <w:p w14:paraId="35B6E266" w14:textId="08B81020">
                                <w:pPr>
                                  <w:tabs>
                                    <w:tab w:val="left" w:pos="855"/>
                                  </w:tabs>
                                  <w:jc w:val="center"/>
                                  <w:rPr>
                                    <w:szCs w:val="24"/>
                                    <w:lang w:eastAsia="ar-SA"/>
                                  </w:rPr>
                                </w:pPr>
                                <w:r>
                                  <w:rPr>
                                    <w:szCs w:val="24"/>
                                    <w:lang w:eastAsia="ar-SA"/>
                                  </w:rPr>
                                  <w:t>358,8</w:t>
                                </w:r>
                              </w:p>
                            </w:tc>
                            <w:tc>
                              <w:tcPr>
                                <w:tcW w:w="4274" w:type="dxa"/>
                              </w:tcPr>
                              <w:p w14:paraId="44182A16" w14:textId="662FACB4">
                                <w:pPr>
                                  <w:tabs>
                                    <w:tab w:val="left" w:pos="855"/>
                                  </w:tabs>
                                  <w:jc w:val="both"/>
                                  <w:rPr>
                                    <w:szCs w:val="24"/>
                                    <w:lang w:eastAsia="ar-SA"/>
                                  </w:rPr>
                                </w:pPr>
                                <w:r>
                                  <w:rPr>
                                    <w:szCs w:val="24"/>
                                    <w:lang w:eastAsia="ar-SA"/>
                                  </w:rPr>
                                  <w:t>Kompleksinių paslaugų namams „Alka“ vykdomo projekto „Bendruomeninių apgyvendinimo bei užimtumo paslaugų asmenims su proto ir psichikos negalia plėtra Šiaulių mieste“ numatytų veiklų užtikrinimui (naujų etatų darbo užmokesčiui fondui) (raštas Nr. GM-51)</w:t>
                                </w:r>
                              </w:p>
                            </w:tc>
                          </w:tr>
                          <w:tr w14:paraId="3416FD97" w14:textId="77777777">
                            <w:trPr>
                              <w:trHeight w:val="856"/>
                            </w:trPr>
                            <w:tc>
                              <w:tcPr>
                                <w:tcW w:w="1656" w:type="dxa"/>
                              </w:tcPr>
                              <w:p w14:paraId="12F1B820" w14:textId="78D040EC">
                                <w:pPr>
                                  <w:tabs>
                                    <w:tab w:val="left" w:pos="855"/>
                                  </w:tabs>
                                  <w:jc w:val="both"/>
                                  <w:rPr>
                                    <w:szCs w:val="24"/>
                                    <w:lang w:eastAsia="ar-SA"/>
                                  </w:rPr>
                                </w:pPr>
                                <w:r>
                                  <w:t xml:space="preserve">Savivaldybės veiklos programa   (</w:t>
                                </w:r>
                                <w:r>
                                  <w:rPr>
                                    <w:szCs w:val="24"/>
                                    <w:lang w:eastAsia="ar-SA"/>
                                  </w:rPr>
                                  <w:t>11)</w:t>
                                </w:r>
                              </w:p>
                            </w:tc>
                            <w:tc>
                              <w:tcPr>
                                <w:tcW w:w="1267" w:type="dxa"/>
                              </w:tcPr>
                              <w:p w14:paraId="5BE25D1F" w14:textId="2254A867">
                                <w:pPr>
                                  <w:tabs>
                                    <w:tab w:val="left" w:pos="855"/>
                                  </w:tabs>
                                  <w:jc w:val="center"/>
                                  <w:rPr>
                                    <w:szCs w:val="24"/>
                                    <w:lang w:eastAsia="ar-SA"/>
                                  </w:rPr>
                                </w:pPr>
                                <w:r>
                                  <w:rPr>
                                    <w:szCs w:val="24"/>
                                    <w:lang w:eastAsia="ar-SA"/>
                                  </w:rPr>
                                  <w:t>SB(LIK)</w:t>
                                </w:r>
                              </w:p>
                              <w:p w14:paraId="5E315B4C" w14:textId="4C715DB5">
                                <w:pPr>
                                  <w:tabs>
                                    <w:tab w:val="left" w:pos="855"/>
                                  </w:tabs>
                                  <w:jc w:val="center"/>
                                  <w:rPr>
                                    <w:szCs w:val="24"/>
                                    <w:lang w:eastAsia="ar-SA"/>
                                  </w:rPr>
                                </w:pPr>
                              </w:p>
                            </w:tc>
                            <w:tc>
                              <w:tcPr>
                                <w:tcW w:w="1229" w:type="dxa"/>
                              </w:tcPr>
                              <w:p w14:paraId="26884AE0" w14:textId="48579EA8">
                                <w:pPr>
                                  <w:tabs>
                                    <w:tab w:val="left" w:pos="855"/>
                                  </w:tabs>
                                  <w:jc w:val="center"/>
                                  <w:rPr>
                                    <w:szCs w:val="24"/>
                                    <w:lang w:eastAsia="ar-SA"/>
                                  </w:rPr>
                                </w:pPr>
                                <w:r>
                                  <w:rPr>
                                    <w:szCs w:val="24"/>
                                    <w:lang w:eastAsia="ar-SA"/>
                                  </w:rPr>
                                  <w:t>881,5</w:t>
                                </w:r>
                              </w:p>
                            </w:tc>
                            <w:tc>
                              <w:tcPr>
                                <w:tcW w:w="1208" w:type="dxa"/>
                              </w:tcPr>
                              <w:p w14:paraId="55AD4C2A" w14:textId="67F562DF">
                                <w:pPr>
                                  <w:tabs>
                                    <w:tab w:val="left" w:pos="855"/>
                                  </w:tabs>
                                  <w:jc w:val="center"/>
                                  <w:rPr>
                                    <w:szCs w:val="24"/>
                                    <w:lang w:eastAsia="ar-SA"/>
                                  </w:rPr>
                                </w:pPr>
                              </w:p>
                            </w:tc>
                            <w:tc>
                              <w:tcPr>
                                <w:tcW w:w="4274" w:type="dxa"/>
                              </w:tcPr>
                              <w:p w14:paraId="744FCA76" w14:textId="0487598C">
                                <w:pPr>
                                  <w:tabs>
                                    <w:tab w:val="left" w:pos="855"/>
                                  </w:tabs>
                                  <w:jc w:val="both"/>
                                  <w:rPr>
                                    <w:szCs w:val="24"/>
                                    <w:lang w:eastAsia="ar-SA"/>
                                  </w:rPr>
                                </w:pPr>
                                <w:r>
                                  <w:rPr>
                                    <w:szCs w:val="24"/>
                                    <w:lang w:eastAsia="ar-SA"/>
                                  </w:rPr>
                                  <w:t xml:space="preserve">Laisvos lėšos numatytos finansinių įsipareigojimų trūkumui padengti. </w:t>
                                </w:r>
                                <w:r>
                                  <w:t xml:space="preserve">Asignavimų valdytojas – Administracija </w:t>
                                </w:r>
                                <w:r>
                                  <w:rPr>
                                    <w:szCs w:val="24"/>
                                    <w:lang w:eastAsia="ar-SA"/>
                                  </w:rPr>
                                  <w:t>(SPG 2024-03-06 posėdžio protokolas Nr. VM-17)</w:t>
                                </w:r>
                              </w:p>
                            </w:tc>
                          </w:tr>
                          <w:tr w14:paraId="747A439A" w14:textId="77777777">
                            <w:trPr>
                              <w:trHeight w:val="331"/>
                            </w:trPr>
                            <w:tc>
                              <w:tcPr>
                                <w:tcW w:w="2923" w:type="dxa"/>
                                <w:gridSpan w:val="2"/>
                              </w:tcPr>
                              <w:p w14:paraId="2D9D9C34" w14:textId="665EFF10">
                                <w:pPr>
                                  <w:tabs>
                                    <w:tab w:val="left" w:pos="855"/>
                                  </w:tabs>
                                  <w:jc w:val="center"/>
                                  <w:rPr>
                                    <w:b/>
                                    <w:bCs/>
                                    <w:szCs w:val="24"/>
                                    <w:lang w:eastAsia="ar-SA"/>
                                  </w:rPr>
                                </w:pPr>
                                <w:r>
                                  <w:rPr>
                                    <w:b/>
                                    <w:bCs/>
                                    <w:szCs w:val="24"/>
                                    <w:lang w:eastAsia="ar-SA"/>
                                  </w:rPr>
                                  <w:t>Iš viso</w:t>
                                </w:r>
                              </w:p>
                            </w:tc>
                            <w:tc>
                              <w:tcPr>
                                <w:tcW w:w="1229" w:type="dxa"/>
                              </w:tcPr>
                              <w:p w14:paraId="127E4F62" w14:textId="36851573">
                                <w:pPr>
                                  <w:tabs>
                                    <w:tab w:val="left" w:pos="855"/>
                                  </w:tabs>
                                  <w:jc w:val="center"/>
                                  <w:rPr>
                                    <w:b/>
                                    <w:bCs/>
                                    <w:szCs w:val="24"/>
                                    <w:lang w:eastAsia="ar-SA"/>
                                  </w:rPr>
                                </w:pPr>
                                <w:r>
                                  <w:rPr>
                                    <w:b/>
                                    <w:bCs/>
                                    <w:szCs w:val="24"/>
                                    <w:lang w:eastAsia="ar-SA"/>
                                  </w:rPr>
                                  <w:t>881,5</w:t>
                                </w:r>
                              </w:p>
                            </w:tc>
                            <w:tc>
                              <w:tcPr>
                                <w:tcW w:w="1208" w:type="dxa"/>
                              </w:tcPr>
                              <w:p w14:paraId="12B829F0" w14:textId="405163D1">
                                <w:pPr>
                                  <w:tabs>
                                    <w:tab w:val="left" w:pos="855"/>
                                  </w:tabs>
                                  <w:jc w:val="center"/>
                                  <w:rPr>
                                    <w:b/>
                                    <w:bCs/>
                                    <w:szCs w:val="24"/>
                                    <w:lang w:eastAsia="ar-SA"/>
                                  </w:rPr>
                                </w:pPr>
                                <w:r>
                                  <w:rPr>
                                    <w:b/>
                                    <w:bCs/>
                                    <w:szCs w:val="24"/>
                                    <w:lang w:eastAsia="ar-SA"/>
                                  </w:rPr>
                                  <w:t>881,5</w:t>
                                </w:r>
                              </w:p>
                            </w:tc>
                            <w:tc>
                              <w:tcPr>
                                <w:tcW w:w="4274" w:type="dxa"/>
                              </w:tcPr>
                              <w:p w14:paraId="3E2D8CAB" w14:textId="77777777">
                                <w:pPr>
                                  <w:tabs>
                                    <w:tab w:val="left" w:pos="855"/>
                                  </w:tabs>
                                  <w:jc w:val="both"/>
                                  <w:rPr>
                                    <w:szCs w:val="24"/>
                                    <w:lang w:eastAsia="ar-SA"/>
                                  </w:rPr>
                                </w:pPr>
                              </w:p>
                            </w:tc>
                          </w:tr>
                        </w:tbl>
                        <w:p w14:paraId="71046336" w14:textId="77777777">
                          <w:pPr>
                            <w:jc w:val="both"/>
                          </w:pPr>
                        </w:p>
                      </w:sdtContent>
                    </w:sdt>
                    <w:sdt>
                      <w:sdtPr>
                        <w:alias w:val="2.2 pp."/>
                        <w:tag w:val="part_1afe0a61105e4d71a8840f4a4d0cfb74"/>
                        <w:lock w:val="sdtLocked"/>
                        <w:richText/>
                      </w:sdtPr>
                      <w:sdtContent>
                        <w:p w14:paraId="67AB70F9" w14:textId="17CBC036">
                          <w:pPr>
                            <w:ind w:firstLine="710"/>
                            <w:jc w:val="both"/>
                          </w:pPr>
                          <w:sdt>
                            <w:sdtPr>
                              <w:alias w:val="Numeris"/>
                              <w:tag w:val="nr_1afe0a61105e4d71a8840f4a4d0cfb74"/>
                              <w:lock w:val="sdtLocked"/>
                              <w:richText/>
                            </w:sdtPr>
                            <w:sdtContent>
                              <w:r>
                                <w:rPr>
                                  <w:rFonts w:eastAsia="HG Mincho Light J"/>
                                  <w:color w:val="000000"/>
                                  <w:szCs w:val="24"/>
                                  <w:lang w:eastAsia="lt-LT"/>
                                </w:rPr>
                                <w:t>2.2</w:t>
                              </w:r>
                            </w:sdtContent>
                          </w:sdt>
                          <w:r>
                            <w:rPr>
                              <w:rFonts w:eastAsia="HG Mincho Light J"/>
                              <w:color w:val="000000"/>
                              <w:szCs w:val="24"/>
                              <w:lang w:eastAsia="lt-LT"/>
                            </w:rPr>
                            <w:tab/>
                          </w:r>
                          <w:r>
                            <w:t>355,1 tūkst. Eur perskirstomos tarp asignavimų valdytojų Švietimo prieinamumo ir kokybės užtikrinimo programos (08) valstybės biudžeto lėšos (VB), skirtos profesinio orientavimo paslaugų teikimui Šiaulių miesto bendrojo ugdymo mokyklose (raštas Nr. GS-23). Perskirstymas pateiktas aiškinamojo rašto 1 lentelėje;</w:t>
                          </w:r>
                        </w:p>
                      </w:sdtContent>
                    </w:sdt>
                    <w:sdt>
                      <w:sdtPr>
                        <w:alias w:val="2.3 pp."/>
                        <w:tag w:val="part_432078748aa043d3a3be41f4eb88fd8b"/>
                        <w:lock w:val="sdtLocked"/>
                        <w:richText/>
                      </w:sdtPr>
                      <w:sdtContent>
                        <w:p w14:paraId="111DCB53" w14:textId="7CC3FF82">
                          <w:pPr>
                            <w:ind w:firstLine="710"/>
                            <w:jc w:val="both"/>
                          </w:pPr>
                          <w:sdt>
                            <w:sdtPr>
                              <w:alias w:val="Numeris"/>
                              <w:tag w:val="nr_432078748aa043d3a3be41f4eb88fd8b"/>
                              <w:lock w:val="sdtLocked"/>
                              <w:richText/>
                            </w:sdtPr>
                            <w:sdtContent>
                              <w:r>
                                <w:rPr>
                                  <w:rFonts w:eastAsia="HG Mincho Light J"/>
                                  <w:color w:val="000000"/>
                                  <w:szCs w:val="24"/>
                                  <w:lang w:eastAsia="lt-LT"/>
                                </w:rPr>
                                <w:t>2.3</w:t>
                              </w:r>
                            </w:sdtContent>
                          </w:sdt>
                          <w:r>
                            <w:rPr>
                              <w:rFonts w:eastAsia="HG Mincho Light J"/>
                              <w:color w:val="000000"/>
                              <w:szCs w:val="24"/>
                              <w:lang w:eastAsia="lt-LT"/>
                            </w:rPr>
                            <w:tab/>
                          </w:r>
                          <w:r>
                            <w:t>2 020,2 tūkst. Eur perskirstomos tarp asignavimų valdytojų Švietimo prieinamumo ir kokybės užtikrinimo programos (08) savivaldybės biudžeto lėšos (SB), skirtos mokyklų sporto salių atnaujinimui 1799,2 tūkst. Eur (raštas Nr. GF-66), švietimo įstaigų teritorijų lauko įrenginių ir aptvėrimų atnaujinimui 177,0 tūkst. Eur (raštas Nr. GF-57), miesto atstovavimui, švietimo veiklos pristatymui ir renginių organizavimui 44,0 tūkst. Eur (raštai Nr. GF-54 ir Nr. GM-47). Perskirstymas pateiktas aiškinamojo rašto 2 lentelėje;</w:t>
                          </w:r>
                        </w:p>
                      </w:sdtContent>
                    </w:sdt>
                    <w:sdt>
                      <w:sdtPr>
                        <w:alias w:val="2.4 pp."/>
                        <w:tag w:val="part_39cbe32dab1845169c09fe888f0c3fea"/>
                        <w:lock w:val="sdtLocked"/>
                        <w:richText/>
                      </w:sdtPr>
                      <w:sdtContent>
                        <w:p w14:paraId="60CC6141" w14:textId="0B8C2F85">
                          <w:pPr>
                            <w:ind w:firstLine="710"/>
                            <w:jc w:val="both"/>
                          </w:pPr>
                          <w:sdt>
                            <w:sdtPr>
                              <w:alias w:val="Numeris"/>
                              <w:tag w:val="nr_39cbe32dab1845169c09fe888f0c3fea"/>
                              <w:lock w:val="sdtLocked"/>
                              <w:richText/>
                            </w:sdtPr>
                            <w:sdtContent>
                              <w:r>
                                <w:rPr>
                                  <w:rFonts w:eastAsia="HG Mincho Light J"/>
                                  <w:color w:val="000000"/>
                                  <w:szCs w:val="24"/>
                                  <w:lang w:eastAsia="lt-LT"/>
                                </w:rPr>
                                <w:t>2.4</w:t>
                              </w:r>
                            </w:sdtContent>
                          </w:sdt>
                          <w:r>
                            <w:rPr>
                              <w:rFonts w:eastAsia="HG Mincho Light J"/>
                              <w:color w:val="000000"/>
                              <w:szCs w:val="24"/>
                              <w:lang w:eastAsia="lt-LT"/>
                            </w:rPr>
                            <w:tab/>
                          </w:r>
                          <w:r>
                            <w:t>2890,5 tūkst. Eur perskirstomos tarp asignavimų valdytojų Švietimo prieinamumo ir kokybės užtikrinimo programos (08) savivaldybės biudžeto likučio lėšos (SB(LIK), skirtos švietimo įstaigų pastatų, patalpų, įrangos ir komunikacijos atnaujinimui 1920,5 tūkst. Eur (raštas Nr. GF-64) ir švietimo paslaugų prieinamumo ir kokybės gerinimui 970,0 tūkst. Eur (raštas Nr. GF-65). Perskirstymas pateiktas aiškinamojo rašto 2 lentelėje.</w:t>
                          </w:r>
                        </w:p>
                      </w:sdtContent>
                    </w:sdt>
                  </w:sdtContent>
                </w:sdt>
                <w:sdt>
                  <w:sdtPr>
                    <w:alias w:val="3 p."/>
                    <w:tag w:val="part_9691b8df2823431fad40e4d9af525a1c"/>
                    <w:lock w:val="sdtLocked"/>
                    <w:richText/>
                  </w:sdtPr>
                  <w:sdtContent>
                    <w:p w14:paraId="7D37231D" w14:textId="2AC3ACEC">
                      <w:pPr>
                        <w:ind w:left="-142" w:firstLine="709"/>
                        <w:jc w:val="both"/>
                      </w:pPr>
                      <w:sdt>
                        <w:sdtPr>
                          <w:alias w:val="Numeris"/>
                          <w:tag w:val="nr_9691b8df2823431fad40e4d9af525a1c"/>
                          <w:lock w:val="sdtLocked"/>
                          <w:richText/>
                        </w:sdtPr>
                        <w:sdtContent>
                          <w:r>
                            <w:rPr>
                              <w:rFonts w:eastAsia="HG Mincho Light J"/>
                              <w:color w:val="000000"/>
                              <w:szCs w:val="24"/>
                              <w:lang w:eastAsia="lt-LT"/>
                            </w:rPr>
                            <w:t>3</w:t>
                          </w:r>
                        </w:sdtContent>
                      </w:sdt>
                      <w:r>
                        <w:rPr>
                          <w:rFonts w:eastAsia="HG Mincho Light J"/>
                          <w:color w:val="000000"/>
                          <w:szCs w:val="24"/>
                          <w:lang w:eastAsia="lt-LT"/>
                        </w:rPr>
                        <w:t>.</w:t>
                        <w:tab/>
                      </w:r>
                      <w:r>
                        <w:rPr>
                          <w:b/>
                        </w:rPr>
                        <w:t>Tikslinamos lėšos pagal ekonominę klasifikaciją pagal asignavimų valdytojų prašymus.</w:t>
                      </w:r>
                      <w:r>
                        <w:t xml:space="preserve"> </w:t>
                      </w:r>
                    </w:p>
                    <w:p w14:paraId="2E8A5C62" w14:textId="41F78D27">
                      <w:pPr>
                        <w:widowControl w:val="0"/>
                        <w:tabs>
                          <w:tab w:val="left" w:pos="567"/>
                        </w:tabs>
                        <w:suppressAutoHyphens/>
                        <w:ind w:firstLine="567"/>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2024–2026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2E9E4037">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patarėja Irena Paliulytė, tel. 59 62 71.</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09C4D223" w14:textId="77777777">
                      <w:pPr>
                        <w:tabs>
                          <w:tab w:val="left" w:pos="855"/>
                        </w:tabs>
                        <w:jc w:val="both"/>
                        <w:rPr>
                          <w:rFonts w:eastAsia="Calibri"/>
                          <w:szCs w:val="24"/>
                        </w:rPr>
                      </w:pPr>
                    </w:p>
                    <w:p w14:paraId="6E26ECA5" w14:textId="77777777">
                      <w:pPr>
                        <w:tabs>
                          <w:tab w:val="left" w:pos="855"/>
                        </w:tabs>
                        <w:jc w:val="both"/>
                        <w:rPr>
                          <w:rFonts w:eastAsia="Calibri"/>
                          <w:szCs w:val="24"/>
                        </w:rPr>
                      </w:pPr>
                    </w:p>
                    <w:p w14:paraId="5B1A9E9F" w14:textId="77777777">
                      <w:pPr>
                        <w:tabs>
                          <w:tab w:val="left" w:pos="855"/>
                        </w:tabs>
                        <w:jc w:val="both"/>
                        <w:rPr>
                          <w:rFonts w:eastAsia="Calibri"/>
                          <w:szCs w:val="24"/>
                        </w:rPr>
                      </w:pPr>
                    </w:p>
                    <w:p w14:paraId="7D2904A7" w14:textId="77777777">
                      <w:pPr>
                        <w:tabs>
                          <w:tab w:val="left" w:pos="855"/>
                        </w:tabs>
                        <w:jc w:val="both"/>
                        <w:rPr>
                          <w:rFonts w:eastAsia="Calibri"/>
                          <w:szCs w:val="24"/>
                        </w:rPr>
                      </w:pPr>
                    </w:p>
                    <w:p w14:paraId="24DCBC6A" w14:textId="77777777">
                      <w:pPr>
                        <w:tabs>
                          <w:tab w:val="left" w:pos="855"/>
                        </w:tabs>
                        <w:jc w:val="both"/>
                        <w:rPr>
                          <w:rFonts w:eastAsia="Calibri"/>
                          <w:szCs w:val="24"/>
                        </w:rPr>
                      </w:pPr>
                    </w:p>
                  </w:sdtContent>
                </w:sdt>
              </w:sdtContent>
            </w:sdt>
          </w:sdtContent>
        </w:sdt>
        <w:sdt>
          <w:sdtPr>
            <w:alias w:val="signatura"/>
            <w:tag w:val="part_4b90588c10824c829ec8017321817aa8"/>
            <w:lock w:val="sdtLocked"/>
            <w:richText/>
          </w:sdtPr>
          <w:sdtContent>
            <w:p w14:paraId="42A5F6BE" w14:textId="019124BD">
              <w:pPr>
                <w:tabs>
                  <w:tab w:val="left" w:pos="855"/>
                </w:tabs>
                <w:jc w:val="both"/>
                <w:rPr>
                  <w:szCs w:val="24"/>
                  <w:lang w:eastAsia="ar-SA"/>
                </w:rPr>
              </w:pPr>
              <w:r>
                <w:rPr>
                  <w:szCs w:val="24"/>
                  <w:lang w:eastAsia="ar-SA"/>
                </w:rPr>
                <w:t xml:space="preserve">Strateginio planavimo ir finansų skyriaus vedėja                                             Vaida Kalasevičienė</w:t>
              </w:r>
            </w:p>
            <w:p w14:paraId="7BB263DD" w14:textId="77777777">
              <w:pPr>
                <w:tabs>
                  <w:tab w:val="left" w:pos="855"/>
                </w:tabs>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75AB88" w14:textId="77777777">
      <w:r>
        <w:separator/>
      </w:r>
    </w:p>
  </w:endnote>
  <w:endnote w:type="continuationSeparator" w:id="0">
    <w:p w14:paraId="51CC31B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E13FA"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002D75"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862BC"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673A1" w14:textId="77777777">
      <w:r>
        <w:separator/>
      </w:r>
    </w:p>
  </w:footnote>
  <w:footnote w:type="continuationSeparator" w:id="0">
    <w:p w14:paraId="1C4F2C28"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0b83ab9203a4d00ba54f86daaf21d6d" PartId="29005ffcf440451988de2f9e5d22820f">
    <Part Type="skyrius" Nr="999" Title="SPRENDIMO „DĖL ŠIAULIŲ MIESTO SAVIVALDYBĖS TARYBOS 2024 M. VASARIO 1 D. SPRENDIMO NR. T-2 „DĖL ŠIAULIŲ MIESTO SAVIVALDYBĖS 2024 METŲ BIUDŽETO PATVIRTINIMO“ PAKEITIMO“ PROJEKTO AIŠKINAMASIS RAŠTAS" DocPartId="07ed8a34d29f49b598bd74f238d6105d" PartId="3f4fb61ce5a54f92bef520fa0f8854fa">
      <Part Type="poskyris" Title="Parengto sprendimo projekto tikslas ir uždaviniai." DocPartId="0f5619a5da1f4f52b6b59725b76f07b7" PartId="2efd8d359da642bc9fffe01be4451834"/>
      <Part Type="poskyris" Title="Dabartinis sprendimo projekte aptariamų klausimų reguliavimas." DocPartId="85530a422915427d9e59d28382b13e52" PartId="9b56d87484d345d68d893f5659a1412c"/>
      <Part Type="poskyris" Title="Sprendimo projekte numatytos naujos teisinio reglamentavimo nuostatos." DocPartId="4f656059662742f3a1c5a426dcff9b48" PartId="1cb2379736184c50ac3b84b3af8be408">
        <Part Type="punktas" Nr="1" Abbr="1 p." DocPartId="77c091d30a404898ad45e1412bb8c5fc" PartId="4c8d97d8fd5f46d5b98d2f6dd23f544b">
          <Part Type="papunktis" Nr="1.1" Abbr="1.1 pp." DocPartId="7f8b38bc8c8a442bb0c0f7a25beb3f7a" PartId="a338c46c43404254b4e086a9768be966"/>
          <Part Type="papunktis" Nr="1.2" Abbr="1.2 pp." DocPartId="eabb76fbed344c1b88d7a35feef9a8f8" PartId="5f33ff61e16a4afdb71563eb233e2146"/>
          <Part Type="papunktis" Nr="1.3" Abbr="1.3 pp." DocPartId="b66720e5167d4aae8ca13bfe1c843ef9" PartId="61e638d8276042e286dd1beae61974b1"/>
          <Part Type="papunktis" Nr="1.4" Abbr="1.4 pp." DocPartId="cef723882f8a448b89ab3689377534ab" PartId="8f1f9e4db057454aa26a3a0e28ca9c57"/>
          <Part Type="papunktis" Nr="1.5" Abbr="1.5 pp." DocPartId="b2c91a546c1d4031b6736880916b5e83" PartId="b72cef754a894f6b81763cb2f659f6bb"/>
          <Part Type="papunktis" Nr="1.6" Abbr="1.6 pp." DocPartId="c63f8d7ecd6643d385a3548afa7056ab" PartId="a60388b97e22493ea02a230dd4974eff"/>
          <Part Type="papunktis" Nr="1.7" Abbr="1.7 pp." DocPartId="da0919768421470e8da3a2b5ad8866de" PartId="0d8f13a8e9a34f21858362e4c087f3b9"/>
        </Part>
        <Part Type="punktas" Nr="2" Abbr="2 p." DocPartId="18aa124fff0745c78a96acf70b58d922" PartId="05d89af983f0480ab6cd18bb4452b61b">
          <Part Type="papunktis" Nr="2.1" Abbr="2.1 pp." DocPartId="b2bf1d668bf1409a9cef3538a3ce200d" PartId="236141b679f04f43840630aa9b610450"/>
          <Part Type="papunktis" Nr="2.2" Abbr="2.2 pp." DocPartId="73c3aafbb3874eb599a2c47466493779" PartId="1afe0a61105e4d71a8840f4a4d0cfb74"/>
          <Part Type="papunktis" Nr="2.3" Abbr="2.3 pp." DocPartId="31cc47e5f3954729a3db5366149c6c12" PartId="432078748aa043d3a3be41f4eb88fd8b"/>
          <Part Type="papunktis" Nr="2.4" Abbr="2.4 pp." DocPartId="e1a50db0c2184cc0aec70bf8bd145a72" PartId="39cbe32dab1845169c09fe888f0c3fea"/>
        </Part>
        <Part Type="punktas" Nr="3" Abbr="3 p." DocPartId="9ae93f550f694d959a8f6f8a086f7a4e" PartId="9691b8df2823431fad40e4d9af525a1c"/>
      </Part>
    </Part>
    <Part Type="signatura" DocPartId="6b690a92e6164774bce8a64622a3e5b4" PartId="4b90588c10824c829ec8017321817aa8"/>
  </Part>
</Parts>
</file>

<file path=customXml/itemProps1.xml><?xml version="1.0" encoding="utf-8"?>
<ds:datastoreItem xmlns:ds="http://schemas.openxmlformats.org/officeDocument/2006/customXml" ds:itemID="{7E0FD7BB-1027-4F57-BFEC-B1FC6A754887}">
  <ds:schemaRefs>
    <ds:schemaRef ds:uri="http://schemas.openxmlformats.org/officeDocument/2006/bibliography"/>
  </ds:schemaRefs>
</ds:datastoreItem>
</file>

<file path=customXml/itemProps2.xml><?xml version="1.0" encoding="utf-8"?>
<ds:datastoreItem xmlns:ds="http://schemas.openxmlformats.org/officeDocument/2006/customXml" ds:itemID="{9361AFA8-C3A3-47AE-B793-CEEC36E287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1467</Words>
  <Characters>10461</Characters>
  <Application>Microsoft Office Word</Application>
  <DocSecurity>4</DocSecurity>
  <Lines>232</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11848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2024-03-20T13:49:00Z</dcterms:created>
  <dc:creator>Irmina Volskienė</dc:creator>
  <lastModifiedBy>adlibuser</lastModifiedBy>
  <lastPrinted>2024-03-13T10:47:00Z</lastPrinted>
  <dcterms:modified xsi:type="dcterms:W3CDTF">2024-03-20T13:49:00Z</dcterms:modified>
  <revision>2</revision>
</coreProperties>
</file>