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8d1c0917f3457b8e7ad3b1170b5005"/>
        <w:lock w:val="sdtLocked"/>
        <w:richText/>
      </w:sdtPr>
      <w:sdtContent>
        <w:p>
          <w:pPr>
            <w:rPr>
              <w:sz w:val="20"/>
            </w:rPr>
          </w:pPr>
        </w:p>
        <w:p>
          <w:pPr>
            <w:ind w:firstLine="851"/>
            <w:jc w:val="center"/>
            <w:rPr>
              <w:rFonts w:ascii="Calibri" w:hAnsi="Calibri" w:cs="Calibri"/>
              <w:color w:val="000000"/>
              <w:sz w:val="22"/>
              <w:szCs w:val="22"/>
              <w:lang w:eastAsia="lt-LT"/>
            </w:rPr>
          </w:pPr>
          <w:r>
            <w:rPr>
              <w:b/>
              <w:bCs/>
              <w:color w:val="000000"/>
              <w:szCs w:val="24"/>
              <w:lang w:eastAsia="lt-LT"/>
            </w:rPr>
            <w:t>AIŠKINAMASIS RAŠTAS</w:t>
          </w:r>
        </w:p>
        <w:p>
          <w:pPr>
            <w:rPr>
              <w:sz w:val="6"/>
              <w:szCs w:val="6"/>
            </w:rPr>
          </w:pPr>
        </w:p>
        <w:p>
          <w:pPr>
            <w:ind w:firstLine="851"/>
            <w:jc w:val="center"/>
            <w:rPr>
              <w:rFonts w:ascii="Calibri" w:hAnsi="Calibri" w:cs="Calibri"/>
              <w:color w:val="000000"/>
              <w:sz w:val="22"/>
              <w:szCs w:val="22"/>
              <w:lang w:eastAsia="lt-LT"/>
            </w:rPr>
          </w:pPr>
          <w:r>
            <w:rPr>
              <w:b/>
              <w:bCs/>
              <w:color w:val="000000"/>
              <w:szCs w:val="24"/>
              <w:lang w:eastAsia="lt-LT"/>
            </w:rPr>
            <w:t>DĖL </w:t>
          </w:r>
          <w:r>
            <w:rPr>
              <w:b/>
              <w:bCs/>
              <w:caps/>
              <w:color w:val="000000"/>
              <w:szCs w:val="24"/>
              <w:lang w:eastAsia="lt-LT"/>
            </w:rPr>
            <w:t>LIETUVOS RESPUBLIKOS</w:t>
          </w:r>
        </w:p>
        <w:p>
          <w:pPr>
            <w:ind w:firstLine="851"/>
            <w:jc w:val="center"/>
            <w:rPr>
              <w:rFonts w:ascii="Calibri" w:hAnsi="Calibri" w:cs="Calibri"/>
              <w:color w:val="000000"/>
              <w:sz w:val="22"/>
              <w:szCs w:val="22"/>
              <w:lang w:eastAsia="lt-LT"/>
            </w:rPr>
          </w:pPr>
          <w:r>
            <w:rPr>
              <w:b/>
              <w:bCs/>
              <w:caps/>
              <w:color w:val="000000"/>
              <w:szCs w:val="24"/>
              <w:lang w:eastAsia="lt-LT"/>
            </w:rPr>
            <w:t>ELEKTROS ENERGETIKOS ĮSTATYMO NR.VIII-1881 69 STRAIPSNIO PAKEITIMO ir LIETUVOS ReSPUBLIKOS GAMTINIŲ DUJŲ ĮSTATYMO NR.VIII-1973 2 STRAIPSNIO PAKEITIMO</w:t>
          </w:r>
        </w:p>
        <w:p>
          <w:pPr>
            <w:spacing w:line="300" w:lineRule="atLeast"/>
            <w:ind w:firstLine="851"/>
            <w:jc w:val="center"/>
            <w:rPr>
              <w:rFonts w:ascii="Calibri" w:hAnsi="Calibri" w:cs="Calibri"/>
              <w:color w:val="000000"/>
              <w:sz w:val="22"/>
              <w:szCs w:val="22"/>
              <w:lang w:eastAsia="lt-LT"/>
            </w:rPr>
          </w:pPr>
          <w:r>
            <w:rPr>
              <w:b/>
              <w:bCs/>
              <w:color w:val="000000"/>
              <w:szCs w:val="24"/>
              <w:lang w:eastAsia="lt-LT"/>
            </w:rPr>
            <w:t>ĮSTATYMŲ PROJEKTŲ</w:t>
          </w:r>
          <w:r>
            <w:rPr>
              <w:sz w:val="22"/>
              <w:szCs w:val="22"/>
            </w:rPr>
            <w:t xml:space="preserve"> </w:t>
          </w:r>
          <w:r>
            <w:rPr>
              <w:b/>
              <w:bCs/>
              <w:color w:val="000000"/>
              <w:szCs w:val="24"/>
              <w:lang w:eastAsia="lt-LT"/>
            </w:rPr>
            <w:t>Nr. XVP-169(2) IR Nr. XVP-170(2)</w:t>
          </w:r>
        </w:p>
        <w:p>
          <w:pPr>
            <w:ind w:firstLine="908"/>
            <w:jc w:val="center"/>
            <w:rPr>
              <w:rFonts w:ascii="Calibri" w:hAnsi="Calibri" w:cs="Calibri"/>
              <w:color w:val="000000"/>
              <w:sz w:val="22"/>
              <w:szCs w:val="22"/>
              <w:lang w:eastAsia="lt-LT"/>
            </w:rPr>
          </w:pPr>
        </w:p>
        <w:p>
          <w:pPr>
            <w:ind w:firstLine="908"/>
            <w:jc w:val="both"/>
            <w:rPr>
              <w:rFonts w:ascii="Calibri" w:hAnsi="Calibri" w:cs="Calibri"/>
              <w:color w:val="000000"/>
              <w:sz w:val="22"/>
              <w:szCs w:val="22"/>
              <w:lang w:eastAsia="lt-LT"/>
            </w:rPr>
          </w:pPr>
        </w:p>
        <w:sdt>
          <w:sdtPr>
            <w:alias w:val="1 p."/>
            <w:tag w:val="part_ebb1a34419f749e8a2af84900c8c273a"/>
            <w:lock w:val="sdtLocked"/>
            <w:richText/>
          </w:sdtPr>
          <w:sdtContent>
            <w:p>
              <w:pPr>
                <w:ind w:firstLine="851"/>
                <w:jc w:val="both"/>
                <w:rPr>
                  <w:rFonts w:ascii="Calibri" w:hAnsi="Calibri" w:cs="Calibri"/>
                  <w:color w:val="000000"/>
                  <w:sz w:val="22"/>
                  <w:szCs w:val="22"/>
                  <w:lang w:eastAsia="lt-LT"/>
                </w:rPr>
              </w:pPr>
              <w:sdt>
                <w:sdtPr>
                  <w:alias w:val="Numeris"/>
                  <w:tag w:val="nr_ebb1a34419f749e8a2af84900c8c273a"/>
                  <w:lock w:val="sdtLocked"/>
                  <w:richText/>
                </w:sdtPr>
                <w:sdtContent>
                  <w:r>
                    <w:rPr>
                      <w:b/>
                      <w:bCs/>
                      <w:color w:val="000000"/>
                      <w:szCs w:val="24"/>
                      <w:lang w:eastAsia="lt-LT"/>
                    </w:rPr>
                    <w:t>1</w:t>
                  </w:r>
                </w:sdtContent>
              </w:sdt>
              <w:r>
                <w:rPr>
                  <w:b/>
                  <w:bCs/>
                  <w:color w:val="000000"/>
                  <w:szCs w:val="24"/>
                  <w:lang w:eastAsia="lt-LT"/>
                </w:rPr>
                <w:t>. Įstatymų projektų rengimą paskatinusios priežastys, parengtų projektų tikslai ir uždaviniai:</w:t>
              </w:r>
            </w:p>
            <w:p>
              <w:pPr>
                <w:ind w:firstLine="913"/>
                <w:jc w:val="both"/>
                <w:rPr>
                  <w:b/>
                  <w:bCs/>
                  <w:color w:val="000000"/>
                  <w:szCs w:val="24"/>
                  <w:lang w:eastAsia="lt-LT"/>
                </w:rPr>
              </w:pPr>
            </w:p>
            <w:p>
              <w:pPr>
                <w:ind w:firstLine="851"/>
                <w:jc w:val="both"/>
                <w:rPr>
                  <w:color w:val="000000"/>
                  <w:szCs w:val="22"/>
                  <w:lang w:eastAsia="lt-LT"/>
                </w:rPr>
              </w:pPr>
              <w:r>
                <w:rPr>
                  <w:color w:val="000000"/>
                  <w:szCs w:val="22"/>
                  <w:lang w:eastAsia="lt-LT"/>
                </w:rPr>
                <w:t xml:space="preserve">Lietuvoje augančios šildymo kainos daro įtaką ne tik gyventojams, bet ir visuomeninėms institucijoms, tarp jų – tradicinėms ir valstybės pripažintoms religinėms bendruomenėms ir bendrijoms (bažnyčioms). Tai dažniausiai yra dideli, senos statybos pastatai, kuriuos šildyti yra itin brangu. Bažnyčių išlaikymas priklauso nuo parapijiečių aukų, todėl šildymo sezono pradžiai bendruomenės taupo dar nuo vasaros, nes šaltą žiemą tenka už šildymą pakloti ir apie </w:t>
              </w:r>
              <w:r>
                <w:rPr>
                  <w:color w:val="000000"/>
                  <w:szCs w:val="22"/>
                  <w:lang w:val="en-US" w:eastAsia="lt-LT"/>
                </w:rPr>
                <w:t xml:space="preserve">3 – </w:t>
              </w:r>
              <w:r>
                <w:rPr>
                  <w:color w:val="000000"/>
                  <w:szCs w:val="22"/>
                  <w:lang w:eastAsia="lt-LT"/>
                </w:rPr>
                <w:t>4 tūkst. eurų.</w:t>
              </w:r>
            </w:p>
            <w:p>
              <w:pPr>
                <w:ind w:firstLine="851"/>
                <w:jc w:val="both"/>
                <w:rPr>
                  <w:color w:val="000000"/>
                  <w:szCs w:val="22"/>
                  <w:lang w:eastAsia="lt-LT"/>
                </w:rPr>
              </w:pPr>
              <w:r>
                <w:rPr>
                  <w:color w:val="000000"/>
                  <w:szCs w:val="22"/>
                  <w:lang w:eastAsia="lt-LT"/>
                </w:rPr>
                <w:t xml:space="preserve">Dėl išaugusių energijos kainų Lietuvos maldos namai itin taupo. Jų patalpos menkai šildomos, o elektra ar dujinis šildymas jungiami tik per pamaldas. Bažnyčių klebonai sako, kad ir žmonės pastaruoju metu aukoja mažiau. Ypač sudėtinga situacija kaimuose. Kai kuriuose – mišios jau nebevyksta kiekvieną sekmadienį. Smarkiai pabrangus energetiniams ištekliams, Lietuvoje veikiančios religinės bendruomenės ir bendrijos vos įstengia apmokėti milžiniškas sąskaitas už elektrą ir dujas. Eilinė parapija sunaudoja maždaug 1 600 kub. m dujų per mėnesį. Elektra labai brangi, o jos suvartojimas maldos namuose yra nemenkas. </w:t>
              </w:r>
            </w:p>
            <w:p>
              <w:pPr>
                <w:ind w:firstLine="913"/>
                <w:jc w:val="both"/>
                <w:rPr>
                  <w:color w:val="000000"/>
                  <w:szCs w:val="22"/>
                  <w:lang w:eastAsia="lt-LT"/>
                </w:rPr>
              </w:pPr>
              <w:r>
                <w:rPr>
                  <w:color w:val="000000"/>
                  <w:szCs w:val="22"/>
                  <w:lang w:eastAsia="lt-LT"/>
                </w:rPr>
                <w:t>Tradicinės ir valstybės pripažintos religinės bendruomenės yra prilygintos verslo subjektams, todėl už elektrą ir šildymą negali mokėti, kaip buitiniai vartotojai.</w:t>
              </w:r>
              <w:r>
                <w:rPr>
                  <w:sz w:val="22"/>
                  <w:szCs w:val="22"/>
                </w:rPr>
                <w:t xml:space="preserve"> </w:t>
              </w:r>
              <w:r>
                <w:rPr>
                  <w:color w:val="000000"/>
                  <w:szCs w:val="22"/>
                  <w:lang w:eastAsia="lt-LT"/>
                </w:rPr>
                <w:t xml:space="preserve"> Tačiau jos yra ne pelno siekiančios organizacijos, neturi finansinių tikslų, o savo veiklos organizavimą bei pastatų priežiūrą finansuoja iš geranoriškai tikinčiųjų aukojamų lėšų. Ir jokių paramų šildymui bažnyčia negauna, viskas yra padengiama iš rinkliavos, kuri yra renkama sekmadieniais bendruomenės reikmėms, arba iš pavienių žmonių atnešamų aukų. Tradicinės ir valstybės pripažintos religinės bendruomenės ne tik negauna paramos, tačiau ir negali susigražinti mokesčių, kaip daro kitos institucijos.</w:t>
              </w:r>
            </w:p>
            <w:p>
              <w:pPr>
                <w:ind w:firstLine="851"/>
                <w:jc w:val="both"/>
                <w:rPr>
                  <w:color w:val="000000"/>
                  <w:szCs w:val="22"/>
                  <w:lang w:eastAsia="lt-LT"/>
                </w:rPr>
              </w:pPr>
              <w:r>
                <w:rPr>
                  <w:color w:val="000000"/>
                  <w:szCs w:val="22"/>
                  <w:lang w:eastAsia="lt-LT"/>
                </w:rPr>
                <w:t>Reikia pažymėti, kad klebonijos parapijose nėra klebono nuosavybė. Klebonija – parapijos nuosavybė. Kadangi parapija yra juridinis asmuo, moka komunalinius mokesčius kaip verslo klientas, nors klebonijoje gyvena vienas asmuo – klebonas. Galbūt jis galėtų mokėti kaip fizinis asmuo, bet šiuo metu moka kaip juridinis.</w:t>
              </w:r>
            </w:p>
            <w:p>
              <w:pPr>
                <w:ind w:firstLine="851"/>
                <w:jc w:val="both"/>
                <w:rPr>
                  <w:rFonts w:ascii="Calibri" w:hAnsi="Calibri" w:cs="Calibri"/>
                  <w:color w:val="000000"/>
                  <w:sz w:val="22"/>
                  <w:szCs w:val="22"/>
                  <w:lang w:eastAsia="lt-LT"/>
                </w:rPr>
              </w:pPr>
              <w:r>
                <w:rPr>
                  <w:color w:val="000000"/>
                  <w:szCs w:val="24"/>
                  <w:lang w:eastAsia="lt-LT"/>
                </w:rPr>
                <w:t>Įstatymų projektų tikslas – sumažinti tradicinių ir valstybės pripažintų religinių bendruomenių ir bendrijų energetinių išteklių išlaidas juos įtraukiant į buitinių elektros ir dujų vartotojų sąrašus.</w:t>
              </w:r>
            </w:p>
            <w:p>
              <w:pPr>
                <w:ind w:firstLine="913"/>
                <w:jc w:val="both"/>
                <w:rPr>
                  <w:rFonts w:ascii="Calibri" w:hAnsi="Calibri" w:cs="Calibri"/>
                  <w:color w:val="000000"/>
                  <w:sz w:val="22"/>
                  <w:szCs w:val="22"/>
                  <w:lang w:eastAsia="lt-LT"/>
                </w:rPr>
              </w:pPr>
            </w:p>
          </w:sdtContent>
        </w:sdt>
        <w:sdt>
          <w:sdtPr>
            <w:alias w:val="2 p."/>
            <w:tag w:val="part_bf3c9410c7b54f60b4a92852a90f96eb"/>
            <w:lock w:val="sdtLocked"/>
            <w:richText/>
          </w:sdtPr>
          <w:sdtContent>
            <w:p>
              <w:pPr>
                <w:ind w:firstLine="851"/>
                <w:jc w:val="both"/>
                <w:rPr>
                  <w:rFonts w:ascii="Calibri" w:hAnsi="Calibri" w:cs="Calibri"/>
                  <w:color w:val="000000"/>
                  <w:sz w:val="22"/>
                  <w:szCs w:val="22"/>
                  <w:lang w:eastAsia="lt-LT"/>
                </w:rPr>
              </w:pPr>
              <w:sdt>
                <w:sdtPr>
                  <w:alias w:val="Numeris"/>
                  <w:tag w:val="nr_bf3c9410c7b54f60b4a92852a90f96eb"/>
                  <w:lock w:val="sdtLocked"/>
                  <w:richText/>
                </w:sdtPr>
                <w:sdtContent>
                  <w:r>
                    <w:rPr>
                      <w:b/>
                      <w:bCs/>
                      <w:color w:val="000000"/>
                      <w:szCs w:val="24"/>
                      <w:lang w:eastAsia="lt-LT"/>
                    </w:rPr>
                    <w:t>2</w:t>
                  </w:r>
                </w:sdtContent>
              </w:sdt>
              <w:r>
                <w:rPr>
                  <w:b/>
                  <w:bCs/>
                  <w:color w:val="000000"/>
                  <w:szCs w:val="24"/>
                  <w:lang w:eastAsia="lt-LT"/>
                </w:rPr>
                <w:t>. Įstatymų projektų iniciatoriai (institucija, asmenys ar piliečių įgalioti atstovai) ir rengėjai:</w:t>
              </w:r>
            </w:p>
            <w:p>
              <w:pPr>
                <w:ind w:firstLine="851"/>
                <w:jc w:val="both"/>
                <w:rPr>
                  <w:color w:val="000000"/>
                  <w:szCs w:val="24"/>
                  <w:lang w:eastAsia="lt-LT"/>
                </w:rPr>
              </w:pPr>
              <w:r>
                <w:rPr>
                  <w:color w:val="000000"/>
                  <w:szCs w:val="24"/>
                  <w:lang w:eastAsia="lt-LT"/>
                </w:rPr>
                <w:t xml:space="preserve">Įstatymų projektų rengėja ir iniciatorė yra Seimo narė Daiva Petkevičienė. </w:t>
              </w:r>
            </w:p>
            <w:p>
              <w:pPr>
                <w:ind w:firstLine="851"/>
                <w:jc w:val="both"/>
                <w:rPr>
                  <w:rFonts w:ascii="Calibri" w:hAnsi="Calibri" w:cs="Calibri"/>
                  <w:color w:val="000000"/>
                  <w:sz w:val="22"/>
                  <w:szCs w:val="22"/>
                  <w:lang w:eastAsia="lt-LT"/>
                </w:rPr>
              </w:pPr>
            </w:p>
          </w:sdtContent>
        </w:sdt>
        <w:sdt>
          <w:sdtPr>
            <w:alias w:val="3 p."/>
            <w:tag w:val="part_051e17e4c6544898a9cb23c48a99fe05"/>
            <w:lock w:val="sdtLocked"/>
            <w:richText/>
          </w:sdtPr>
          <w:sdtContent>
            <w:p>
              <w:pPr>
                <w:ind w:firstLine="851"/>
                <w:jc w:val="both"/>
                <w:rPr>
                  <w:rFonts w:ascii="Calibri" w:hAnsi="Calibri" w:cs="Calibri"/>
                  <w:color w:val="000000"/>
                  <w:sz w:val="22"/>
                  <w:szCs w:val="22"/>
                  <w:lang w:eastAsia="lt-LT"/>
                </w:rPr>
              </w:pPr>
              <w:sdt>
                <w:sdtPr>
                  <w:alias w:val="Numeris"/>
                  <w:tag w:val="nr_051e17e4c6544898a9cb23c48a99fe05"/>
                  <w:lock w:val="sdtLocked"/>
                  <w:richText/>
                </w:sdtPr>
                <w:sdtContent>
                  <w:r>
                    <w:rPr>
                      <w:b/>
                      <w:bCs/>
                      <w:color w:val="000000"/>
                      <w:szCs w:val="24"/>
                      <w:lang w:eastAsia="lt-LT"/>
                    </w:rPr>
                    <w:t>3</w:t>
                  </w:r>
                </w:sdtContent>
              </w:sdt>
              <w:r>
                <w:rPr>
                  <w:b/>
                  <w:bCs/>
                  <w:color w:val="000000"/>
                  <w:szCs w:val="24"/>
                  <w:lang w:eastAsia="lt-LT"/>
                </w:rPr>
                <w:t>. Kaip šiuo metu yra reguliuojami įstatymų projektuose aptarti teisiniai santykiai:</w:t>
              </w:r>
            </w:p>
            <w:p>
              <w:pPr>
                <w:ind w:firstLine="851"/>
                <w:jc w:val="both"/>
                <w:rPr>
                  <w:color w:val="000000"/>
                  <w:szCs w:val="24"/>
                  <w:lang w:eastAsia="lt-LT"/>
                </w:rPr>
              </w:pPr>
              <w:r>
                <w:rPr>
                  <w:color w:val="000000"/>
                  <w:szCs w:val="24"/>
                  <w:lang w:eastAsia="lt-LT"/>
                </w:rPr>
                <w:t>Šiuo metu galiojančiuose įstatymuose tradicinėms ir valstybės pripažintoms religinėms bendruomenėms ir bendrijoms jokių lengvatinių tarifų nėra numatyta. Jos priskirtos verslo subjektams ir elektros ir dujų tarifai taikomi kaip komercinėms įmonėms ar įstaigoms.</w:t>
              </w:r>
            </w:p>
            <w:p>
              <w:pPr>
                <w:ind w:firstLine="913"/>
                <w:jc w:val="both"/>
                <w:rPr>
                  <w:rFonts w:ascii="Calibri" w:hAnsi="Calibri" w:cs="Calibri"/>
                  <w:color w:val="000000"/>
                  <w:sz w:val="22"/>
                  <w:szCs w:val="22"/>
                  <w:lang w:eastAsia="lt-LT"/>
                </w:rPr>
              </w:pPr>
            </w:p>
          </w:sdtContent>
        </w:sdt>
        <w:sdt>
          <w:sdtPr>
            <w:alias w:val="4 p."/>
            <w:tag w:val="part_726710fdce8b4dcab604c07b797b6d1c"/>
            <w:lock w:val="sdtLocked"/>
            <w:richText/>
          </w:sdtPr>
          <w:sdtContent>
            <w:p>
              <w:pPr>
                <w:ind w:firstLine="851"/>
                <w:jc w:val="both"/>
                <w:rPr>
                  <w:rFonts w:ascii="Calibri" w:hAnsi="Calibri" w:cs="Calibri"/>
                  <w:color w:val="000000"/>
                  <w:sz w:val="22"/>
                  <w:szCs w:val="22"/>
                  <w:lang w:eastAsia="lt-LT"/>
                </w:rPr>
              </w:pPr>
              <w:sdt>
                <w:sdtPr>
                  <w:alias w:val="Numeris"/>
                  <w:tag w:val="nr_726710fdce8b4dcab604c07b797b6d1c"/>
                  <w:lock w:val="sdtLocked"/>
                  <w:richText/>
                </w:sdtPr>
                <w:sdtContent>
                  <w:r>
                    <w:rPr>
                      <w:b/>
                      <w:bCs/>
                      <w:color w:val="000000"/>
                      <w:szCs w:val="24"/>
                      <w:lang w:eastAsia="lt-LT"/>
                    </w:rPr>
                    <w:t>4</w:t>
                  </w:r>
                </w:sdtContent>
              </w:sdt>
              <w:r>
                <w:rPr>
                  <w:b/>
                  <w:bCs/>
                  <w:color w:val="000000"/>
                  <w:szCs w:val="24"/>
                  <w:lang w:eastAsia="lt-LT"/>
                </w:rPr>
                <w:t>. Kokios siūlomos naujos teisinio reguliavimo nuostatos ir kokių teigiamų rezultatų laukiama:</w:t>
              </w:r>
            </w:p>
            <w:p>
              <w:pPr>
                <w:ind w:firstLine="851"/>
                <w:jc w:val="both"/>
                <w:rPr>
                  <w:rFonts w:ascii="Calibri" w:hAnsi="Calibri" w:cs="Calibri"/>
                  <w:color w:val="000000"/>
                  <w:sz w:val="22"/>
                  <w:szCs w:val="22"/>
                  <w:lang w:eastAsia="lt-LT"/>
                </w:rPr>
              </w:pPr>
              <w:r>
                <w:rPr>
                  <w:color w:val="000000"/>
                  <w:szCs w:val="24"/>
                  <w:lang w:eastAsia="lt-LT"/>
                </w:rPr>
                <w:t>Priėmus įstatymų pakeitimų projektus būtų nustatyta, kad tradicinėms ir valstybės pripažintoms religinėms bendruomenėms ir bendrijoms yra taikomi tokie patys elektros energijos ir dujų kainos ir tarifai kaip buitiniams vartotojams.</w:t>
              </w:r>
            </w:p>
            <w:p>
              <w:pPr>
                <w:ind w:firstLine="851"/>
                <w:jc w:val="both"/>
                <w:rPr>
                  <w:color w:val="000000"/>
                  <w:szCs w:val="24"/>
                  <w:lang w:eastAsia="lt-LT"/>
                </w:rPr>
              </w:pPr>
            </w:p>
          </w:sdtContent>
        </w:sdt>
        <w:sdt>
          <w:sdtPr>
            <w:alias w:val="5 p."/>
            <w:tag w:val="part_b6396f7193d9453d8129275d43df16cf"/>
            <w:lock w:val="sdtLocked"/>
            <w:richText/>
          </w:sdtPr>
          <w:sdtContent>
            <w:p>
              <w:pPr>
                <w:ind w:firstLine="851"/>
                <w:jc w:val="both"/>
                <w:rPr>
                  <w:rFonts w:ascii="Calibri" w:hAnsi="Calibri" w:cs="Calibri"/>
                  <w:color w:val="000000"/>
                  <w:sz w:val="22"/>
                  <w:szCs w:val="22"/>
                  <w:lang w:eastAsia="lt-LT"/>
                </w:rPr>
              </w:pPr>
              <w:sdt>
                <w:sdtPr>
                  <w:alias w:val="Numeris"/>
                  <w:tag w:val="nr_b6396f7193d9453d8129275d43df16cf"/>
                  <w:lock w:val="sdtLocked"/>
                  <w:richText/>
                </w:sdtPr>
                <w:sdtContent>
                  <w:r>
                    <w:rPr>
                      <w:b/>
                      <w:bCs/>
                      <w:color w:val="000000"/>
                      <w:szCs w:val="24"/>
                      <w:lang w:eastAsia="lt-LT"/>
                    </w:rPr>
                    <w:t>5</w:t>
                  </w:r>
                </w:sdtContent>
              </w:sdt>
              <w:r>
                <w:rPr>
                  <w:b/>
                  <w:bCs/>
                  <w:color w:val="000000"/>
                  <w:szCs w:val="24"/>
                  <w:lang w:eastAsia="lt-LT"/>
                </w:rPr>
                <w:t>. 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pPr>
                <w:ind w:firstLine="851"/>
                <w:jc w:val="both"/>
                <w:rPr>
                  <w:rFonts w:ascii="Calibri" w:hAnsi="Calibri" w:cs="Calibri"/>
                  <w:color w:val="000000"/>
                  <w:sz w:val="22"/>
                  <w:szCs w:val="22"/>
                  <w:lang w:eastAsia="lt-LT"/>
                </w:rPr>
              </w:pPr>
              <w:r>
                <w:rPr>
                  <w:color w:val="000000"/>
                  <w:szCs w:val="24"/>
                  <w:lang w:eastAsia="lt-LT"/>
                </w:rPr>
                <w:t>Priėmus Įstatymų projektus neigiamų pasekmių nenumatoma.</w:t>
              </w:r>
            </w:p>
            <w:p>
              <w:pPr>
                <w:ind w:firstLine="913"/>
                <w:jc w:val="both"/>
                <w:rPr>
                  <w:rFonts w:ascii="Calibri" w:hAnsi="Calibri" w:cs="Calibri"/>
                  <w:color w:val="000000"/>
                  <w:sz w:val="22"/>
                  <w:szCs w:val="22"/>
                  <w:lang w:eastAsia="lt-LT"/>
                </w:rPr>
              </w:pPr>
            </w:p>
          </w:sdtContent>
        </w:sdt>
        <w:sdt>
          <w:sdtPr>
            <w:alias w:val="6 p."/>
            <w:tag w:val="part_06cbf585d7f840d9b07ec8a38c0ea56b"/>
            <w:lock w:val="sdtLocked"/>
            <w:richText/>
          </w:sdtPr>
          <w:sdtContent>
            <w:p>
              <w:pPr>
                <w:ind w:firstLine="851"/>
                <w:jc w:val="both"/>
                <w:rPr>
                  <w:rFonts w:ascii="Calibri" w:hAnsi="Calibri" w:cs="Calibri"/>
                  <w:color w:val="000000"/>
                  <w:sz w:val="22"/>
                  <w:szCs w:val="22"/>
                  <w:lang w:eastAsia="lt-LT"/>
                </w:rPr>
              </w:pPr>
              <w:sdt>
                <w:sdtPr>
                  <w:alias w:val="Numeris"/>
                  <w:tag w:val="nr_06cbf585d7f840d9b07ec8a38c0ea56b"/>
                  <w:lock w:val="sdtLocked"/>
                  <w:richText/>
                </w:sdtPr>
                <w:sdtContent>
                  <w:r>
                    <w:rPr>
                      <w:b/>
                      <w:bCs/>
                      <w:color w:val="000000"/>
                      <w:szCs w:val="24"/>
                      <w:lang w:eastAsia="lt-LT"/>
                    </w:rPr>
                    <w:t>6</w:t>
                  </w:r>
                </w:sdtContent>
              </w:sdt>
              <w:r>
                <w:rPr>
                  <w:b/>
                  <w:bCs/>
                  <w:color w:val="000000"/>
                  <w:szCs w:val="24"/>
                  <w:lang w:eastAsia="lt-LT"/>
                </w:rPr>
                <w:t>. Kokią įtaką priimti įstatymai turės kriminogeninei situacijai, korupcijai:</w:t>
              </w:r>
            </w:p>
            <w:p>
              <w:pPr>
                <w:ind w:firstLine="851"/>
                <w:jc w:val="both"/>
                <w:rPr>
                  <w:rFonts w:ascii="Calibri" w:hAnsi="Calibri" w:cs="Calibri"/>
                  <w:color w:val="000000"/>
                  <w:sz w:val="22"/>
                  <w:szCs w:val="22"/>
                  <w:lang w:eastAsia="lt-LT"/>
                </w:rPr>
              </w:pPr>
              <w:r>
                <w:rPr>
                  <w:color w:val="000000"/>
                  <w:szCs w:val="24"/>
                  <w:lang w:eastAsia="lt-LT"/>
                </w:rPr>
                <w:t>Įstatymo projektai kriminogeninei situacijai ir korupcijai neigiamos įtakos neturės.</w:t>
              </w:r>
            </w:p>
            <w:p>
              <w:pPr>
                <w:ind w:firstLine="913"/>
                <w:jc w:val="both"/>
                <w:rPr>
                  <w:rFonts w:ascii="Calibri" w:hAnsi="Calibri" w:cs="Calibri"/>
                  <w:color w:val="000000"/>
                  <w:sz w:val="22"/>
                  <w:szCs w:val="22"/>
                  <w:lang w:eastAsia="lt-LT"/>
                </w:rPr>
              </w:pPr>
            </w:p>
          </w:sdtContent>
        </w:sdt>
        <w:sdt>
          <w:sdtPr>
            <w:alias w:val="7 p."/>
            <w:tag w:val="part_c7082da9ea7f48ef8c1b190da68b9087"/>
            <w:lock w:val="sdtLocked"/>
            <w:richText/>
          </w:sdtPr>
          <w:sdtContent>
            <w:p>
              <w:pPr>
                <w:ind w:firstLine="851"/>
                <w:jc w:val="both"/>
                <w:rPr>
                  <w:rFonts w:ascii="Calibri" w:hAnsi="Calibri" w:cs="Calibri"/>
                  <w:color w:val="000000"/>
                  <w:sz w:val="22"/>
                  <w:szCs w:val="22"/>
                  <w:lang w:eastAsia="lt-LT"/>
                </w:rPr>
              </w:pPr>
              <w:sdt>
                <w:sdtPr>
                  <w:alias w:val="Numeris"/>
                  <w:tag w:val="nr_c7082da9ea7f48ef8c1b190da68b9087"/>
                  <w:lock w:val="sdtLocked"/>
                  <w:richText/>
                </w:sdtPr>
                <w:sdtContent>
                  <w:r>
                    <w:rPr>
                      <w:b/>
                      <w:bCs/>
                      <w:color w:val="000000"/>
                      <w:szCs w:val="24"/>
                      <w:lang w:eastAsia="lt-LT"/>
                    </w:rPr>
                    <w:t>7</w:t>
                  </w:r>
                </w:sdtContent>
              </w:sdt>
              <w:r>
                <w:rPr>
                  <w:b/>
                  <w:bCs/>
                  <w:color w:val="000000"/>
                  <w:szCs w:val="24"/>
                  <w:lang w:eastAsia="lt-LT"/>
                </w:rPr>
                <w:t>. Kaip įstatymų įgyvendinimas atsilieps verslo sąlygoms ir jo plėtrai:</w:t>
              </w:r>
            </w:p>
            <w:p>
              <w:pPr>
                <w:ind w:firstLine="851"/>
                <w:jc w:val="both"/>
                <w:rPr>
                  <w:rFonts w:ascii="Calibri" w:hAnsi="Calibri" w:cs="Calibri"/>
                  <w:color w:val="000000"/>
                  <w:sz w:val="22"/>
                  <w:szCs w:val="22"/>
                  <w:lang w:eastAsia="lt-LT"/>
                </w:rPr>
              </w:pPr>
              <w:r>
                <w:rPr>
                  <w:color w:val="000000"/>
                  <w:szCs w:val="24"/>
                  <w:lang w:eastAsia="lt-LT"/>
                </w:rPr>
                <w:t>Įstatymo projektai neturės įtakos verslo sąlygoms ir jo plėtrai.</w:t>
              </w:r>
            </w:p>
            <w:p>
              <w:pPr>
                <w:ind w:firstLine="913"/>
                <w:jc w:val="both"/>
                <w:rPr>
                  <w:rFonts w:ascii="Calibri" w:hAnsi="Calibri" w:cs="Calibri"/>
                  <w:color w:val="000000"/>
                  <w:sz w:val="22"/>
                  <w:szCs w:val="22"/>
                  <w:lang w:eastAsia="lt-LT"/>
                </w:rPr>
              </w:pPr>
            </w:p>
          </w:sdtContent>
        </w:sdt>
        <w:sdt>
          <w:sdtPr>
            <w:alias w:val="8 p."/>
            <w:tag w:val="part_df6aae1eba314c7eabea090c088d289f"/>
            <w:lock w:val="sdtLocked"/>
            <w:richText/>
          </w:sdtPr>
          <w:sdtContent>
            <w:p>
              <w:pPr>
                <w:ind w:firstLine="851"/>
                <w:jc w:val="both"/>
                <w:rPr>
                  <w:rFonts w:ascii="Calibri" w:hAnsi="Calibri" w:cs="Calibri"/>
                  <w:color w:val="000000"/>
                  <w:sz w:val="22"/>
                  <w:szCs w:val="22"/>
                  <w:lang w:eastAsia="lt-LT"/>
                </w:rPr>
              </w:pPr>
              <w:sdt>
                <w:sdtPr>
                  <w:alias w:val="Numeris"/>
                  <w:tag w:val="nr_df6aae1eba314c7eabea090c088d289f"/>
                  <w:lock w:val="sdtLocked"/>
                  <w:richText/>
                </w:sdtPr>
                <w:sdtContent>
                  <w:r>
                    <w:rPr>
                      <w:b/>
                      <w:bCs/>
                      <w:color w:val="000000"/>
                      <w:szCs w:val="24"/>
                      <w:lang w:eastAsia="lt-LT"/>
                    </w:rPr>
                    <w:t>8</w:t>
                  </w:r>
                </w:sdtContent>
              </w:sdt>
              <w:r>
                <w:rPr>
                  <w:b/>
                  <w:bCs/>
                  <w:color w:val="000000"/>
                  <w:szCs w:val="24"/>
                  <w:lang w:eastAsia="lt-LT"/>
                </w:rPr>
                <w:t>. Ar įstatymų projektai neprieštarauja strateginio lygmens planavimo dokumentams:</w:t>
              </w:r>
            </w:p>
            <w:p>
              <w:pPr>
                <w:ind w:firstLine="851"/>
                <w:jc w:val="both"/>
                <w:rPr>
                  <w:rFonts w:ascii="Calibri" w:hAnsi="Calibri" w:cs="Calibri"/>
                  <w:color w:val="000000"/>
                  <w:sz w:val="22"/>
                  <w:szCs w:val="22"/>
                  <w:lang w:eastAsia="lt-LT"/>
                </w:rPr>
              </w:pPr>
              <w:r>
                <w:rPr>
                  <w:color w:val="000000"/>
                  <w:szCs w:val="24"/>
                  <w:lang w:eastAsia="lt-LT"/>
                </w:rPr>
                <w:t>Įstatymų projektais siūlomos nuostatos neprieštarauja strateginio lygmens planavimo dokumentams.</w:t>
              </w:r>
            </w:p>
            <w:p>
              <w:pPr>
                <w:ind w:firstLine="913"/>
                <w:jc w:val="both"/>
                <w:rPr>
                  <w:rFonts w:ascii="Calibri" w:hAnsi="Calibri" w:cs="Calibri"/>
                  <w:color w:val="000000"/>
                  <w:sz w:val="22"/>
                  <w:szCs w:val="22"/>
                  <w:lang w:eastAsia="lt-LT"/>
                </w:rPr>
              </w:pPr>
            </w:p>
          </w:sdtContent>
        </w:sdt>
        <w:sdt>
          <w:sdtPr>
            <w:alias w:val="9 p."/>
            <w:tag w:val="part_d83b2d5c4e0f4537bf0110c035c08b6b"/>
            <w:lock w:val="sdtLocked"/>
            <w:richText/>
          </w:sdtPr>
          <w:sdtContent>
            <w:p>
              <w:pPr>
                <w:ind w:firstLine="851"/>
                <w:jc w:val="both"/>
                <w:rPr>
                  <w:rFonts w:ascii="Calibri" w:hAnsi="Calibri" w:cs="Calibri"/>
                  <w:color w:val="000000"/>
                  <w:sz w:val="22"/>
                  <w:szCs w:val="22"/>
                  <w:lang w:eastAsia="lt-LT"/>
                </w:rPr>
              </w:pPr>
              <w:sdt>
                <w:sdtPr>
                  <w:alias w:val="Numeris"/>
                  <w:tag w:val="nr_d83b2d5c4e0f4537bf0110c035c08b6b"/>
                  <w:lock w:val="sdtLocked"/>
                  <w:richText/>
                </w:sdtPr>
                <w:sdtContent>
                  <w:r>
                    <w:rPr>
                      <w:b/>
                      <w:bCs/>
                      <w:color w:val="000000"/>
                      <w:szCs w:val="24"/>
                      <w:lang w:eastAsia="lt-LT"/>
                    </w:rPr>
                    <w:t>9</w:t>
                  </w:r>
                </w:sdtContent>
              </w:sdt>
              <w:r>
                <w:rPr>
                  <w:b/>
                  <w:bCs/>
                  <w:color w:val="000000"/>
                  <w:szCs w:val="24"/>
                  <w:lang w:eastAsia="lt-LT"/>
                </w:rPr>
                <w:t>. Įstatymų inkorporavimas į teisinę sistemą, kokius teisės aktus būtina priimti, kokius galiojančius teisės aktus reikia pakeisti ar pripažinti netekusiais galios:</w:t>
              </w:r>
            </w:p>
            <w:p>
              <w:pPr>
                <w:ind w:firstLine="851"/>
                <w:jc w:val="both"/>
                <w:rPr>
                  <w:rFonts w:ascii="Calibri" w:hAnsi="Calibri" w:cs="Calibri"/>
                  <w:color w:val="000000"/>
                  <w:sz w:val="22"/>
                  <w:szCs w:val="22"/>
                  <w:lang w:eastAsia="lt-LT"/>
                </w:rPr>
              </w:pPr>
              <w:r>
                <w:rPr>
                  <w:color w:val="000000"/>
                  <w:szCs w:val="24"/>
                  <w:lang w:eastAsia="lt-LT"/>
                </w:rPr>
                <w:t>Priėmus Įstatymų projektus, kitų įstatymų keisti nereikės.</w:t>
              </w:r>
            </w:p>
            <w:p>
              <w:pPr>
                <w:ind w:firstLine="913"/>
                <w:jc w:val="both"/>
                <w:rPr>
                  <w:rFonts w:ascii="Calibri" w:hAnsi="Calibri" w:cs="Calibri"/>
                  <w:color w:val="000000"/>
                  <w:sz w:val="22"/>
                  <w:szCs w:val="22"/>
                  <w:lang w:eastAsia="lt-LT"/>
                </w:rPr>
              </w:pPr>
            </w:p>
          </w:sdtContent>
        </w:sdt>
        <w:sdt>
          <w:sdtPr>
            <w:alias w:val="10 p."/>
            <w:tag w:val="part_d65bf99c312841dbb3a7da51eb476524"/>
            <w:lock w:val="sdtLocked"/>
            <w:richText/>
          </w:sdtPr>
          <w:sdtContent>
            <w:p>
              <w:pPr>
                <w:ind w:firstLine="851"/>
                <w:jc w:val="both"/>
                <w:rPr>
                  <w:rFonts w:ascii="Calibri" w:hAnsi="Calibri" w:cs="Calibri"/>
                  <w:color w:val="000000"/>
                  <w:sz w:val="22"/>
                  <w:szCs w:val="22"/>
                  <w:lang w:eastAsia="lt-LT"/>
                </w:rPr>
              </w:pPr>
              <w:sdt>
                <w:sdtPr>
                  <w:alias w:val="Numeris"/>
                  <w:tag w:val="nr_d65bf99c312841dbb3a7da51eb476524"/>
                  <w:lock w:val="sdtLocked"/>
                  <w:richText/>
                </w:sdtPr>
                <w:sdtContent>
                  <w:r>
                    <w:rPr>
                      <w:b/>
                      <w:bCs/>
                      <w:color w:val="000000"/>
                      <w:szCs w:val="24"/>
                      <w:lang w:eastAsia="lt-LT"/>
                    </w:rPr>
                    <w:t>10</w:t>
                  </w:r>
                </w:sdtContent>
              </w:sdt>
              <w:r>
                <w:rPr>
                  <w:b/>
                  <w:bCs/>
                  <w:color w:val="000000"/>
                  <w:szCs w:val="24"/>
                  <w:lang w:eastAsia="lt-LT"/>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ind w:firstLine="851"/>
                <w:jc w:val="both"/>
                <w:rPr>
                  <w:rFonts w:ascii="Calibri" w:hAnsi="Calibri" w:cs="Calibri"/>
                  <w:color w:val="000000"/>
                  <w:sz w:val="22"/>
                  <w:szCs w:val="22"/>
                  <w:lang w:eastAsia="lt-LT"/>
                </w:rPr>
              </w:pPr>
              <w:r>
                <w:rPr>
                  <w:color w:val="000000"/>
                  <w:szCs w:val="24"/>
                  <w:lang w:eastAsia="lt-LT"/>
                </w:rPr>
                <w:t>Įstatymų projektai parengti laikantis Lietuvos Respublikos valstybinės kalbos įstatymo, Lietuvos Respublikos teisėkūros pagrindų įstatymo reikalavimų.</w:t>
              </w:r>
            </w:p>
            <w:p>
              <w:pPr>
                <w:ind w:firstLine="913"/>
                <w:jc w:val="both"/>
                <w:rPr>
                  <w:rFonts w:ascii="Calibri" w:hAnsi="Calibri" w:cs="Calibri"/>
                  <w:color w:val="000000"/>
                  <w:sz w:val="22"/>
                  <w:szCs w:val="22"/>
                  <w:lang w:eastAsia="lt-LT"/>
                </w:rPr>
              </w:pPr>
            </w:p>
          </w:sdtContent>
        </w:sdt>
        <w:sdt>
          <w:sdtPr>
            <w:alias w:val="11 p."/>
            <w:tag w:val="part_3f21bf24ca4a4819aba22fcca2ba4f43"/>
            <w:lock w:val="sdtLocked"/>
            <w:richText/>
          </w:sdtPr>
          <w:sdtContent>
            <w:p>
              <w:pPr>
                <w:ind w:firstLine="851"/>
                <w:jc w:val="both"/>
                <w:rPr>
                  <w:rFonts w:ascii="Calibri" w:hAnsi="Calibri" w:cs="Calibri"/>
                  <w:color w:val="000000"/>
                  <w:sz w:val="22"/>
                  <w:szCs w:val="22"/>
                  <w:lang w:eastAsia="lt-LT"/>
                </w:rPr>
              </w:pPr>
              <w:sdt>
                <w:sdtPr>
                  <w:alias w:val="Numeris"/>
                  <w:tag w:val="nr_3f21bf24ca4a4819aba22fcca2ba4f43"/>
                  <w:lock w:val="sdtLocked"/>
                  <w:richText/>
                </w:sdtPr>
                <w:sdtContent>
                  <w:r>
                    <w:rPr>
                      <w:b/>
                      <w:bCs/>
                      <w:color w:val="000000"/>
                      <w:szCs w:val="24"/>
                      <w:lang w:eastAsia="lt-LT"/>
                    </w:rPr>
                    <w:t>11</w:t>
                  </w:r>
                </w:sdtContent>
              </w:sdt>
              <w:r>
                <w:rPr>
                  <w:b/>
                  <w:bCs/>
                  <w:color w:val="000000"/>
                  <w:szCs w:val="24"/>
                  <w:lang w:eastAsia="lt-LT"/>
                </w:rPr>
                <w:t>. Ar įstatymų projektai atitinka Žmogaus teisių ir pagrindinių laisvių apsaugos konvencijos nuostatas ir Europos Sąjungos dokumentus:</w:t>
              </w:r>
            </w:p>
            <w:p>
              <w:pPr>
                <w:ind w:firstLine="851"/>
                <w:jc w:val="both"/>
                <w:rPr>
                  <w:rFonts w:ascii="Calibri" w:hAnsi="Calibri" w:cs="Calibri"/>
                  <w:color w:val="000000"/>
                  <w:sz w:val="22"/>
                  <w:szCs w:val="22"/>
                  <w:lang w:eastAsia="lt-LT"/>
                </w:rPr>
              </w:pPr>
              <w:r>
                <w:rPr>
                  <w:color w:val="000000"/>
                  <w:szCs w:val="24"/>
                  <w:lang w:eastAsia="lt-LT"/>
                </w:rPr>
                <w:t>Įstatymų projektai neprieštarauja Europos žmogaus teisių ir pagrindinių laisvių konvencijos nuostatoms bei Europos Sąjungos teisei.</w:t>
              </w:r>
            </w:p>
            <w:p>
              <w:pPr>
                <w:ind w:firstLine="913"/>
                <w:jc w:val="both"/>
                <w:rPr>
                  <w:rFonts w:ascii="Calibri" w:hAnsi="Calibri" w:cs="Calibri"/>
                  <w:color w:val="000000"/>
                  <w:sz w:val="22"/>
                  <w:szCs w:val="22"/>
                  <w:lang w:eastAsia="lt-LT"/>
                </w:rPr>
              </w:pPr>
            </w:p>
          </w:sdtContent>
        </w:sdt>
        <w:sdt>
          <w:sdtPr>
            <w:alias w:val="12 p."/>
            <w:tag w:val="part_e529cafa3e694f5f8d47437507813452"/>
            <w:lock w:val="sdtLocked"/>
            <w:richText/>
          </w:sdtPr>
          <w:sdtContent>
            <w:p>
              <w:pPr>
                <w:ind w:firstLine="851"/>
                <w:jc w:val="both"/>
                <w:rPr>
                  <w:rFonts w:ascii="Calibri" w:hAnsi="Calibri" w:cs="Calibri"/>
                  <w:color w:val="000000"/>
                  <w:sz w:val="22"/>
                  <w:szCs w:val="22"/>
                  <w:lang w:eastAsia="lt-LT"/>
                </w:rPr>
              </w:pPr>
              <w:sdt>
                <w:sdtPr>
                  <w:alias w:val="Numeris"/>
                  <w:tag w:val="nr_e529cafa3e694f5f8d47437507813452"/>
                  <w:lock w:val="sdtLocked"/>
                  <w:richText/>
                </w:sdtPr>
                <w:sdtContent>
                  <w:r>
                    <w:rPr>
                      <w:b/>
                      <w:bCs/>
                      <w:color w:val="000000"/>
                      <w:szCs w:val="24"/>
                      <w:lang w:eastAsia="lt-LT"/>
                    </w:rPr>
                    <w:t>12</w:t>
                  </w:r>
                </w:sdtContent>
              </w:sdt>
              <w:r>
                <w:rPr>
                  <w:b/>
                  <w:bCs/>
                  <w:color w:val="000000"/>
                  <w:szCs w:val="24"/>
                  <w:lang w:eastAsia="lt-LT"/>
                </w:rPr>
                <w:t>. Jeigu įstatymams įgyvendinti reikia įgyvendinamųjų teisės aktų, – kas ir kada juos turėtų priimti:</w:t>
              </w:r>
            </w:p>
            <w:p>
              <w:pPr>
                <w:ind w:firstLine="913"/>
                <w:jc w:val="both"/>
                <w:rPr>
                  <w:rFonts w:ascii="Calibri" w:hAnsi="Calibri" w:cs="Calibri"/>
                  <w:color w:val="000000"/>
                  <w:sz w:val="22"/>
                  <w:szCs w:val="22"/>
                  <w:lang w:eastAsia="lt-LT"/>
                </w:rPr>
              </w:pPr>
              <w:r>
                <w:rPr>
                  <w:color w:val="000000"/>
                  <w:szCs w:val="24"/>
                  <w:lang w:eastAsia="lt-LT"/>
                </w:rPr>
                <w:t>Įstatymų projektams įgyvendinti Vyriausybei nutarimu reikės priimti tvarką, kuri bus šių įstatymų pakeitimo įgyvendinamasis teisės aktas.</w:t>
              </w:r>
            </w:p>
            <w:p>
              <w:pPr>
                <w:ind w:firstLine="913"/>
                <w:jc w:val="both"/>
                <w:rPr>
                  <w:rFonts w:ascii="Calibri" w:hAnsi="Calibri" w:cs="Calibri"/>
                  <w:color w:val="000000"/>
                  <w:sz w:val="22"/>
                  <w:szCs w:val="22"/>
                  <w:lang w:eastAsia="lt-LT"/>
                </w:rPr>
              </w:pPr>
            </w:p>
          </w:sdtContent>
        </w:sdt>
        <w:sdt>
          <w:sdtPr>
            <w:alias w:val="13 p."/>
            <w:tag w:val="part_882775250a304e02ad07c2fa7d57a7ec"/>
            <w:lock w:val="sdtLocked"/>
            <w:richText/>
          </w:sdtPr>
          <w:sdtContent>
            <w:p>
              <w:pPr>
                <w:ind w:firstLine="851"/>
                <w:jc w:val="both"/>
                <w:rPr>
                  <w:rFonts w:ascii="Calibri" w:hAnsi="Calibri" w:cs="Calibri"/>
                  <w:color w:val="000000"/>
                  <w:sz w:val="22"/>
                  <w:szCs w:val="22"/>
                  <w:lang w:eastAsia="lt-LT"/>
                </w:rPr>
              </w:pPr>
              <w:sdt>
                <w:sdtPr>
                  <w:alias w:val="Numeris"/>
                  <w:tag w:val="nr_882775250a304e02ad07c2fa7d57a7ec"/>
                  <w:lock w:val="sdtLocked"/>
                  <w:richText/>
                </w:sdtPr>
                <w:sdtContent>
                  <w:r>
                    <w:rPr>
                      <w:b/>
                      <w:bCs/>
                      <w:color w:val="000000"/>
                      <w:szCs w:val="24"/>
                      <w:lang w:eastAsia="lt-LT"/>
                    </w:rPr>
                    <w:t>13</w:t>
                  </w:r>
                </w:sdtContent>
              </w:sdt>
              <w:r>
                <w:rPr>
                  <w:b/>
                  <w:bCs/>
                  <w:color w:val="000000"/>
                  <w:szCs w:val="24"/>
                  <w:lang w:eastAsia="lt-LT"/>
                </w:rPr>
                <w:t>. Kiek valstybės, savivaldybių biudžetų ir kitų valstybės įsteigtų fondų lėšų prireiks įstatymams įgyvendinti, ar bus galima sutaupyti (pateikiami prognozuojami rodikliai einamaisiais ir artimiausiais 3 biudžetiniais metais):</w:t>
              </w:r>
            </w:p>
            <w:p>
              <w:pPr>
                <w:ind w:firstLine="851"/>
                <w:jc w:val="both"/>
                <w:rPr>
                  <w:rFonts w:ascii="Calibri" w:hAnsi="Calibri" w:cs="Calibri"/>
                  <w:color w:val="000000"/>
                  <w:sz w:val="22"/>
                  <w:szCs w:val="22"/>
                  <w:lang w:eastAsia="lt-LT"/>
                </w:rPr>
              </w:pPr>
              <w:r>
                <w:rPr>
                  <w:color w:val="000000"/>
                  <w:szCs w:val="24"/>
                  <w:lang w:eastAsia="lt-LT"/>
                </w:rPr>
                <w:t>Įstatymų projektų nuostatoms įgyvendinti papildomų valstybės, savivaldybių biudžetų ir kitų valstybės įsteigtų fondo lėšų nereikės.</w:t>
              </w:r>
            </w:p>
            <w:p>
              <w:pPr>
                <w:ind w:firstLine="913"/>
                <w:jc w:val="both"/>
                <w:rPr>
                  <w:rFonts w:ascii="Calibri" w:hAnsi="Calibri" w:cs="Calibri"/>
                  <w:color w:val="000000"/>
                  <w:sz w:val="22"/>
                  <w:szCs w:val="22"/>
                  <w:lang w:eastAsia="lt-LT"/>
                </w:rPr>
              </w:pPr>
            </w:p>
          </w:sdtContent>
        </w:sdt>
        <w:sdt>
          <w:sdtPr>
            <w:alias w:val="14 p."/>
            <w:tag w:val="part_5b775491d9134ea9996797a8bdb578e6"/>
            <w:lock w:val="sdtLocked"/>
            <w:richText/>
          </w:sdtPr>
          <w:sdtContent>
            <w:p>
              <w:pPr>
                <w:ind w:firstLine="851"/>
                <w:jc w:val="both"/>
                <w:rPr>
                  <w:rFonts w:ascii="Calibri" w:hAnsi="Calibri" w:cs="Calibri"/>
                  <w:color w:val="000000"/>
                  <w:sz w:val="22"/>
                  <w:szCs w:val="22"/>
                  <w:lang w:eastAsia="lt-LT"/>
                </w:rPr>
              </w:pPr>
              <w:sdt>
                <w:sdtPr>
                  <w:alias w:val="Numeris"/>
                  <w:tag w:val="nr_5b775491d9134ea9996797a8bdb578e6"/>
                  <w:lock w:val="sdtLocked"/>
                  <w:richText/>
                </w:sdtPr>
                <w:sdtContent>
                  <w:r>
                    <w:rPr>
                      <w:b/>
                      <w:bCs/>
                      <w:color w:val="000000"/>
                      <w:szCs w:val="24"/>
                      <w:lang w:eastAsia="lt-LT"/>
                    </w:rPr>
                    <w:t>14</w:t>
                  </w:r>
                </w:sdtContent>
              </w:sdt>
              <w:r>
                <w:rPr>
                  <w:b/>
                  <w:bCs/>
                  <w:color w:val="000000"/>
                  <w:szCs w:val="24"/>
                  <w:lang w:eastAsia="lt-LT"/>
                </w:rPr>
                <w:t>. Įstatymų projektų rengimo metu gauti specialistų vertinimai ir išvados:</w:t>
              </w:r>
            </w:p>
            <w:p>
              <w:pPr>
                <w:ind w:firstLine="851"/>
                <w:jc w:val="both"/>
                <w:rPr>
                  <w:rFonts w:ascii="Calibri" w:hAnsi="Calibri" w:cs="Calibri"/>
                  <w:color w:val="000000"/>
                  <w:sz w:val="22"/>
                  <w:szCs w:val="22"/>
                  <w:lang w:eastAsia="lt-LT"/>
                </w:rPr>
              </w:pPr>
              <w:r>
                <w:rPr>
                  <w:color w:val="000000"/>
                  <w:szCs w:val="24"/>
                  <w:lang w:eastAsia="lt-LT"/>
                </w:rPr>
                <w:t>Specialistų vertinimų ir išvadų negauta.</w:t>
              </w:r>
            </w:p>
            <w:p>
              <w:pPr>
                <w:ind w:firstLine="913"/>
                <w:jc w:val="both"/>
                <w:rPr>
                  <w:rFonts w:ascii="Calibri" w:hAnsi="Calibri" w:cs="Calibri"/>
                  <w:color w:val="000000"/>
                  <w:sz w:val="22"/>
                  <w:szCs w:val="22"/>
                  <w:lang w:eastAsia="lt-LT"/>
                </w:rPr>
              </w:pPr>
            </w:p>
          </w:sdtContent>
        </w:sdt>
        <w:sdt>
          <w:sdtPr>
            <w:alias w:val="15 p."/>
            <w:tag w:val="part_1712e0941867440f9fba28d32b6bb20b"/>
            <w:lock w:val="sdtLocked"/>
            <w:richText/>
          </w:sdtPr>
          <w:sdtContent>
            <w:p>
              <w:pPr>
                <w:ind w:firstLine="851"/>
                <w:jc w:val="both"/>
                <w:rPr>
                  <w:rFonts w:ascii="Calibri" w:hAnsi="Calibri" w:cs="Calibri"/>
                  <w:color w:val="000000"/>
                  <w:sz w:val="22"/>
                  <w:szCs w:val="22"/>
                  <w:lang w:eastAsia="lt-LT"/>
                </w:rPr>
              </w:pPr>
              <w:sdt>
                <w:sdtPr>
                  <w:alias w:val="Numeris"/>
                  <w:tag w:val="nr_1712e0941867440f9fba28d32b6bb20b"/>
                  <w:lock w:val="sdtLocked"/>
                  <w:richText/>
                </w:sdtPr>
                <w:sdtContent>
                  <w:r>
                    <w:rPr>
                      <w:b/>
                      <w:bCs/>
                      <w:color w:val="000000"/>
                      <w:szCs w:val="24"/>
                      <w:lang w:eastAsia="lt-LT"/>
                    </w:rPr>
                    <w:t>15</w:t>
                  </w:r>
                </w:sdtContent>
              </w:sdt>
              <w:r>
                <w:rPr>
                  <w:b/>
                  <w:bCs/>
                  <w:color w:val="000000"/>
                  <w:szCs w:val="24"/>
                  <w:lang w:eastAsia="lt-LT"/>
                </w:rPr>
                <w:t>. Reikšminiai žodžiai, kurių reikia šiems projektams įtraukti į kompiuterinę paieškos sistemą, įskaitant Europos žodyno „Eurovoc“ terminus, temas bei sritis:</w:t>
              </w:r>
            </w:p>
            <w:sdt>
              <w:sdtPr>
                <w:alias w:val="citata"/>
                <w:tag w:val="part_0731fcedd2a54605a4d410f08810decc"/>
                <w:lock w:val="sdtLocked"/>
                <w:richText/>
              </w:sdtPr>
              <w:sdtContent>
                <w:sdt>
                  <w:sdtPr>
                    <w:alias w:val="pastraipa"/>
                    <w:tag w:val="part_ddd1e0792fdc4c459c4fb269b72d1c7b"/>
                    <w:lock w:val="sdtLocked"/>
                    <w:richText/>
                  </w:sdtPr>
                  <w:sdtContent>
                    <w:p>
                      <w:pPr>
                        <w:ind w:firstLine="851"/>
                        <w:jc w:val="both"/>
                        <w:rPr>
                          <w:rFonts w:ascii="Calibri" w:hAnsi="Calibri" w:cs="Calibri"/>
                          <w:color w:val="000000"/>
                          <w:sz w:val="22"/>
                          <w:szCs w:val="22"/>
                          <w:lang w:eastAsia="lt-LT"/>
                        </w:rPr>
                      </w:pPr>
                      <w:r>
                        <w:rPr>
                          <w:color w:val="000000"/>
                          <w:szCs w:val="24"/>
                          <w:lang w:eastAsia="lt-LT"/>
                        </w:rPr>
                        <w:t>„Buitinis vartotojas“.</w:t>
                      </w:r>
                    </w:p>
                    <w:p>
                      <w:pPr>
                        <w:ind w:firstLine="913"/>
                        <w:jc w:val="both"/>
                        <w:rPr>
                          <w:rFonts w:ascii="Calibri" w:hAnsi="Calibri" w:cs="Calibri"/>
                          <w:color w:val="000000"/>
                          <w:sz w:val="22"/>
                          <w:szCs w:val="22"/>
                          <w:lang w:eastAsia="lt-LT"/>
                        </w:rPr>
                      </w:pPr>
                    </w:p>
                  </w:sdtContent>
                </w:sdt>
              </w:sdtContent>
            </w:sdt>
          </w:sdtContent>
        </w:sdt>
        <w:sdt>
          <w:sdtPr>
            <w:alias w:val="16 p."/>
            <w:tag w:val="part_8605704c4314492eaf03936dba60ed2a"/>
            <w:lock w:val="sdtLocked"/>
            <w:richText/>
          </w:sdtPr>
          <w:sdtContent>
            <w:p>
              <w:pPr>
                <w:ind w:firstLine="851"/>
                <w:jc w:val="both"/>
                <w:rPr>
                  <w:rFonts w:ascii="Calibri" w:hAnsi="Calibri" w:cs="Calibri"/>
                  <w:color w:val="000000"/>
                  <w:sz w:val="22"/>
                  <w:szCs w:val="22"/>
                  <w:lang w:eastAsia="lt-LT"/>
                </w:rPr>
              </w:pPr>
              <w:sdt>
                <w:sdtPr>
                  <w:alias w:val="Numeris"/>
                  <w:tag w:val="nr_8605704c4314492eaf03936dba60ed2a"/>
                  <w:lock w:val="sdtLocked"/>
                  <w:richText/>
                </w:sdtPr>
                <w:sdtContent>
                  <w:r>
                    <w:rPr>
                      <w:b/>
                      <w:bCs/>
                      <w:color w:val="000000"/>
                      <w:szCs w:val="24"/>
                      <w:lang w:eastAsia="lt-LT"/>
                    </w:rPr>
                    <w:t>16</w:t>
                  </w:r>
                </w:sdtContent>
              </w:sdt>
              <w:r>
                <w:rPr>
                  <w:b/>
                  <w:bCs/>
                  <w:color w:val="000000"/>
                  <w:szCs w:val="24"/>
                  <w:lang w:eastAsia="lt-LT"/>
                </w:rPr>
                <w:t>. Kiti, iniciatorių nuomone, reikalingi pagrindimai ir paaiškinimai:</w:t>
              </w:r>
            </w:p>
            <w:p>
              <w:pPr>
                <w:ind w:firstLine="851"/>
                <w:jc w:val="both"/>
                <w:rPr>
                  <w:rFonts w:ascii="Calibri" w:hAnsi="Calibri" w:cs="Calibri"/>
                  <w:color w:val="000000"/>
                  <w:sz w:val="22"/>
                  <w:szCs w:val="22"/>
                  <w:lang w:eastAsia="lt-LT"/>
                </w:rPr>
              </w:pPr>
              <w:r>
                <w:rPr>
                  <w:color w:val="000000"/>
                  <w:szCs w:val="24"/>
                  <w:lang w:eastAsia="lt-LT"/>
                </w:rPr>
                <w:t>Papildomi įstatymo projekto pagrindimai ir paaiškinimai nėra reikalingi.</w:t>
              </w:r>
            </w:p>
            <w:p>
              <w:pPr>
                <w:ind w:firstLine="913"/>
                <w:jc w:val="both"/>
                <w:rPr>
                  <w:rFonts w:ascii="Calibri" w:hAnsi="Calibri" w:cs="Calibri"/>
                  <w:color w:val="000000"/>
                  <w:sz w:val="22"/>
                  <w:szCs w:val="22"/>
                  <w:lang w:eastAsia="lt-LT"/>
                </w:rPr>
              </w:pPr>
            </w:p>
            <w:p>
              <w:pPr>
                <w:ind w:firstLine="913"/>
                <w:rPr>
                  <w:rFonts w:ascii="Calibri" w:hAnsi="Calibri" w:cs="Calibri"/>
                  <w:color w:val="000000"/>
                  <w:sz w:val="22"/>
                  <w:szCs w:val="22"/>
                  <w:lang w:eastAsia="lt-LT"/>
                </w:rPr>
              </w:pPr>
            </w:p>
          </w:sdtContent>
        </w:sdt>
        <w:sdt>
          <w:sdtPr>
            <w:alias w:val="signatura"/>
            <w:tag w:val="part_5a76ad9bc1a244b58268f5de49662a99"/>
            <w:lock w:val="sdtLocked"/>
            <w:richText/>
          </w:sdtPr>
          <w:sdtContent>
            <w:p>
              <w:pPr>
                <w:rPr>
                  <w:rFonts w:ascii="Calibri" w:hAnsi="Calibri" w:cs="Calibri"/>
                  <w:color w:val="000000"/>
                  <w:sz w:val="22"/>
                  <w:szCs w:val="22"/>
                  <w:lang w:eastAsia="lt-LT"/>
                </w:rPr>
              </w:pPr>
              <w:r>
                <w:rPr>
                  <w:color w:val="000000"/>
                  <w:szCs w:val="24"/>
                  <w:lang w:eastAsia="lt-LT"/>
                </w:rPr>
                <w:t>Teikia                                 </w:t>
              </w:r>
            </w:p>
            <w:p>
              <w:pPr>
                <w:rPr>
                  <w:rFonts w:ascii="Calibri" w:hAnsi="Calibri" w:cs="Calibri"/>
                  <w:color w:val="000000"/>
                  <w:sz w:val="22"/>
                  <w:szCs w:val="22"/>
                  <w:lang w:eastAsia="lt-LT"/>
                </w:rPr>
              </w:pPr>
              <w:r>
                <w:rPr>
                  <w:color w:val="000000"/>
                  <w:szCs w:val="24"/>
                  <w:lang w:eastAsia="lt-LT"/>
                </w:rPr>
                <w:t>Seimo nariai</w:t>
              </w: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A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D48187-93CD-40C5-B312-F465F7BA18E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91867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06cf5dd4ea4f93adf8d214a3542832" PartId="f88d1c0917f3457b8e7ad3b1170b5005">
    <Part Type="punktas" Nr="1" Abbr="1 p." DocPartId="db4df3b5bfab4f7fa35ff85474e0cd08" PartId="ebb1a34419f749e8a2af84900c8c273a"/>
    <Part Type="punktas" Nr="2" Abbr="2 p." DocPartId="7269f56009d34e89b594b17855f2da3a" PartId="bf3c9410c7b54f60b4a92852a90f96eb"/>
    <Part Type="punktas" Nr="3" Abbr="3 p." DocPartId="b0b87e2eb55a4e90a00bbfd6d0bdac7c" PartId="051e17e4c6544898a9cb23c48a99fe05"/>
    <Part Type="punktas" Nr="4" Abbr="4 p." DocPartId="39630ff15af24b998a8b1c90b200c841" PartId="726710fdce8b4dcab604c07b797b6d1c"/>
    <Part Type="punktas" Nr="5" Abbr="5 p." DocPartId="ee72c4e865784b1392d1853ad4cb7677" PartId="b6396f7193d9453d8129275d43df16cf"/>
    <Part Type="punktas" Nr="6" Abbr="6 p." DocPartId="99aa36bb08fc4a778047b8cd6669cae5" PartId="06cbf585d7f840d9b07ec8a38c0ea56b"/>
    <Part Type="punktas" Nr="7" Abbr="7 p." DocPartId="b344d99392af408cbee4fd4e461bf70b" PartId="c7082da9ea7f48ef8c1b190da68b9087"/>
    <Part Type="punktas" Nr="8" Abbr="8 p." DocPartId="d052f6116c5c4512b84f758fceb143ff" PartId="df6aae1eba314c7eabea090c088d289f"/>
    <Part Type="punktas" Nr="9" Abbr="9 p." DocPartId="51cde5613fa84e2f839991351251d2d9" PartId="d83b2d5c4e0f4537bf0110c035c08b6b"/>
    <Part Type="punktas" Nr="10" Abbr="10 p." DocPartId="c1f4744b49ef407284437090e0e6c2ea" PartId="d65bf99c312841dbb3a7da51eb476524"/>
    <Part Type="punktas" Nr="11" Abbr="11 p." DocPartId="f9f703d62a28400eb3a1cd56b881da24" PartId="3f21bf24ca4a4819aba22fcca2ba4f43"/>
    <Part Type="punktas" Nr="12" Abbr="12 p." DocPartId="09ac26c1c14c4657b66a3970684553eb" PartId="e529cafa3e694f5f8d47437507813452"/>
    <Part Type="punktas" Nr="13" Abbr="13 p." DocPartId="e9f6ad73ace24c91ab8ea6bb31d4a5de" PartId="882775250a304e02ad07c2fa7d57a7ec"/>
    <Part Type="punktas" Nr="14" Abbr="14 p." DocPartId="65ea00a5acd941c980436c5c7e80c372" PartId="5b775491d9134ea9996797a8bdb578e6"/>
    <Part Type="punktas" Nr="15" Abbr="15 p." DocPartId="6709fe2ed740430f83cf8b6b199c8319" PartId="1712e0941867440f9fba28d32b6bb20b">
      <Part Type="citata" DocPartId="186b426c1fa1482fb375451295ffa04c" PartId="0731fcedd2a54605a4d410f08810decc">
        <Part Type="pastraipa" DocPartId="5d7a2f6c73d442c1ae63717f061dfd6a" PartId="ddd1e0792fdc4c459c4fb269b72d1c7b"/>
      </Part>
    </Part>
    <Part Type="punktas" Nr="16" Abbr="16 p." DocPartId="43729091709e465b8250a808f98565b4" PartId="8605704c4314492eaf03936dba60ed2a"/>
    <Part Type="signatura" DocPartId="e3cad479ed2042cf8be88ce0b2aef81f" PartId="5a76ad9bc1a244b58268f5de49662a99"/>
  </Part>
</Parts>
</file>

<file path=customXml/itemProps1.xml><?xml version="1.0" encoding="utf-8"?>
<ds:datastoreItem xmlns:ds="http://schemas.openxmlformats.org/officeDocument/2006/customXml" ds:itemID="{0F089E82-181E-4C59-988E-E4D427A622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785</Words>
  <Characters>5553</Characters>
  <Application>Microsoft Office Word</Application>
  <DocSecurity>4</DocSecurity>
  <Lines>113</Lines>
  <Paragraphs>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2025-03-27T14:18:00Z</dcterms:created>
  <dc:creator>KARČIAUSKIENĖ Edita</dc:creator>
  <lastModifiedBy>adlibuser</lastModifiedBy>
  <dcterms:modified xsi:type="dcterms:W3CDTF">2025-03-27T14:18:00Z</dcterms:modified>
  <revision>2</revision>
</coreProperties>
</file>