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940cf28629b427eb8b7e604a08898fd"/>
        <w:lock w:val="sdtLocked"/>
        <w:richText/>
      </w:sdtPr>
      <w:sdtContent>
        <w:p>
          <w:pPr>
            <w:framePr w:hSpace="180" w:wrap="auto" w:vAnchor="text" w:hAnchor="page" w:x="5728" w:y="-61"/>
            <w:tabs>
              <w:tab w:val="center" w:pos="4819"/>
              <w:tab w:val="right" w:pos="9638"/>
            </w:tabs>
            <w:rPr>
              <w:rFonts w:ascii="Calibri" w:eastAsia="Calibri" w:hAnsi="Calibri"/>
              <w:sz w:val="22"/>
              <w:szCs w:val="22"/>
            </w:rPr>
          </w:pPr>
        </w:p>
        <w:p>
          <w:pPr>
            <w:framePr w:hSpace="180" w:wrap="auto" w:vAnchor="text" w:hAnchor="page" w:x="5728" w:y="-61"/>
            <w:overflowPunct w:val="0"/>
            <w:jc w:val="both"/>
            <w:textAlignment w:val="baseline"/>
            <w:rPr>
              <w:sz w:val="8"/>
              <w:lang w:eastAsia="lt-LT"/>
            </w:rPr>
          </w:pPr>
          <w:r>
            <w:rPr>
              <w:sz w:val="8"/>
              <w:lang w:val="en-US"/>
            </w:rPr>
            <w:drawing>
              <wp:inline distT="0" distB="0" distL="0" distR="0" wp14:anchorId="2868D566" wp14:editId="49821D52">
                <wp:extent cx="1098550" cy="730250"/>
                <wp:effectExtent l="0" t="0" r="0"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98550" cy="730250"/>
                        </a:xfrm>
                        <a:prstGeom prst="rect">
                          <a:avLst/>
                        </a:prstGeom>
                        <a:noFill/>
                        <a:ln>
                          <a:noFill/>
                        </a:ln>
                      </pic:spPr>
                    </pic:pic>
                  </a:graphicData>
                </a:graphic>
              </wp:inline>
            </w:drawing>
          </w:r>
        </w:p>
        <w:p>
          <w:pPr>
            <w:overflowPunct w:val="0"/>
            <w:jc w:val="both"/>
            <w:textAlignment w:val="baseline"/>
            <w:rPr>
              <w:lang w:eastAsia="lt-LT"/>
            </w:rPr>
          </w:pPr>
        </w:p>
        <w:p>
          <w:pPr>
            <w:overflowPunct w:val="0"/>
            <w:jc w:val="both"/>
            <w:textAlignment w:val="baseline"/>
            <w:rPr>
              <w:lang w:eastAsia="lt-LT"/>
            </w:rPr>
          </w:pPr>
        </w:p>
        <w:p>
          <w:pPr>
            <w:framePr w:w="9423" w:h="754" w:hSpace="181" w:wrap="notBeside" w:vAnchor="text" w:hAnchor="page" w:x="1575" w:y="647" w:anchorLock="1"/>
            <w:overflowPunct w:val="0"/>
            <w:jc w:val="center"/>
            <w:textAlignment w:val="baseline"/>
            <w:rPr>
              <w:b/>
              <w:sz w:val="28"/>
              <w:lang w:eastAsia="lt-LT"/>
            </w:rPr>
          </w:pPr>
          <w:r>
            <w:rPr>
              <w:b/>
              <w:sz w:val="28"/>
              <w:lang w:eastAsia="lt-LT"/>
            </w:rPr>
            <w:t>LIETUVOS RESPUBLIKOS ŽEMĖS ŪKIO MINISTERIJOS</w:t>
          </w:r>
        </w:p>
        <w:sdt>
          <w:sdtPr>
            <w:alias w:val="skyrius"/>
            <w:tag w:val="part_7792336372314c13a037767d9a104e1e"/>
            <w:lock w:val="sdtLocked"/>
            <w:richText/>
          </w:sdtPr>
          <w:sdtContent>
            <w:p>
              <w:pPr>
                <w:framePr w:w="9423" w:h="754" w:hSpace="181" w:wrap="notBeside" w:vAnchor="text" w:hAnchor="page" w:x="1575" w:y="647" w:anchorLock="1"/>
                <w:overflowPunct w:val="0"/>
                <w:jc w:val="center"/>
                <w:textAlignment w:val="baseline"/>
                <w:rPr>
                  <w:b/>
                  <w:sz w:val="28"/>
                  <w:szCs w:val="28"/>
                  <w:lang w:val="en-GB" w:eastAsia="lt-LT"/>
                </w:rPr>
              </w:pPr>
              <w:r>
                <w:rPr>
                  <w:b/>
                  <w:sz w:val="28"/>
                  <w:szCs w:val="28"/>
                  <w:lang w:val="en-GB" w:eastAsia="lt-LT"/>
                </w:rPr>
                <w:t>1-ASIS EUROPOS SĄJUNGOS PARAMOS SKYRIUS</w:t>
              </w:r>
            </w:p>
            <w:p>
              <w:pPr>
                <w:framePr w:w="9423" w:h="754" w:hSpace="181" w:wrap="notBeside" w:vAnchor="text" w:hAnchor="page" w:x="1575" w:y="647" w:anchorLock="1"/>
                <w:overflowPunct w:val="0"/>
                <w:jc w:val="center"/>
                <w:textAlignment w:val="baseline"/>
                <w:rPr>
                  <w:b/>
                  <w:sz w:val="28"/>
                  <w:lang w:eastAsia="lt-LT"/>
                </w:rPr>
              </w:pPr>
            </w:p>
            <w:p>
              <w:pPr>
                <w:framePr w:w="9423" w:h="754" w:hSpace="181" w:wrap="notBeside" w:vAnchor="text" w:hAnchor="page" w:x="1575" w:y="647" w:anchorLock="1"/>
                <w:overflowPunct w:val="0"/>
                <w:jc w:val="center"/>
                <w:textAlignment w:val="baseline"/>
                <w:rPr>
                  <w:b/>
                  <w:sz w:val="28"/>
                  <w:lang w:eastAsia="lt-LT"/>
                </w:rPr>
              </w:pPr>
            </w:p>
            <w:p>
              <w:pPr>
                <w:overflowPunct w:val="0"/>
                <w:jc w:val="both"/>
                <w:textAlignment w:val="baseline"/>
                <w:rPr>
                  <w:lang w:eastAsia="lt-LT"/>
                </w:rPr>
              </w:pPr>
            </w:p>
            <w:sdt>
              <w:sdtPr>
                <w:alias w:val="Pavadinimas"/>
                <w:tag w:val="title_7792336372314c13a037767d9a104e1e"/>
                <w:lock w:val="sdtLocked"/>
                <w:richText/>
              </w:sdtPr>
              <w:sdtContent>
                <w:p>
                  <w:pPr>
                    <w:framePr w:w="9185" w:h="1077" w:hSpace="181" w:wrap="notBeside" w:vAnchor="text" w:hAnchor="page" w:x="1938" w:y="1503"/>
                    <w:overflowPunct w:val="0"/>
                    <w:jc w:val="center"/>
                    <w:textAlignment w:val="baseline"/>
                    <w:rPr>
                      <w:b/>
                      <w:lang w:eastAsia="lt-LT"/>
                    </w:rPr>
                  </w:pPr>
                  <w:r>
                    <w:rPr>
                      <w:b/>
                      <w:lang w:eastAsia="lt-LT"/>
                    </w:rPr>
                    <w:t>AIŠKINAMASIS RAŠTAS</w:t>
                  </w:r>
                </w:p>
                <w:p>
                  <w:pPr>
                    <w:framePr w:w="9185" w:h="1077" w:hSpace="181" w:wrap="notBeside" w:vAnchor="text" w:hAnchor="page" w:x="1938" w:y="1503"/>
                    <w:spacing w:line="259" w:lineRule="auto"/>
                    <w:jc w:val="center"/>
                    <w:rPr>
                      <w:b/>
                      <w:lang w:eastAsia="lt-LT"/>
                    </w:rPr>
                  </w:pPr>
                  <w:r>
                    <w:rPr>
                      <w:b/>
                      <w:lang w:eastAsia="lt-LT"/>
                    </w:rPr>
                    <w:t>DĖL ŽEMĖS ŪKIO MINISTRO 2015 M. BALANDŽIO 20 D. ĮSAKYMO NR. 3D-286 „DĖL LIETUVOS KAIMO PLĖTROS 2014–2020 METŲ PROGRAMOS PRIEMONĖS „EKOLOGINIS ŪKININKAVIMAS“ ĮGYVENDINIMO TAISYKLIŲ PATVIRTINIMO“ PAKEITIMO</w:t>
                  </w:r>
                </w:p>
              </w:sdtContent>
            </w:sdt>
            <w:p>
              <w:pPr>
                <w:rPr>
                  <w:sz w:val="14"/>
                  <w:szCs w:val="14"/>
                </w:rPr>
              </w:pPr>
            </w:p>
            <w:p>
              <w:pPr>
                <w:framePr w:w="9185" w:h="1077" w:hSpace="181" w:wrap="notBeside" w:vAnchor="text" w:hAnchor="page" w:x="1938" w:y="1503"/>
                <w:overflowPunct w:val="0"/>
                <w:jc w:val="center"/>
                <w:textAlignment w:val="baseline"/>
                <w:rPr>
                  <w:b/>
                  <w:lang w:eastAsia="lt-LT"/>
                </w:rPr>
              </w:pPr>
            </w:p>
            <w:p>
              <w:pPr>
                <w:framePr w:w="9185" w:h="1077" w:hSpace="181" w:wrap="notBeside" w:vAnchor="text" w:hAnchor="page" w:x="1938" w:y="1503"/>
                <w:overflowPunct w:val="0"/>
                <w:spacing w:line="360" w:lineRule="auto"/>
                <w:textAlignment w:val="baseline"/>
                <w:rPr>
                  <w:sz w:val="20"/>
                  <w:lang w:eastAsia="lt-LT"/>
                </w:rPr>
              </w:pPr>
              <w:r>
                <w:rPr>
                  <w:rFonts w:ascii="Calibri" w:eastAsia="Calibri" w:hAnsi="Calibri"/>
                  <w:sz w:val="22"/>
                  <w:szCs w:val="22"/>
                  <w:lang w:val="en-US"/>
                </w:rPr>
                <mc:AlternateContent>
                  <mc:Choice Requires="wps">
                    <w:drawing>
                      <wp:anchor distT="0" distB="0" distL="114300" distR="114300" simplePos="0" relativeHeight="251657216" behindDoc="0" locked="0" layoutInCell="0" allowOverlap="1" wp14:anchorId="58CF731C" wp14:editId="607958F6">
                        <wp:simplePos x="0" y="0"/>
                        <wp:positionH relativeFrom="column">
                          <wp:posOffset>1650365</wp:posOffset>
                        </wp:positionH>
                        <wp:positionV relativeFrom="paragraph">
                          <wp:posOffset>130175</wp:posOffset>
                        </wp:positionV>
                        <wp:extent cx="1143000" cy="200025"/>
                        <wp:effectExtent l="12065" t="6350" r="6985" b="1270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200025"/>
                                </a:xfrm>
                                <a:prstGeom prst="rect">
                                  <a:avLst/>
                                </a:prstGeom>
                                <a:solidFill>
                                  <a:srgbClr val="FFFFFF"/>
                                </a:solidFill>
                                <a:ln w="0">
                                  <a:solidFill>
                                    <a:srgbClr val="FFFFFF"/>
                                  </a:solidFill>
                                  <a:miter lim="800000"/>
                                  <a:headEnd/>
                                  <a:tailEnd/>
                                </a:ln>
                              </wps:spPr>
                              <wps:txbx>
                                <w:txbxContent>
                                  <w:p>
                                    <w:pPr>
                                      <w:tabs>
                                        <w:tab w:val="center" w:pos="4819"/>
                                        <w:tab w:val="right" w:pos="9638"/>
                                      </w:tabs>
                                      <w:rPr>
                                        <w:rFonts w:eastAsia="Calibri"/>
                                        <w:szCs w:val="24"/>
                                      </w:rPr>
                                    </w:pPr>
                                    <w:r>
                                      <w:rPr>
                                        <w:rFonts w:eastAsia="Calibri"/>
                                        <w:szCs w:val="24"/>
                                      </w:rPr>
                                      <w:t>202</w:t>
                                    </w:r>
                                    <w:r>
                                      <w:rPr>
                                        <w:rFonts w:eastAsia="Calibri"/>
                                        <w:szCs w:val="24"/>
                                        <w:lang w:val="en-US"/>
                                      </w:rPr>
                                      <w:t>1</w:t>
                                    </w:r>
                                    <w:r>
                                      <w:rPr>
                                        <w:rFonts w:eastAsia="Calibri"/>
                                        <w:szCs w:val="2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29.95pt;margin-top:10.25pt;width:90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XXjJHDwIAADQEAAAOAAAAZHJzL2Uyb0RvYy54bWysU1Fv0zAQfkfiP1h+p0k6QFPUdJo6ipAG TBv8ANdxEgvbZ85uk/HrOTttN+BtIg/WXXz3+bvv7lZXkzXsoDBocA2vFiVnyklotesb/v3b9s0l ZyEK1woDTjX8UQV+tX79ajX6Wi1hANMqZATiQj36hg8x+rooghyUFWEBXjm67ACtiORiX7QoRkK3 pliW5ftiBGw9glQh0N+b+ZKvM37XKRm/dl1QkZmGE7eYT8znLp3FeiXqHoUftDzSEC9gYYV29OgZ 6kZEwfao/4GyWiIE6OJCgi2g67RUuQaqpir/quZhEF7lWkic4M8yhf8HK78c7pDptuEXnDlhqUX3 JJpwvVFsmeQZfagp6sHfYSow+FuQPwJzsBkoSl0jwjgo0RKpKsUXfyQkJ1Aq242foSV0sY+QlZo6 tAmQNGBTbsjjuSFqikzSz6p6e1GW1DdJd9TucvkuPyHqU7bHED8qsCwZDUfintHF4TbExEbUp5DM Hoxut9qY7GC/2xhkB0HDsc3fET08DzOOjYnZS/OtjjTiRtuGX1IJVE4euqTZB9dmOwptZpv4GncU Mek26x+n3USBScwdtI8kJ8I8yrR6ZAyAvzgbaYwbHn7uBSrOzCdHLUkzfzLwZOxOhnCSUhseOZvN TZx3Y+9R9wMhV7lsB9fUtk5nRZ9YHHnSaGahj2uUZv+5n6Oeln39GwAA//8DAFBLAwQUAAYACAAA ACEAMFLaX98AAAAJAQAADwAAAGRycy9kb3ducmV2LnhtbEyPTU/DMAyG70j8h8hI3FhCocBK0wkh cUBiB9oJiVvWmqalcbom28q/xzvBzR+PXj/OV7MbxAGn0HnScL1QIJBq33TUathUL1cPIEI01JjB E2r4wQCr4vwsN1njj/SOhzK2gkMoZEaDjXHMpAy1RWfCwo9IvPvykzOR26mVzWSOHO4GmSh1J53p iC9YM+Kzxfq73DsN/W79uVabt74q7239+rHrvXOV1pcX89MjiIhz/IPhpM/qULDT1u+pCWLQkKTL JaNcqBQEA7c3p8FWQ5ookEUu/39Q/AIAAP//AwBQSwECLQAUAAYACAAAACEAtoM4kv4AAADhAQAA EwAAAAAAAAAAAAAAAAAAAAAAW0NvbnRlbnRfVHlwZXNdLnhtbFBLAQItABQABgAIAAAAIQA4/SH/ 1gAAAJQBAAALAAAAAAAAAAAAAAAAAC8BAABfcmVscy8ucmVsc1BLAQItABQABgAIAAAAIQAXXjJH DwIAADQEAAAOAAAAAAAAAAAAAAAAAC4CAABkcnMvZTJvRG9jLnhtbFBLAQItABQABgAIAAAAIQAw Utpf3wAAAAkBAAAPAAAAAAAAAAAAAAAAAGkEAABkcnMvZG93bnJldi54bWxQSwUGAAAAAAQABADz AAAAdQUAAAAA " o:allowincell="f" strokecolor="white" strokeweight="0">
                        <v:textbox inset="0,0,0,0">
                          <w:txbxContent>
                            <w:p w14:paraId="7E844E74" w14:textId="1351EC47">
                              <w:pPr>
                                <w:tabs>
                                  <w:tab w:val="center" w:leader="none" w:pos="4819"/>
                                  <w:tab w:val="right" w:leader="none" w:pos="9638"/>
                                </w:tabs>
                                <w:spacing w:line="240"/>
                                <w:rPr>
                                  <w:rFonts w:ascii="Times New Roman" w:hAnsi="Times New Roman" w:eastAsia="Calibri" w:cs="Times New Roman"/>
                                  <w:szCs w:val="24"/>
                                </w:rPr>
                              </w:pPr>
                              <w:r>
                                <w:rPr>
                                  <w:rFonts w:ascii="Times New Roman" w:hAnsi="Times New Roman" w:eastAsia="Calibri" w:cs="Times New Roman"/>
                                  <w:szCs w:val="24"/>
                                </w:rPr>
                                <w:t>202</w:t>
                              </w:r>
                              <w:r>
                                <w:rPr>
                                  <w:rFonts w:ascii="Times New Roman" w:hAnsi="Times New Roman" w:eastAsia="Calibri" w:cs="Times New Roman"/>
                                  <w:szCs w:val="24"/>
                                  <w:lang w:val="en-US"/>
                                </w:rPr>
                                <w:t>1</w:t>
                              </w:r>
                              <w:r>
                                <w:rPr>
                                  <w:rFonts w:ascii="Times New Roman" w:hAnsi="Times New Roman" w:eastAsia="Calibri" w:cs="Times New Roman"/>
                                  <w:szCs w:val="24"/>
                                </w:rPr>
                                <w:t>-</w:t>
                              </w:r>
                            </w:p>
                          </w:txbxContent>
                        </v:textbox>
                      </v:rect>
                    </w:pict>
                  </mc:Fallback>
                </mc:AlternateContent>
                <mc:AlternateContent>
                  <mc:Choice Requires="wps">
                    <w:drawing>
                      <wp:anchor distT="0" distB="0" distL="114300" distR="114300" simplePos="0" relativeHeight="251658240" behindDoc="0" locked="0" layoutInCell="0" allowOverlap="1" wp14:anchorId="297FD6D5" wp14:editId="707E7310">
                        <wp:simplePos x="0" y="0"/>
                        <wp:positionH relativeFrom="column">
                          <wp:posOffset>3179445</wp:posOffset>
                        </wp:positionH>
                        <wp:positionV relativeFrom="paragraph">
                          <wp:posOffset>130175</wp:posOffset>
                        </wp:positionV>
                        <wp:extent cx="1028700" cy="196215"/>
                        <wp:effectExtent l="7620" t="6350" r="11430" b="698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196215"/>
                                </a:xfrm>
                                <a:prstGeom prst="rect">
                                  <a:avLst/>
                                </a:prstGeom>
                                <a:solidFill>
                                  <a:srgbClr val="FFFFFF"/>
                                </a:solidFill>
                                <a:ln w="0">
                                  <a:solidFill>
                                    <a:srgbClr val="FFFFFF"/>
                                  </a:solidFill>
                                  <a:miter lim="800000"/>
                                  <a:headEnd/>
                                  <a:tailEnd/>
                                </a:ln>
                              </wps:spPr>
                              <wps:txbx>
                                <w:txbxContent>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margin-left:250.35pt;margin-top:10.25pt;width:81pt;height:15.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xMhDEgIAADsEAAAOAAAAZHJzL2Uyb0RvYy54bWysU8GO0zAQvSPxD5bvNEkRS4marlZdipAW WLHwARPHSSwc24zdJuXrGTttd4HbCh+ssT3z/ObNzPp6GjQ7SPTKmooXi5wzaYRtlOkq/v3b7tWK Mx/ANKCtkRU/Ss+vNy9frEdXyqXtrW4kMgIxvhxdxfsQXJllXvRyAL+wThp6bC0OEOiIXdYgjIQ+ 6GyZ51fZaLFxaIX0nm5v50e+SfhtK0X40rZeBqYrTtxC2jHtddyzzRrKDsH1SpxowDNYDKAMfXqB uoUAbI/qH6hBCbTetmEh7JDZtlVCphwomyL/K5uHHpxMuZA43l1k8v8PVnw+3CNTTcWXnBkYqERf STQwnZbsdZRndL4krwd3jzFB7+6s+OGZsduevOQNoh17CQ2RKqJ/9kdAPHgKZfX4yTaEDvtgk1JT i0MEJA3YlApyvBREToEJuizy5eptTnUT9Fa8u1oWb9IXUJ6jHfrwQdqBRaPiSNwTOhzufIhsoDy7 JPZWq2antE4H7OqtRnYAao5dWid0/9RNGzZGZs+NH1SgFtdqqPgqjyt+AmXU7L1pkh1A6dkmvtqc RIy6zfqHqZ5SkZLCUdPaNkdSFe3c0TSBZPQWf3E2UjdX3P/cA0rO9EdDlYmtfzbwbNRnA4yg0IoH zmZzG+YR2TtUXU/IRcre2BuqXquSsI8sTnSpQ5Pep2mKI/D0nLweZ37zGwAA//8DAFBLAwQUAAYA CAAAACEAbeMpc98AAAAJAQAADwAAAGRycy9kb3ducmV2LnhtbEyPwU7DMAyG70i8Q2QkbixZxTpU mk4IiQMSO9BOSNyy1jQtjdM12VbeHnMaR/v/9PtzvpndIE44hc6ThuVCgUCqfdNRq2FXvdw9gAjR UGMGT6jhBwNsiuur3GSNP9M7nsrYCi6hkBkNNsYxkzLUFp0JCz8icfblJ2cij1Mrm8mcudwNMlEq lc50xBesGfHZYv1dHp2G/rD93KrdW1+Va1u/fhx671yl9e3N/PQIIuIcLzD86bM6FOy090dqghg0 rJRaM6ohUSsQDKRpwos9J8t7kEUu/39Q/AIAAP//AwBQSwECLQAUAAYACAAAACEAtoM4kv4AAADh AQAAEwAAAAAAAAAAAAAAAAAAAAAAW0NvbnRlbnRfVHlwZXNdLnhtbFBLAQItABQABgAIAAAAIQA4 /SH/1gAAAJQBAAALAAAAAAAAAAAAAAAAAC8BAABfcmVscy8ucmVsc1BLAQItABQABgAIAAAAIQBq xMhDEgIAADsEAAAOAAAAAAAAAAAAAAAAAC4CAABkcnMvZTJvRG9jLnhtbFBLAQItABQABgAIAAAA IQBt4ylz3wAAAAkBAAAPAAAAAAAAAAAAAAAAAGwEAABkcnMvZG93bnJldi54bWxQSwUGAAAAAAQA BADzAAAAeAUAAAAA " o:allowincell="f" strokecolor="white" strokeweight="0">
                        <v:textbox inset="0,0,0,0">
                          <w:txbxContent>
                            <w:p w14:paraId="2AD0F49E" w14:textId="77777777"/>
                            <w:pPr>
                              <w:spacing w:after="160" w:line="259"/>
                              <w:rPr>
                                <w:rFonts w:ascii="Calibri" w:hAnsi="Calibri" w:eastAsia="Calibri" w:cs="Times New Roman"/>
                                <w:sz w:val="22"/>
                                <w:szCs w:val="22"/>
                              </w:rPr>
                            </w:pPr>
                          </w:txbxContent>
                        </v:textbox>
                      </v:rect>
                    </w:pict>
                  </mc:Fallback>
                </mc:AlternateContent>
              </w:r>
            </w:p>
            <w:p>
              <w:pPr>
                <w:framePr w:w="9185" w:h="1077" w:hSpace="181" w:wrap="notBeside" w:vAnchor="text" w:hAnchor="page" w:x="1938" w:y="1503"/>
                <w:overflowPunct w:val="0"/>
                <w:spacing w:line="360" w:lineRule="auto"/>
                <w:jc w:val="center"/>
                <w:textAlignment w:val="baseline"/>
                <w:rPr>
                  <w:sz w:val="20"/>
                  <w:lang w:eastAsia="lt-LT"/>
                </w:rPr>
              </w:pPr>
              <w:r>
                <w:rPr>
                  <w:sz w:val="20"/>
                  <w:lang w:eastAsia="lt-LT"/>
                </w:rPr>
                <w:t xml:space="preserve">____________________ </w:t>
              </w:r>
              <w:r>
                <w:rPr>
                  <w:lang w:eastAsia="lt-LT"/>
                </w:rPr>
                <w:t xml:space="preserve">Nr. </w:t>
              </w:r>
              <w:r>
                <w:rPr>
                  <w:sz w:val="20"/>
                  <w:lang w:eastAsia="lt-LT"/>
                </w:rPr>
                <w:t>__________________</w:t>
              </w:r>
            </w:p>
            <w:p>
              <w:pPr>
                <w:framePr w:w="9185" w:h="1077" w:hSpace="181" w:wrap="notBeside" w:vAnchor="text" w:hAnchor="page" w:x="1938" w:y="1503"/>
                <w:overflowPunct w:val="0"/>
                <w:spacing w:line="360" w:lineRule="auto"/>
                <w:jc w:val="center"/>
                <w:textAlignment w:val="baseline"/>
                <w:rPr>
                  <w:lang w:eastAsia="lt-LT"/>
                </w:rPr>
              </w:pPr>
              <w:r>
                <w:rPr>
                  <w:lang w:eastAsia="lt-LT"/>
                </w:rPr>
                <w:t>Vilnius</w:t>
              </w:r>
            </w:p>
            <w:p>
              <w:pPr>
                <w:overflowPunct w:val="0"/>
                <w:jc w:val="both"/>
                <w:textAlignment w:val="baseline"/>
                <w:rPr>
                  <w:lang w:eastAsia="lt-LT"/>
                </w:rPr>
              </w:pPr>
            </w:p>
            <w:p>
              <w:pPr>
                <w:spacing w:line="360" w:lineRule="auto"/>
                <w:ind w:firstLine="567"/>
                <w:jc w:val="both"/>
                <w:rPr>
                  <w:szCs w:val="24"/>
                  <w:lang w:eastAsia="lt-LT"/>
                </w:rPr>
              </w:pPr>
              <w:r>
                <w:rPr>
                  <w:szCs w:val="24"/>
                  <w:lang w:eastAsia="lt-LT"/>
                </w:rPr>
                <w:t xml:space="preserve">Žemės ūkio ministro įsakymo „Dėl žemės ūkio ministro 2015 m. balandžio 20 d. įsakymo Nr. 3D-286 „Dėl Lietuvos kaimo plėtros 2014–2020 metų programos priemonės „Ekologinis ūkininkavimas“ įgyvendinimo taisyklių patvirtinimo“ pakeitimo“ projektas (toliau – Projektas) parengtas siekiant užtikrinti teisingą paramos pagal KPP priemonę „Ekologinis ūkininkavimas“ (toliau – Priemonė) administravimo procesą. </w:t>
              </w:r>
            </w:p>
            <w:p>
              <w:pPr>
                <w:spacing w:line="360" w:lineRule="auto"/>
                <w:ind w:firstLine="567"/>
                <w:jc w:val="both"/>
                <w:rPr>
                  <w:szCs w:val="24"/>
                  <w:lang w:eastAsia="lt-LT"/>
                </w:rPr>
              </w:pPr>
              <w:r>
                <w:rPr>
                  <w:szCs w:val="24"/>
                  <w:lang w:eastAsia="lt-LT"/>
                </w:rPr>
                <w:t>Projektas parengtas atsižvelgiant į VĮ Žemės ūkio informacijos ir kaimo verslo centro ir Nacionalinės mokėjimo agentūros prie Žemės ūkio ministerijos (toliau – NMA) pateiktus siūlymus.</w:t>
              </w:r>
            </w:p>
            <w:sdt>
              <w:sdtPr>
                <w:alias w:val="1 p."/>
                <w:tag w:val="part_8096b3ea127844589bc4536a10256af6"/>
                <w:lock w:val="sdtLocked"/>
                <w:richText/>
              </w:sdtPr>
              <w:sdtContent>
                <w:p>
                  <w:pPr>
                    <w:spacing w:line="360" w:lineRule="auto"/>
                    <w:ind w:firstLine="567"/>
                    <w:jc w:val="both"/>
                    <w:rPr>
                      <w:szCs w:val="24"/>
                      <w:lang w:eastAsia="lt-LT"/>
                    </w:rPr>
                  </w:pPr>
                  <w:sdt>
                    <w:sdtPr>
                      <w:alias w:val="Numeris"/>
                      <w:tag w:val="nr_8096b3ea127844589bc4536a10256af6"/>
                      <w:lock w:val="sdtLocked"/>
                      <w:richText/>
                    </w:sdtPr>
                    <w:sdtContent>
                      <w:r>
                        <w:rPr>
                          <w:szCs w:val="24"/>
                          <w:lang w:eastAsia="lt-LT"/>
                        </w:rPr>
                        <w:t>1</w:t>
                      </w:r>
                    </w:sdtContent>
                  </w:sdt>
                  <w:r>
                    <w:rPr>
                      <w:szCs w:val="24"/>
                      <w:lang w:eastAsia="lt-LT"/>
                    </w:rPr>
                    <w:t xml:space="preserve">. Atsižvelgiant į 2020 m. gruodžio 23 d. Europos Parlamento ir Tarybos reglamentą (ES) Nr. 2020/2220, kuriuo nustatomos tam tikros pereinamojo laikotarpio nuostatos dėl 2021 m. ir 2022 m. paramos iš Europos žemės ūkio fondo kaimo plėtrai (EŽŪFKP), ir Programos valdymo komiteto posėdžio metu (vykusio š. m. kovo 2 d.) priimtą sprendimą, žemės ūkio veiklos subjektai nuo 2021 m. galės prisiimti naujus įsipareigojimus 2 m. laikotarpiui, t. y. </w:t>
                  </w:r>
                  <w:r>
                    <w:rPr>
                      <w:szCs w:val="24"/>
                      <w:lang w:val="en-US" w:eastAsia="lt-LT"/>
                    </w:rPr>
                    <w:t>2021–2022 m</w:t>
                  </w:r>
                  <w:r>
                    <w:rPr>
                      <w:szCs w:val="24"/>
                      <w:lang w:eastAsia="lt-LT"/>
                    </w:rPr>
                    <w:t>. Atsižvelgiant į tai, tikslinamos tam tikros įgyvendinimo taisyklių nuostatos.</w:t>
                  </w:r>
                </w:p>
              </w:sdtContent>
            </w:sdt>
            <w:sdt>
              <w:sdtPr>
                <w:alias w:val="2 p."/>
                <w:tag w:val="part_77b362b6c4c048dbae58ff2cf7cbe159"/>
                <w:lock w:val="sdtLocked"/>
                <w:richText/>
              </w:sdtPr>
              <w:sdtContent>
                <w:p>
                  <w:pPr>
                    <w:spacing w:line="360" w:lineRule="auto"/>
                    <w:ind w:firstLine="567"/>
                    <w:jc w:val="both"/>
                    <w:rPr>
                      <w:szCs w:val="24"/>
                      <w:lang w:eastAsia="lt-LT"/>
                    </w:rPr>
                  </w:pPr>
                  <w:sdt>
                    <w:sdtPr>
                      <w:alias w:val="Numeris"/>
                      <w:tag w:val="nr_77b362b6c4c048dbae58ff2cf7cbe159"/>
                      <w:lock w:val="sdtLocked"/>
                      <w:richText/>
                    </w:sdtPr>
                    <w:sdtContent>
                      <w:r>
                        <w:rPr>
                          <w:szCs w:val="24"/>
                          <w:lang w:eastAsia="lt-LT"/>
                        </w:rPr>
                        <w:t>2</w:t>
                      </w:r>
                    </w:sdtContent>
                  </w:sdt>
                  <w:r>
                    <w:rPr>
                      <w:szCs w:val="24"/>
                      <w:lang w:eastAsia="lt-LT"/>
                    </w:rPr>
                    <w:t>. Priemonės įgyvendinimo taisyklės papildomos nauju 11.3 papunkčiu, nustatant, jog viršijus Priemonei įgyvendinti skirtas lėšas 2021 m. pateiktoms paraiškoms bei taikant paramos paraiškų reitingavimą, valdos dalijimas bus tikrinamas tik antraisiais įsipareigojimų metais.</w:t>
                  </w:r>
                </w:p>
              </w:sdtContent>
            </w:sdt>
            <w:sdt>
              <w:sdtPr>
                <w:alias w:val="3 p."/>
                <w:tag w:val="part_1d053df706974cafb6f29c8c720b8462"/>
                <w:lock w:val="sdtLocked"/>
                <w:richText/>
              </w:sdtPr>
              <w:sdtContent>
                <w:p>
                  <w:pPr>
                    <w:spacing w:line="360" w:lineRule="auto"/>
                    <w:ind w:firstLine="567"/>
                    <w:jc w:val="both"/>
                    <w:rPr>
                      <w:szCs w:val="24"/>
                      <w:lang w:eastAsia="lt-LT"/>
                    </w:rPr>
                  </w:pPr>
                  <w:sdt>
                    <w:sdtPr>
                      <w:alias w:val="Numeris"/>
                      <w:tag w:val="nr_1d053df706974cafb6f29c8c720b8462"/>
                      <w:lock w:val="sdtLocked"/>
                      <w:richText/>
                    </w:sdtPr>
                    <w:sdtContent>
                      <w:r>
                        <w:rPr>
                          <w:szCs w:val="24"/>
                          <w:lang w:eastAsia="lt-LT"/>
                        </w:rPr>
                        <w:t>3</w:t>
                      </w:r>
                    </w:sdtContent>
                  </w:sdt>
                  <w:r>
                    <w:rPr>
                      <w:szCs w:val="24"/>
                      <w:lang w:eastAsia="lt-LT"/>
                    </w:rPr>
                    <w:t xml:space="preserve">. Patikslinamas Priemonės įgyvendinimo taisyklių </w:t>
                  </w:r>
                  <w:r>
                    <w:rPr>
                      <w:color w:val="000000"/>
                      <w:szCs w:val="24"/>
                      <w:lang w:eastAsia="lt-LT"/>
                    </w:rPr>
                    <w:t>35</w:t>
                  </w:r>
                  <w:r>
                    <w:rPr>
                      <w:color w:val="000000"/>
                      <w:szCs w:val="24"/>
                      <w:vertAlign w:val="superscript"/>
                      <w:lang w:eastAsia="lt-LT"/>
                    </w:rPr>
                    <w:t>1</w:t>
                  </w:r>
                  <w:r>
                    <w:rPr>
                      <w:szCs w:val="24"/>
                      <w:lang w:eastAsia="lt-LT"/>
                    </w:rPr>
                    <w:t xml:space="preserve"> punktas pakeičiant, kad paraiškas pateikę pareiškėjai vertinami, ar yra susijusios įmonės / kartu veikiančių fizinių asmenų grupė, vadovaujantis Pareiškėjų sąsajų ir valdų skaidymo nustatymo metodika, patvirtinta 2020 m. kovo 5 d. žemės ūkio ministro įsakymu Nr. 3D-154 „Dėl Pareiškėjų sąsajų ir galimo žemės ūkio valdų skaidymo nustatymo metodikos patvirtinimo“.</w:t>
                  </w:r>
                </w:p>
              </w:sdtContent>
            </w:sdt>
            <w:sdt>
              <w:sdtPr>
                <w:alias w:val="4 p."/>
                <w:tag w:val="part_a2e4b63218324d52b3ec3255099c52ac"/>
                <w:lock w:val="sdtLocked"/>
                <w:richText/>
              </w:sdtPr>
              <w:sdtContent>
                <w:p>
                  <w:pPr>
                    <w:spacing w:line="360" w:lineRule="auto"/>
                    <w:ind w:firstLine="567"/>
                    <w:jc w:val="both"/>
                    <w:rPr>
                      <w:szCs w:val="24"/>
                      <w:lang w:eastAsia="lt-LT"/>
                    </w:rPr>
                  </w:pPr>
                  <w:sdt>
                    <w:sdtPr>
                      <w:alias w:val="Numeris"/>
                      <w:tag w:val="nr_a2e4b63218324d52b3ec3255099c52ac"/>
                      <w:lock w:val="sdtLocked"/>
                      <w:richText/>
                    </w:sdtPr>
                    <w:sdtContent>
                      <w:r>
                        <w:rPr>
                          <w:szCs w:val="24"/>
                          <w:lang w:eastAsia="lt-LT"/>
                        </w:rPr>
                        <w:t>4</w:t>
                      </w:r>
                    </w:sdtContent>
                  </w:sdt>
                  <w:r>
                    <w:rPr>
                      <w:szCs w:val="24"/>
                      <w:lang w:eastAsia="lt-LT"/>
                    </w:rPr>
                    <w:t>. Priemonės įgyvendinimo taisyklės papildomos 49.1–49.2 papunkčiais, nustatant, jog viršijus Priemonei įgyvendinti skirtas lėšas 2021 m. pateiktoms paraiškoms, papildomas paramos paraiškų vertinimas bus atliekamas reitinguojant. Reitingavimas bus taikomas tik naujai deklaruotiems plotams, kurie praėjusiais metais nebuvo sertifikuoti VšĮ „Ekoagros“. Pirmenybė teikiama mažiausiam pagal Priemonę naujai deklaruotam plotui (didėjimo linkme), už kurį praėjusiais metais nebuvo prašyta paramos. Agentūra, atlikusi 2021 m. pareiškėjų paraiškose deklaruoto ploto reitingavimą, per 20 darbo dienų informuoja pareiškėjus, kad vertinant jų paraiškas bei apskaičiuojant paramą pagal Priemonę bus taikomas reitingavimas.</w:t>
                  </w:r>
                </w:p>
              </w:sdtContent>
            </w:sdt>
            <w:sdt>
              <w:sdtPr>
                <w:alias w:val="5 p."/>
                <w:tag w:val="part_fe2b2654b2ea467ba12848e2310c38ed"/>
                <w:lock w:val="sdtLocked"/>
                <w:richText/>
              </w:sdtPr>
              <w:sdtContent>
                <w:p>
                  <w:pPr>
                    <w:spacing w:line="360" w:lineRule="auto"/>
                    <w:ind w:firstLine="567"/>
                    <w:jc w:val="both"/>
                    <w:rPr>
                      <w:szCs w:val="24"/>
                      <w:lang w:eastAsia="lt-LT"/>
                    </w:rPr>
                  </w:pPr>
                  <w:sdt>
                    <w:sdtPr>
                      <w:alias w:val="Numeris"/>
                      <w:tag w:val="nr_fe2b2654b2ea467ba12848e2310c38ed"/>
                      <w:lock w:val="sdtLocked"/>
                      <w:richText/>
                    </w:sdtPr>
                    <w:sdtContent>
                      <w:r>
                        <w:rPr>
                          <w:szCs w:val="24"/>
                          <w:lang w:val="en-US" w:eastAsia="lt-LT"/>
                        </w:rPr>
                        <w:t>5</w:t>
                      </w:r>
                    </w:sdtContent>
                  </w:sdt>
                  <w:r>
                    <w:rPr>
                      <w:szCs w:val="24"/>
                      <w:lang w:val="en-US" w:eastAsia="lt-LT"/>
                    </w:rPr>
                    <w:t xml:space="preserve">. </w:t>
                  </w:r>
                  <w:r>
                    <w:rPr>
                      <w:szCs w:val="24"/>
                      <w:lang w:eastAsia="lt-LT"/>
                    </w:rPr>
                    <w:t>Patikslinamas Priemonės įgyvendinimo taisyklių 56.5 papunktis dėl sankcijų netaikymo dėl sumažėjusių plotų, nustatant, kad tais atvejais, kai atnaujinama KŽS_DR5LT ploto būklė vietovėje nepakinta, minėtas plotas tampa paramai netinkamas dėl pasikeitusių teisės aktų reikalavimų.</w:t>
                  </w:r>
                </w:p>
              </w:sdtContent>
            </w:sdt>
            <w:sdt>
              <w:sdtPr>
                <w:alias w:val="6 p."/>
                <w:tag w:val="part_fb4426ee0c8042e5a49aa1ede0c08b4e"/>
                <w:lock w:val="sdtLocked"/>
                <w:richText/>
              </w:sdtPr>
              <w:sdtContent>
                <w:p>
                  <w:pPr>
                    <w:spacing w:line="360" w:lineRule="auto"/>
                    <w:ind w:firstLine="567"/>
                    <w:jc w:val="both"/>
                    <w:rPr>
                      <w:szCs w:val="24"/>
                      <w:lang w:eastAsia="lt-LT"/>
                    </w:rPr>
                  </w:pPr>
                  <w:sdt>
                    <w:sdtPr>
                      <w:alias w:val="Numeris"/>
                      <w:tag w:val="nr_fb4426ee0c8042e5a49aa1ede0c08b4e"/>
                      <w:lock w:val="sdtLocked"/>
                      <w:richText/>
                    </w:sdtPr>
                    <w:sdtContent>
                      <w:r>
                        <w:rPr>
                          <w:szCs w:val="24"/>
                          <w:lang w:eastAsia="lt-LT"/>
                        </w:rPr>
                        <w:t>6</w:t>
                      </w:r>
                    </w:sdtContent>
                  </w:sdt>
                  <w:r>
                    <w:rPr>
                      <w:szCs w:val="24"/>
                      <w:lang w:eastAsia="lt-LT"/>
                    </w:rPr>
                    <w:t>.</w:t>
                  </w:r>
                  <w:r>
                    <w:rPr>
                      <w:rFonts w:ascii="Calibri" w:eastAsia="Calibri" w:hAnsi="Calibri"/>
                      <w:sz w:val="22"/>
                      <w:szCs w:val="22"/>
                    </w:rPr>
                    <w:t xml:space="preserve"> </w:t>
                  </w:r>
                  <w:r>
                    <w:rPr>
                      <w:szCs w:val="24"/>
                      <w:lang w:eastAsia="lt-LT"/>
                    </w:rPr>
                    <w:t>Remiantis Lietuvos kaimo plėtros programų valdymo komiteto priimtais sprendiniais, šiuo metu siūloma mokėti paramą už šiuos augalus: pluoštines kanapes sėklai, bolivines balandas, rapsukus, judras, apynius, sorgus, putinų uogynus, ožerškius ir mišrias daržoves.</w:t>
                  </w:r>
                </w:p>
              </w:sdtContent>
            </w:sdt>
            <w:sdt>
              <w:sdtPr>
                <w:alias w:val="7 p."/>
                <w:tag w:val="part_ce3618235e864bed8b374654fc1a705c"/>
                <w:lock w:val="sdtLocked"/>
                <w:richText/>
              </w:sdtPr>
              <w:sdtContent>
                <w:p>
                  <w:pPr>
                    <w:spacing w:line="360" w:lineRule="auto"/>
                    <w:ind w:firstLine="567"/>
                    <w:jc w:val="both"/>
                    <w:rPr>
                      <w:szCs w:val="24"/>
                      <w:lang w:eastAsia="lt-LT"/>
                    </w:rPr>
                  </w:pPr>
                  <w:sdt>
                    <w:sdtPr>
                      <w:alias w:val="Numeris"/>
                      <w:tag w:val="nr_ce3618235e864bed8b374654fc1a705c"/>
                      <w:lock w:val="sdtLocked"/>
                      <w:richText/>
                    </w:sdtPr>
                    <w:sdtContent>
                      <w:r>
                        <w:rPr>
                          <w:szCs w:val="24"/>
                          <w:lang w:eastAsia="lt-LT"/>
                        </w:rPr>
                        <w:t>7</w:t>
                      </w:r>
                    </w:sdtContent>
                  </w:sdt>
                  <w:r>
                    <w:rPr>
                      <w:szCs w:val="24"/>
                      <w:lang w:eastAsia="lt-LT"/>
                    </w:rPr>
                    <w:t>. Atlikti kiti redakcinio pobūdžio, Lietuvos kaimo plėtros 2014–2020 metų programos Priemonės įgyvendinimo taisyklių pakeitimai.</w:t>
                  </w:r>
                </w:p>
                <w:p>
                  <w:pPr>
                    <w:spacing w:line="360" w:lineRule="auto"/>
                    <w:ind w:firstLine="567"/>
                    <w:jc w:val="both"/>
                    <w:rPr>
                      <w:szCs w:val="24"/>
                      <w:lang w:eastAsia="lt-LT"/>
                    </w:rPr>
                  </w:pPr>
                  <w:r>
                    <w:rPr>
                      <w:szCs w:val="24"/>
                      <w:lang w:eastAsia="lt-LT"/>
                    </w:rPr>
                    <w:t>Įsakymo projektas yra susijęs su Nacionalinės mokėjimo agentūros prie Žemės ūkio ministerijos, VšĮ „Ekoagros“ ir VĮ Žemės ūkio informacijos ir kaimo verslo centro veiklų įgyvendinimo sritimis.</w:t>
                  </w:r>
                </w:p>
                <w:p>
                  <w:pPr>
                    <w:spacing w:line="360" w:lineRule="auto"/>
                    <w:ind w:firstLine="567"/>
                    <w:jc w:val="both"/>
                    <w:rPr>
                      <w:szCs w:val="24"/>
                      <w:lang w:eastAsia="lt-LT"/>
                    </w:rPr>
                  </w:pPr>
                  <w:r>
                    <w:rPr>
                      <w:szCs w:val="24"/>
                      <w:lang w:eastAsia="lt-LT"/>
                    </w:rPr>
                    <w:t>Parengta Teisės aktų projektų antikorupcinio vertinimo pažyma.</w:t>
                  </w:r>
                </w:p>
                <w:p>
                  <w:pPr>
                    <w:spacing w:line="360" w:lineRule="auto"/>
                    <w:ind w:firstLine="567"/>
                    <w:jc w:val="both"/>
                    <w:rPr>
                      <w:szCs w:val="24"/>
                      <w:lang w:eastAsia="lt-LT"/>
                    </w:rPr>
                  </w:pPr>
                  <w:r>
                    <w:rPr>
                      <w:szCs w:val="24"/>
                      <w:lang w:eastAsia="lt-LT"/>
                    </w:rPr>
                    <w:t>Projektas bus skelbiamas Teisės aktų informacinės sistemos projektų registro posistemyje (TAIS) 10 d. d.</w:t>
                    <w:tab/>
                    <w:tab/>
                  </w:r>
                </w:p>
                <w:p>
                  <w:pPr>
                    <w:spacing w:line="360" w:lineRule="auto"/>
                    <w:ind w:firstLine="567"/>
                    <w:jc w:val="both"/>
                    <w:rPr>
                      <w:szCs w:val="24"/>
                      <w:lang w:eastAsia="lt-LT"/>
                    </w:rPr>
                  </w:pPr>
                  <w:r>
                    <w:rPr>
                      <w:szCs w:val="24"/>
                      <w:lang w:eastAsia="lt-LT"/>
                    </w:rPr>
                    <w:t>Patvirtinus Projektą, bus aiškiau išdėstytos Priemonės įgyvendinimo taisyklių nuostatos, vyks sklandesnis paramos paraiškų administravimas.</w:t>
                  </w:r>
                </w:p>
                <w:p>
                  <w:pPr>
                    <w:overflowPunct w:val="0"/>
                    <w:textAlignment w:val="baseline"/>
                    <w:rPr>
                      <w:sz w:val="22"/>
                      <w:szCs w:val="22"/>
                      <w:lang w:val="en-GB" w:eastAsia="lt-LT"/>
                    </w:rPr>
                  </w:pPr>
                </w:p>
                <w:p>
                  <w:pPr>
                    <w:overflowPunct w:val="0"/>
                    <w:textAlignment w:val="baseline"/>
                    <w:rPr>
                      <w:sz w:val="22"/>
                      <w:szCs w:val="22"/>
                      <w:lang w:val="en-GB" w:eastAsia="lt-LT"/>
                    </w:rPr>
                  </w:pPr>
                </w:p>
                <w:p>
                  <w:pPr>
                    <w:overflowPunct w:val="0"/>
                    <w:textAlignment w:val="baseline"/>
                    <w:rPr>
                      <w:sz w:val="22"/>
                      <w:szCs w:val="22"/>
                      <w:lang w:eastAsia="lt-LT"/>
                    </w:rPr>
                  </w:pPr>
                </w:p>
              </w:sdtContent>
            </w:sdt>
          </w:sdtContent>
        </w:sdt>
        <w:sdt>
          <w:sdtPr>
            <w:alias w:val="signatura"/>
            <w:tag w:val="part_31ed5ab1f82a45c995dc63d852fc89bd"/>
            <w:lock w:val="sdtLocked"/>
            <w:richText/>
          </w:sdtPr>
          <w:sdtContent>
            <w:p>
              <w:pPr>
                <w:overflowPunct w:val="0"/>
                <w:textAlignment w:val="baseline"/>
                <w:rPr>
                  <w:sz w:val="22"/>
                  <w:szCs w:val="22"/>
                  <w:lang w:eastAsia="lt-LT"/>
                </w:rPr>
              </w:pPr>
              <w:r>
                <w:rPr>
                  <w:szCs w:val="24"/>
                  <w:lang w:eastAsia="lt-LT"/>
                </w:rPr>
                <w:t xml:space="preserve">Vedėja </w:t>
                <w:tab/>
                <w:tab/>
                <w:tab/>
                <w:tab/>
                <w:tab/>
                <w:t xml:space="preserve">                         Rasa Motiejaitė</w:t>
              </w:r>
            </w:p>
            <w:p>
              <w:pPr>
                <w:overflowPunct w:val="0"/>
                <w:textAlignment w:val="baseline"/>
                <w:rPr>
                  <w:sz w:val="22"/>
                  <w:szCs w:val="22"/>
                  <w:lang w:eastAsia="lt-LT"/>
                </w:rPr>
              </w:pPr>
            </w:p>
            <w:p>
              <w:pPr>
                <w:overflowPunct w:val="0"/>
                <w:textAlignment w:val="baseline"/>
                <w:rPr>
                  <w:sz w:val="22"/>
                  <w:szCs w:val="22"/>
                  <w:lang w:eastAsia="lt-LT"/>
                </w:rPr>
              </w:pPr>
            </w:p>
            <w:p>
              <w:pPr>
                <w:overflowPunct w:val="0"/>
                <w:textAlignment w:val="baseline"/>
                <w:rPr>
                  <w:sz w:val="22"/>
                  <w:szCs w:val="22"/>
                  <w:lang w:eastAsia="lt-LT"/>
                </w:rPr>
              </w:pPr>
            </w:p>
            <w:p>
              <w:pPr>
                <w:overflowPunct w:val="0"/>
                <w:textAlignment w:val="baseline"/>
                <w:rPr>
                  <w:sz w:val="22"/>
                  <w:szCs w:val="22"/>
                  <w:lang w:eastAsia="lt-LT"/>
                </w:rPr>
              </w:pPr>
            </w:p>
            <w:p>
              <w:pPr>
                <w:overflowPunct w:val="0"/>
                <w:textAlignment w:val="baseline"/>
                <w:rPr>
                  <w:sz w:val="22"/>
                  <w:szCs w:val="22"/>
                  <w:lang w:eastAsia="lt-LT"/>
                </w:rPr>
              </w:pPr>
            </w:p>
            <w:p>
              <w:pPr>
                <w:overflowPunct w:val="0"/>
                <w:textAlignment w:val="baseline"/>
                <w:rPr>
                  <w:sz w:val="22"/>
                  <w:szCs w:val="22"/>
                  <w:lang w:eastAsia="lt-LT"/>
                </w:rPr>
              </w:pPr>
            </w:p>
            <w:p>
              <w:pPr>
                <w:overflowPunct w:val="0"/>
                <w:textAlignment w:val="baseline"/>
                <w:rPr>
                  <w:sz w:val="22"/>
                  <w:szCs w:val="22"/>
                  <w:lang w:eastAsia="lt-LT"/>
                </w:rPr>
              </w:pPr>
            </w:p>
            <w:p>
              <w:pPr>
                <w:overflowPunct w:val="0"/>
                <w:textAlignment w:val="baseline"/>
                <w:rPr>
                  <w:sz w:val="22"/>
                  <w:szCs w:val="22"/>
                  <w:lang w:eastAsia="lt-LT"/>
                </w:rPr>
              </w:pPr>
            </w:p>
            <w:p>
              <w:pPr>
                <w:overflowPunct w:val="0"/>
                <w:textAlignment w:val="baseline"/>
                <w:rPr>
                  <w:sz w:val="22"/>
                  <w:szCs w:val="22"/>
                  <w:lang w:eastAsia="lt-LT"/>
                </w:rPr>
              </w:pPr>
            </w:p>
            <w:p>
              <w:pPr>
                <w:overflowPunct w:val="0"/>
                <w:textAlignment w:val="baseline"/>
                <w:rPr>
                  <w:sz w:val="22"/>
                  <w:szCs w:val="22"/>
                  <w:lang w:eastAsia="lt-LT"/>
                </w:rPr>
              </w:pPr>
            </w:p>
            <w:p>
              <w:pPr>
                <w:overflowPunct w:val="0"/>
                <w:textAlignment w:val="baseline"/>
                <w:rPr>
                  <w:sz w:val="22"/>
                  <w:szCs w:val="22"/>
                  <w:lang w:eastAsia="lt-LT"/>
                </w:rPr>
              </w:pPr>
            </w:p>
            <w:p>
              <w:pPr>
                <w:overflowPunct w:val="0"/>
                <w:textAlignment w:val="baseline"/>
                <w:rPr>
                  <w:sz w:val="22"/>
                  <w:szCs w:val="22"/>
                  <w:lang w:eastAsia="lt-LT"/>
                </w:rPr>
              </w:pPr>
              <w:r>
                <w:rPr>
                  <w:szCs w:val="24"/>
                  <w:lang w:eastAsia="lt-LT"/>
                </w:rPr>
                <w:t>Agnė Prakapienė, tel. 239 1246 el. p. agne.prakapiene@zum.lt</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Calibri"/>
        <w:sz w:val="22"/>
        <w:szCs w:val="22"/>
      </w:rPr>
    </w:pPr>
    <w:r>
      <w:rPr>
        <w:rFonts w:eastAsia="Calibri"/>
        <w:sz w:val="22"/>
        <w:szCs w:val="22"/>
      </w:rPr>
      <w:fldChar w:fldCharType="begin"/>
    </w:r>
    <w:r>
      <w:rPr>
        <w:rFonts w:eastAsia="Calibri"/>
        <w:sz w:val="22"/>
        <w:szCs w:val="22"/>
      </w:rPr>
      <w:instrText>PAGE   \* MERGEFORMAT</w:instrText>
    </w:r>
    <w:r>
      <w:rPr>
        <w:rFonts w:eastAsia="Calibri"/>
        <w:sz w:val="22"/>
        <w:szCs w:val="22"/>
      </w:rPr>
      <w:fldChar w:fldCharType="separate"/>
    </w:r>
    <w:r>
      <w:rPr>
        <w:rFonts w:eastAsia="Calibri"/>
        <w:sz w:val="22"/>
        <w:szCs w:val="22"/>
      </w:rPr>
      <w:t>2</w:t>
    </w:r>
    <w:r>
      <w:rPr>
        <w:rFonts w:eastAsia="Calibri"/>
        <w:sz w:val="22"/>
        <w:szCs w:val="22"/>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4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1A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56746925">
      <w:bodyDiv w:val="1"/>
      <w:marLeft w:val="0"/>
      <w:marRight w:val="0"/>
      <w:marTop w:val="0"/>
      <w:marBottom w:val="0"/>
      <w:divBdr>
        <w:top w:val="none" w:sz="0" w:space="0" w:color="auto"/>
        <w:left w:val="none" w:sz="0" w:space="0" w:color="auto"/>
        <w:bottom w:val="none" w:sz="0" w:space="0" w:color="auto"/>
        <w:right w:val="none" w:sz="0" w:space="0" w:color="auto"/>
      </w:divBdr>
    </w:div>
    <w:div w:id="673142230">
      <w:bodyDiv w:val="1"/>
      <w:marLeft w:val="0"/>
      <w:marRight w:val="0"/>
      <w:marTop w:val="0"/>
      <w:marBottom w:val="0"/>
      <w:divBdr>
        <w:top w:val="none" w:sz="0" w:space="0" w:color="auto"/>
        <w:left w:val="none" w:sz="0" w:space="0" w:color="auto"/>
        <w:bottom w:val="none" w:sz="0" w:space="0" w:color="auto"/>
        <w:right w:val="none" w:sz="0" w:space="0" w:color="auto"/>
      </w:divBdr>
    </w:div>
    <w:div w:id="715004607">
      <w:bodyDiv w:val="1"/>
      <w:marLeft w:val="0"/>
      <w:marRight w:val="0"/>
      <w:marTop w:val="0"/>
      <w:marBottom w:val="0"/>
      <w:divBdr>
        <w:top w:val="none" w:sz="0" w:space="0" w:color="auto"/>
        <w:left w:val="none" w:sz="0" w:space="0" w:color="auto"/>
        <w:bottom w:val="none" w:sz="0" w:space="0" w:color="auto"/>
        <w:right w:val="none" w:sz="0" w:space="0" w:color="auto"/>
      </w:divBdr>
    </w:div>
    <w:div w:id="1850097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67ad604222147a2bb57a5cdeb125dbd" PartId="6940cf28629b427eb8b7e604a08898fd">
    <Part Type="skyrius" Nr="999" Title="AIŠKINAMASIS RAŠTAS DĖL ŽEMĖS ŪKIO MINISTRO 2015 M. BALANDŽIO 20 D. ĮSAKYMO NR. 3D-286 „DĖL LIETUVOS KAIMO PLĖTROS 2014–2020 METŲ PROGRAMOS PRIEMONĖS „EKOLOGINIS ŪKININKAVIMAS“ ĮGYVENDINIMO TAISYKLIŲ PATVIRTINIMO“ PAKEITIMO" DocPartId="df25f7e147334fe899e5674a6e1132d9" PartId="7792336372314c13a037767d9a104e1e">
      <Part Type="punktas" Nr="1" Abbr="1 p." DocPartId="68bd236815e7429d81391042f3e3619a" PartId="8096b3ea127844589bc4536a10256af6"/>
      <Part Type="punktas" Nr="2" Abbr="2 p." DocPartId="f39e52ca8a684638a618b597087b329e" PartId="77b362b6c4c048dbae58ff2cf7cbe159"/>
      <Part Type="punktas" Nr="3" Abbr="3 p." DocPartId="676dbc9ee1054e63be2601c05d9aff35" PartId="1d053df706974cafb6f29c8c720b8462"/>
      <Part Type="punktas" Nr="4" Abbr="4 p." DocPartId="7633b5c142024656a6eb6d91015853d2" PartId="a2e4b63218324d52b3ec3255099c52ac"/>
      <Part Type="punktas" Nr="5" Abbr="5 p." DocPartId="f0d7ce2ac98045c8834f0c29bd453334" PartId="fe2b2654b2ea467ba12848e2310c38ed"/>
      <Part Type="punktas" Nr="6" Abbr="6 p." DocPartId="094061930c754721988adb7f625d2a90" PartId="fb4426ee0c8042e5a49aa1ede0c08b4e"/>
      <Part Type="punktas" Nr="7" Abbr="7 p." DocPartId="1800eae9ef4b408b9d4e1760efa2d1ac" PartId="ce3618235e864bed8b374654fc1a705c"/>
    </Part>
    <Part Type="signatura" DocPartId="ebab2077289b4a1bbe66feca8d532430" PartId="31ed5ab1f82a45c995dc63d852fc89bd"/>
  </Part>
</Parts>
</file>

<file path=customXml/itemProps1.xml><?xml version="1.0" encoding="utf-8"?>
<ds:datastoreItem xmlns:ds="http://schemas.openxmlformats.org/officeDocument/2006/customXml" ds:itemID="{F7C463C3-7EB6-4C10-A99A-BAFA7EB2AA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528</Words>
  <Characters>3680</Characters>
  <Application>Microsoft Office Word</Application>
  <DocSecurity>4</DocSecurity>
  <Lines>81</Lines>
  <Paragraphs>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2021-03-16T11:02:00Z</dcterms:created>
  <dc:creator>Aira Šakūrienė</dc:creator>
  <lastModifiedBy>adlibuser</lastModifiedBy>
  <lastPrinted>2018-08-23T06:04:00Z</lastPrinted>
  <dcterms:modified xsi:type="dcterms:W3CDTF">2021-03-16T11:02:00Z</dcterms:modified>
  <revision>2</revision>
</coreProperties>
</file>