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920d72fa8d4e43bc884205c18ce8d2"/>
        <w:lock w:val="sdtLocked"/>
        <w:richText/>
      </w:sdtPr>
      <w:sdtContent>
        <w:p>
          <w:pPr>
            <w:tabs>
              <w:tab w:val="center" w:pos="4819"/>
              <w:tab w:val="right" w:pos="9638"/>
            </w:tabs>
            <w:rPr>
              <w:szCs w:val="24"/>
            </w:rPr>
          </w:pPr>
        </w:p>
        <w:p>
          <w:pPr>
            <w:jc w:val="center"/>
            <w:rPr>
              <w:b/>
              <w:caps/>
              <w:szCs w:val="24"/>
            </w:rPr>
          </w:pPr>
          <w:r>
            <w:rPr>
              <w:szCs w:val="24"/>
              <w:lang w:val="en-US"/>
            </w:rPr>
            <w:drawing>
              <wp:inline distT="0" distB="0" distL="0" distR="0" wp14:anchorId="51DB5EA9" wp14:editId="67CB64C4">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pPr>
            <w:jc w:val="center"/>
            <w:rPr>
              <w:b/>
              <w:caps/>
              <w:sz w:val="12"/>
              <w:szCs w:val="12"/>
            </w:rPr>
          </w:pPr>
        </w:p>
        <w:p>
          <w:pPr>
            <w:jc w:val="center"/>
            <w:rPr>
              <w:b/>
              <w:caps/>
              <w:szCs w:val="24"/>
            </w:rPr>
          </w:pPr>
          <w:r>
            <w:rPr>
              <w:b/>
              <w:caps/>
              <w:szCs w:val="24"/>
            </w:rPr>
            <w:t>LIETUVOS RESPUBLIKOS SEIMO</w:t>
          </w:r>
        </w:p>
        <w:p>
          <w:pPr>
            <w:jc w:val="center"/>
            <w:rPr>
              <w:b/>
              <w:caps/>
              <w:szCs w:val="24"/>
            </w:rPr>
          </w:pPr>
          <w:r>
            <w:rPr>
              <w:b/>
              <w:caps/>
              <w:szCs w:val="24"/>
            </w:rPr>
            <w:t xml:space="preserve">APLINKOS APSAUGOS KOMITETAS </w:t>
          </w:r>
        </w:p>
        <w:p>
          <w:pPr>
            <w:jc w:val="center"/>
            <w:rPr>
              <w:caps/>
              <w:szCs w:val="24"/>
            </w:rPr>
          </w:pPr>
        </w:p>
        <w:p>
          <w:pPr>
            <w:jc w:val="center"/>
            <w:rPr>
              <w:caps/>
              <w:szCs w:val="24"/>
            </w:rPr>
          </w:pPr>
        </w:p>
        <w:p>
          <w:pPr>
            <w:keepNext/>
            <w:jc w:val="center"/>
            <w:outlineLvl w:val="1"/>
            <w:rPr>
              <w:b/>
              <w:bCs/>
              <w:caps/>
              <w:szCs w:val="24"/>
            </w:rPr>
          </w:pPr>
          <w:r>
            <w:rPr>
              <w:b/>
              <w:szCs w:val="24"/>
            </w:rPr>
            <w:t>PAGRINDINIO KOMITETO IŠVADA</w:t>
          </w:r>
        </w:p>
        <w:p>
          <w:pPr>
            <w:keepNext/>
            <w:keepLines/>
            <w:jc w:val="center"/>
            <w:outlineLvl w:val="2"/>
            <w:rPr>
              <w:b/>
              <w:bCs/>
              <w:caps/>
              <w:szCs w:val="24"/>
            </w:rPr>
          </w:pPr>
          <w:r>
            <w:rPr>
              <w:b/>
              <w:bCs/>
              <w:caps/>
              <w:szCs w:val="24"/>
            </w:rPr>
            <w:t xml:space="preserve">DĖL LIETUVOS RESPUBLIKOS ŽEMĖS ĮSTATYMO NR. I-446 11 IR 40 STRAIPSNIŲ PAKEITIMO </w:t>
          </w:r>
        </w:p>
        <w:p>
          <w:pPr>
            <w:keepNext/>
            <w:keepLines/>
            <w:jc w:val="center"/>
            <w:outlineLvl w:val="2"/>
            <w:rPr>
              <w:b/>
              <w:bCs/>
              <w:caps/>
              <w:szCs w:val="24"/>
            </w:rPr>
          </w:pPr>
          <w:r>
            <w:rPr>
              <w:b/>
              <w:bCs/>
              <w:caps/>
              <w:szCs w:val="24"/>
            </w:rPr>
            <w:t>ĮSTATYMO PROJEKTO nr. xivp-4286</w:t>
          </w:r>
        </w:p>
        <w:p>
          <w:pPr>
            <w:jc w:val="center"/>
            <w:rPr>
              <w:szCs w:val="24"/>
            </w:rPr>
          </w:pPr>
        </w:p>
        <w:p>
          <w:pPr>
            <w:jc w:val="center"/>
            <w:rPr>
              <w:szCs w:val="24"/>
            </w:rPr>
          </w:pPr>
          <w:r>
            <w:rPr>
              <w:szCs w:val="24"/>
            </w:rPr>
            <w:t xml:space="preserve">2025-11-19  Nr. 107-P-51</w:t>
          </w:r>
        </w:p>
        <w:p>
          <w:pPr>
            <w:jc w:val="center"/>
            <w:rPr>
              <w:szCs w:val="24"/>
            </w:rPr>
          </w:pPr>
          <w:r>
            <w:rPr>
              <w:szCs w:val="24"/>
            </w:rPr>
            <w:t>Vilnius</w:t>
          </w:r>
        </w:p>
        <w:p>
          <w:pPr>
            <w:jc w:val="center"/>
            <w:rPr>
              <w:b/>
              <w:bCs/>
              <w:sz w:val="22"/>
              <w:szCs w:val="22"/>
            </w:rPr>
          </w:pPr>
        </w:p>
        <w:p>
          <w:pPr>
            <w:jc w:val="center"/>
            <w:rPr>
              <w:bCs/>
              <w:sz w:val="22"/>
              <w:szCs w:val="22"/>
            </w:rPr>
          </w:pPr>
        </w:p>
        <w:sdt>
          <w:sdtPr>
            <w:alias w:val="1 p."/>
            <w:tag w:val="part_b888a00b1ce04419893f65d1140fd7de"/>
            <w:lock w:val="sdtLocked"/>
            <w:richText/>
          </w:sdtPr>
          <w:sdtContent>
            <w:p>
              <w:pPr>
                <w:spacing w:line="276" w:lineRule="auto"/>
                <w:ind w:firstLine="720"/>
                <w:jc w:val="both"/>
                <w:rPr>
                  <w:szCs w:val="24"/>
                </w:rPr>
              </w:pPr>
              <w:sdt>
                <w:sdtPr>
                  <w:alias w:val="Numeris"/>
                  <w:tag w:val="nr_b888a00b1ce04419893f65d1140fd7de"/>
                  <w:lock w:val="sdtLocked"/>
                  <w:richText/>
                </w:sdtPr>
                <w:sdtContent>
                  <w:r>
                    <w:rPr>
                      <w:b/>
                      <w:szCs w:val="24"/>
                    </w:rPr>
                    <w:t>1</w:t>
                  </w:r>
                </w:sdtContent>
              </w:sdt>
              <w:r>
                <w:rPr>
                  <w:b/>
                  <w:szCs w:val="24"/>
                </w:rPr>
                <w:t>. Komiteto posėdyje dalyvavo:</w:t>
              </w:r>
              <w:r>
                <w:rPr>
                  <w:color w:val="000000"/>
                </w:rPr>
                <w:t xml:space="preserve"> komiteto pirmininkas Linas Jonauskas, komiteto nariai: Aistė Gedvilienė, Tomas Domarkas, Simonas Gentvilas, Alvydas Mockus, Audrius Radvilavičius, Ligita Girskienė, Tomas Tomilinas, Dalia Asanavičiūtė-Gružauskienė.</w:t>
              </w:r>
            </w:p>
          </w:sdtContent>
        </w:sdt>
        <w:sdt>
          <w:sdtPr>
            <w:alias w:val="2 p."/>
            <w:tag w:val="part_f7d39cf41eb6495ca2f4807033ef36cb"/>
            <w:lock w:val="sdtLocked"/>
            <w:richText/>
          </w:sdtPr>
          <w:sdtContent>
            <w:p>
              <w:pPr>
                <w:keepNext/>
                <w:spacing w:line="360" w:lineRule="auto"/>
                <w:ind w:firstLine="720"/>
                <w:jc w:val="both"/>
                <w:outlineLvl w:val="5"/>
                <w:rPr>
                  <w:szCs w:val="24"/>
                </w:rPr>
              </w:pPr>
              <w:sdt>
                <w:sdtPr>
                  <w:alias w:val="Numeris"/>
                  <w:tag w:val="nr_f7d39cf41eb6495ca2f4807033ef36cb"/>
                  <w:lock w:val="sdtLocked"/>
                  <w:richText/>
                </w:sdtPr>
                <w:sdtContent>
                  <w:r>
                    <w:rPr>
                      <w:b/>
                      <w:bCs/>
                      <w:szCs w:val="24"/>
                    </w:rPr>
                    <w:t>2</w:t>
                  </w:r>
                </w:sdtContent>
              </w:sdt>
              <w:r>
                <w:rPr>
                  <w:b/>
                  <w:bCs/>
                  <w:szCs w:val="24"/>
                </w:rPr>
                <w:t xml:space="preserve">. Ekspertų, konsultantų, specialistų išvados, pasiūlymai, pataisos, pastabos </w:t>
              </w:r>
              <w:r>
                <w:rPr>
                  <w:szCs w:val="24"/>
                </w:rP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5544"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81" w:type="dxa"/>
                    <w:vMerge w:val="restart"/>
                    <w:vAlign w:val="center"/>
                  </w:tcPr>
                  <w:p>
                    <w:pPr>
                      <w:jc w:val="center"/>
                      <w:rPr>
                        <w:sz w:val="22"/>
                        <w:szCs w:val="22"/>
                      </w:rPr>
                    </w:pPr>
                    <w:r>
                      <w:rPr>
                        <w:sz w:val="22"/>
                        <w:szCs w:val="22"/>
                      </w:rPr>
                      <w:t>Komiteto nuomonė</w:t>
                    </w:r>
                  </w:p>
                </w:tc>
                <w:tc>
                  <w:tcPr>
                    <w:tcW w:w="282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5544" w:type="dxa"/>
                    <w:vMerge/>
                  </w:tcPr>
                  <w:p>
                    <w:pPr>
                      <w:rPr>
                        <w:szCs w:val="24"/>
                      </w:rPr>
                    </w:pPr>
                  </w:p>
                </w:tc>
                <w:tc>
                  <w:tcPr>
                    <w:tcW w:w="1881" w:type="dxa"/>
                    <w:vMerge/>
                  </w:tcPr>
                  <w:p>
                    <w:pPr>
                      <w:rPr>
                        <w:szCs w:val="24"/>
                      </w:rPr>
                    </w:pPr>
                  </w:p>
                </w:tc>
                <w:tc>
                  <w:tcPr>
                    <w:tcW w:w="2824" w:type="dxa"/>
                    <w:vMerge/>
                  </w:tcPr>
                  <w:p>
                    <w:pPr>
                      <w:rPr>
                        <w:szCs w:val="24"/>
                      </w:rPr>
                    </w:pPr>
                  </w:p>
                </w:tc>
              </w:tr>
              <w:tr>
                <w:trPr>
                  <w:jc w:val="center"/>
                </w:trPr>
                <w:tc>
                  <w:tcPr>
                    <w:tcW w:w="570" w:type="dxa"/>
                  </w:tcPr>
                  <w:p>
                    <w:pPr>
                      <w:jc w:val="center"/>
                      <w:rPr>
                        <w:bCs/>
                        <w:sz w:val="22"/>
                        <w:szCs w:val="22"/>
                      </w:rPr>
                    </w:pPr>
                    <w:r>
                      <w:rPr>
                        <w:bCs/>
                        <w:sz w:val="22"/>
                        <w:szCs w:val="22"/>
                      </w:rPr>
                      <w:t>1.1.</w:t>
                    </w:r>
                  </w:p>
                </w:tc>
                <w:tc>
                  <w:tcPr>
                    <w:tcW w:w="2297" w:type="dxa"/>
                  </w:tcPr>
                  <w:p>
                    <w:pPr>
                      <w:jc w:val="both"/>
                      <w:rPr>
                        <w:bCs/>
                        <w:sz w:val="22"/>
                        <w:szCs w:val="22"/>
                      </w:rPr>
                    </w:pPr>
                    <w:r>
                      <w:rPr>
                        <w:bCs/>
                        <w:sz w:val="22"/>
                        <w:szCs w:val="22"/>
                      </w:rPr>
                      <w:t>Seimo kanceliarijos Teisės departamentas (2024-11-15)</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(11)</w:t>
                    </w:r>
                  </w:p>
                </w:tc>
                <w:tc>
                  <w:tcPr>
                    <w:tcW w:w="684" w:type="dxa"/>
                  </w:tcPr>
                  <w:p>
                    <w:pPr>
                      <w:jc w:val="center"/>
                      <w:rPr>
                        <w:b/>
                        <w:bCs/>
                        <w:sz w:val="22"/>
                        <w:szCs w:val="22"/>
                      </w:rPr>
                    </w:pPr>
                  </w:p>
                  <w:p>
                    <w:pPr>
                      <w:jc w:val="center"/>
                      <w:rPr>
                        <w:b/>
                        <w:bCs/>
                        <w:sz w:val="22"/>
                        <w:szCs w:val="22"/>
                      </w:rPr>
                    </w:pPr>
                    <w:r>
                      <w:rPr>
                        <w:b/>
                        <w:bCs/>
                        <w:sz w:val="22"/>
                        <w:szCs w:val="22"/>
                      </w:rPr>
                      <w:t>(5)</w:t>
                    </w:r>
                  </w:p>
                  <w:p>
                    <w:pPr>
                      <w:jc w:val="center"/>
                      <w:rPr>
                        <w:b/>
                        <w:bCs/>
                        <w:sz w:val="22"/>
                        <w:szCs w:val="22"/>
                      </w:rPr>
                    </w:pPr>
                  </w:p>
                </w:tc>
                <w:tc>
                  <w:tcPr>
                    <w:tcW w:w="684" w:type="dxa"/>
                  </w:tcPr>
                  <w:p>
                    <w:pPr>
                      <w:jc w:val="center"/>
                      <w:rPr>
                        <w:b/>
                        <w:bCs/>
                        <w:sz w:val="22"/>
                        <w:szCs w:val="22"/>
                      </w:rPr>
                    </w:pPr>
                  </w:p>
                  <w:p>
                    <w:pPr>
                      <w:jc w:val="center"/>
                      <w:rPr>
                        <w:b/>
                        <w:bCs/>
                        <w:sz w:val="22"/>
                        <w:szCs w:val="22"/>
                      </w:rPr>
                    </w:pPr>
                    <w:r>
                      <w:rPr>
                        <w:b/>
                        <w:bCs/>
                        <w:sz w:val="22"/>
                        <w:szCs w:val="22"/>
                      </w:rPr>
                      <w:t>(6)</w:t>
                    </w:r>
                  </w:p>
                </w:tc>
                <w:tc>
                  <w:tcPr>
                    <w:tcW w:w="5544" w:type="dxa"/>
                  </w:tcPr>
                  <w:p>
                    <w:pPr>
                      <w:ind w:firstLine="227"/>
                      <w:jc w:val="both"/>
                      <w:rPr>
                        <w:bCs/>
                        <w:sz w:val="22"/>
                        <w:szCs w:val="22"/>
                      </w:rPr>
                    </w:pPr>
                    <w:r>
                      <w:rPr>
                        <w:bCs/>
                        <w:sz w:val="22"/>
                        <w:szCs w:val="22"/>
                      </w:rPr>
                      <w:t>Įvertinę projekto atitiktį Konstitucijai, įstatymams, teisėkūros principams ir teisės technikos taisyklėms, teikiame šią pastabą.</w:t>
                    </w:r>
                  </w:p>
                  <w:p>
                    <w:pPr>
                      <w:ind w:firstLine="227"/>
                      <w:jc w:val="both"/>
                      <w:rPr>
                        <w:bCs/>
                        <w:sz w:val="22"/>
                        <w:szCs w:val="22"/>
                      </w:rPr>
                    </w:pPr>
                    <w:r>
                      <w:rPr>
                        <w:bCs/>
                        <w:sz w:val="22"/>
                        <w:szCs w:val="22"/>
                      </w:rPr>
                      <w:t>Atkreiptinas dėmesys, kad 2024 m. lapkričio 12 d Seimas priėmė Žemės įstatymo Nr. I- 446 2, 7, 8, 9, 10, 11, 15, 22, 23, 29, 32, 34, 35, 37, 40, 41, 43, 45, 47, 54, 55, 56, 64, 66 straipsnių ir VI</w:t>
                    </w:r>
                    <w:r>
                      <w:rPr>
                        <w:bCs/>
                        <w:sz w:val="22"/>
                        <w:szCs w:val="22"/>
                        <w:vertAlign w:val="superscript"/>
                      </w:rPr>
                      <w:t>1</w:t>
                    </w:r>
                    <w:r>
                      <w:rPr>
                        <w:bCs/>
                        <w:sz w:val="22"/>
                        <w:szCs w:val="22"/>
                      </w:rPr>
                      <w:t> skyriaus pakeitimo įstatymą Nr. XIV-3124 (toliau – įstatymas Nr. XIV-3124), kurio 6 straipsniu Žemės įstatymo 11 straipsnis buvo išdėstytas nauja redakcija. Pažymėtina, kad pagal įstatymo Nr. XIV-3124 26 straipsnio 1 dalies nuostatas šis įstatymas, kaip ir teikiamas įstatymo projektas, turėtų įsigalioti 2025 m. sausio 1 d. Taigi, priėmus teikiamo projekto 1 straipsniu siūlomą Žemės įstatymo 11 straipsnio 5 dalies 6 punkto pakeitimą, 2025 m. sausio 1 d. įsigaliotų dvi skirtingos Žemės įstatymo 11 straipsnio 5 dalies 6 punkto nuostatos. Atsižvelgiant į tai, teikiamo projekto nuostatas reikėtų suderinti su jau priimto įstatymo nuostatomis arba teikiamo projekto 3 straipsnyje reikėtų nustatyti vėlesnę įstatymo įsigaliojimo datą.</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2.</w:t>
                    </w:r>
                  </w:p>
                </w:tc>
                <w:tc>
                  <w:tcPr>
                    <w:tcW w:w="2297" w:type="dxa"/>
                  </w:tcPr>
                  <w:p>
                    <w:pPr>
                      <w:jc w:val="both"/>
                      <w:rPr>
                        <w:bCs/>
                        <w:sz w:val="22"/>
                        <w:szCs w:val="22"/>
                      </w:rPr>
                    </w:pPr>
                    <w:r>
                      <w:rPr>
                        <w:bCs/>
                        <w:sz w:val="22"/>
                        <w:szCs w:val="22"/>
                      </w:rPr>
                      <w:t xml:space="preserve">Lietuvos Respublikos teisingumo ministerijos Europos Sąjungos teisės grupė </w:t>
                    </w:r>
                  </w:p>
                  <w:p>
                    <w:pPr>
                      <w:jc w:val="both"/>
                      <w:rPr>
                        <w:bCs/>
                        <w:sz w:val="22"/>
                        <w:szCs w:val="22"/>
                      </w:rPr>
                    </w:pPr>
                    <w:r>
                      <w:rPr>
                        <w:bCs/>
                        <w:sz w:val="22"/>
                        <w:szCs w:val="22"/>
                      </w:rPr>
                      <w:t>(2024-11-13)</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Įvertinę Lietuvos Respublikos Seimo pateikto derinti Lietuvos Respublikos žemės įstatymo Nr. I-446 11 ir 40 straipsnių pakeitimo įstatymo projekto Nr. XIVP-4286 atitiktį Europos Sąjungos teisei, pažymime, kad pastabų ir pasiūlymų neturime.</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bl>
            <w:p>
              <w:pPr>
                <w:jc w:val="both"/>
                <w:rPr>
                  <w:sz w:val="20"/>
                  <w:szCs w:val="24"/>
                </w:rPr>
              </w:pPr>
            </w:p>
          </w:sdtContent>
        </w:sdt>
        <w:sdt>
          <w:sdtPr>
            <w:alias w:val="3 p."/>
            <w:tag w:val="part_c66fde09116a480aa1d420af0bc4bf5a"/>
            <w:lock w:val="sdtLocked"/>
            <w:richText/>
          </w:sdtPr>
          <w:sdtContent>
            <w:p>
              <w:pPr>
                <w:keepNext/>
                <w:ind w:firstLine="720"/>
                <w:jc w:val="both"/>
                <w:outlineLvl w:val="5"/>
                <w:rPr>
                  <w:b/>
                  <w:bCs/>
                  <w:szCs w:val="24"/>
                </w:rPr>
              </w:pPr>
              <w:sdt>
                <w:sdtPr>
                  <w:alias w:val="Numeris"/>
                  <w:tag w:val="nr_c66fde09116a480aa1d420af0bc4bf5a"/>
                  <w:lock w:val="sdtLocked"/>
                  <w:richText/>
                </w:sdtPr>
                <w:sdtContent>
                  <w:r>
                    <w:rPr>
                      <w:b/>
                      <w:bCs/>
                      <w:szCs w:val="24"/>
                    </w:rPr>
                    <w:t>3</w:t>
                  </w:r>
                </w:sdtContent>
              </w:sdt>
              <w:r>
                <w:rPr>
                  <w:b/>
                  <w:bCs/>
                  <w:szCs w:val="24"/>
                </w:rPr>
                <w:t xml:space="preserve">. Piliečių, asociacijų, politinių partijų, lobistų ir kitų suinteresuotų asmenų pasiūlymai: </w:t>
              </w:r>
              <w:r>
                <w:rPr>
                  <w:bCs/>
                  <w:szCs w:val="24"/>
                </w:rPr>
                <w:t>negauta.</w:t>
              </w:r>
              <w:r>
                <w:rPr>
                  <w:b/>
                  <w:bCs/>
                  <w:szCs w:val="24"/>
                </w:rPr>
                <w:t xml:space="preserve"> </w:t>
              </w:r>
            </w:p>
          </w:sdtContent>
        </w:sdt>
        <w:sdt>
          <w:sdtPr>
            <w:alias w:val="4 p."/>
            <w:tag w:val="part_bd771a7c8f0a4db4842ea5bd03ad92e7"/>
            <w:lock w:val="sdtLocked"/>
            <w:richText/>
          </w:sdtPr>
          <w:sdtContent>
            <w:p>
              <w:pPr>
                <w:keepNext/>
                <w:ind w:firstLine="720"/>
                <w:jc w:val="both"/>
                <w:outlineLvl w:val="5"/>
                <w:rPr>
                  <w:b/>
                  <w:bCs/>
                  <w:szCs w:val="24"/>
                </w:rPr>
              </w:pPr>
              <w:sdt>
                <w:sdtPr>
                  <w:alias w:val="Numeris"/>
                  <w:tag w:val="nr_bd771a7c8f0a4db4842ea5bd03ad92e7"/>
                  <w:lock w:val="sdtLocked"/>
                  <w:richText/>
                </w:sdtPr>
                <w:sdtContent>
                  <w:r>
                    <w:rPr>
                      <w:b/>
                      <w:bCs/>
                      <w:szCs w:val="24"/>
                    </w:rPr>
                    <w:t>4</w:t>
                  </w:r>
                </w:sdtContent>
              </w:sdt>
              <w:r>
                <w:rPr>
                  <w:b/>
                  <w:bCs/>
                  <w:szCs w:val="24"/>
                </w:rPr>
                <w:t>. Valstybės ir savivaldybių institucijų ir įstaigų pasiūlymai:</w:t>
              </w:r>
            </w:p>
            <w:p>
              <w:pPr>
                <w:jc w:val="both"/>
                <w:rPr>
                  <w:sz w:val="18"/>
                  <w:szCs w:val="18"/>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trPr>
                  <w:trHeight w:val="472"/>
                  <w:tblHeader/>
                  <w:jc w:val="center"/>
                </w:trPr>
                <w:tc>
                  <w:tcPr>
                    <w:tcW w:w="570" w:type="dxa"/>
                    <w:vMerge w:val="restart"/>
                    <w:vAlign w:val="center"/>
                  </w:tcPr>
                  <w:p>
                    <w:pP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5544"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81" w:type="dxa"/>
                    <w:vMerge w:val="restart"/>
                    <w:vAlign w:val="center"/>
                  </w:tcPr>
                  <w:p>
                    <w:pPr>
                      <w:jc w:val="center"/>
                      <w:rPr>
                        <w:sz w:val="22"/>
                        <w:szCs w:val="22"/>
                      </w:rPr>
                    </w:pPr>
                    <w:r>
                      <w:rPr>
                        <w:sz w:val="22"/>
                        <w:szCs w:val="22"/>
                      </w:rPr>
                      <w:t>Komiteto nuomonė</w:t>
                    </w:r>
                  </w:p>
                </w:tc>
                <w:tc>
                  <w:tcPr>
                    <w:tcW w:w="282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472"/>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5544" w:type="dxa"/>
                    <w:vMerge/>
                  </w:tcPr>
                  <w:p>
                    <w:pPr>
                      <w:rPr>
                        <w:szCs w:val="24"/>
                      </w:rPr>
                    </w:pPr>
                  </w:p>
                </w:tc>
                <w:tc>
                  <w:tcPr>
                    <w:tcW w:w="1881" w:type="dxa"/>
                    <w:vMerge/>
                  </w:tcPr>
                  <w:p>
                    <w:pPr>
                      <w:rPr>
                        <w:szCs w:val="24"/>
                      </w:rPr>
                    </w:pPr>
                  </w:p>
                </w:tc>
                <w:tc>
                  <w:tcPr>
                    <w:tcW w:w="2824"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2297" w:type="dxa"/>
                  </w:tcPr>
                  <w:p>
                    <w:pPr>
                      <w:jc w:val="both"/>
                      <w:rPr>
                        <w:bCs/>
                        <w:sz w:val="22"/>
                        <w:szCs w:val="22"/>
                      </w:rPr>
                    </w:pPr>
                    <w:r>
                      <w:rPr>
                        <w:bCs/>
                        <w:sz w:val="22"/>
                        <w:szCs w:val="22"/>
                      </w:rPr>
                      <w:t>Lietuvos Respublikos specialiųjų tyrimų tarnyba</w:t>
                    </w:r>
                  </w:p>
                  <w:p>
                    <w:pPr>
                      <w:jc w:val="both"/>
                      <w:rPr>
                        <w:bCs/>
                        <w:sz w:val="22"/>
                        <w:szCs w:val="22"/>
                      </w:rPr>
                    </w:pPr>
                    <w:r>
                      <w:rPr>
                        <w:bCs/>
                        <w:sz w:val="22"/>
                        <w:szCs w:val="22"/>
                      </w:rPr>
                      <w:t>(2025-01-28)</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Lietuvos Respublikos specialiųjų tyrimų tarnyba (toliau – Specialiųjų tyrimų tarnyba), vadovaudamasi Lietuvos Respublikos korupcijos prevencijos įstatymo 8 straipsnio 5 dalimi (įgyvendindama 2025 m. sausio 8 d. Lietuvos Respublikos Seimo valdybos sprendimą Nr. SV-S-27), atliko šių teisės aktų projektų antikorupcinį vertinimą:</w:t>
                    </w:r>
                  </w:p>
                  <w:p>
                    <w:pPr>
                      <w:ind w:firstLine="227"/>
                      <w:jc w:val="both"/>
                      <w:rPr>
                        <w:bCs/>
                        <w:sz w:val="22"/>
                        <w:szCs w:val="22"/>
                      </w:rPr>
                    </w:pPr>
                    <w:r>
                      <w:rPr>
                        <w:bCs/>
                        <w:sz w:val="22"/>
                        <w:szCs w:val="22"/>
                      </w:rPr>
                      <w:t>1.        Lietuvos Respublikos valstybės gynybos fondo įstatymo Nr. XIV-2775 4 straipsnio pakeitimo įstatymo projekto Nr. XIVP-4285;</w:t>
                    </w:r>
                  </w:p>
                  <w:p>
                    <w:pPr>
                      <w:ind w:firstLine="227"/>
                      <w:jc w:val="both"/>
                      <w:rPr>
                        <w:bCs/>
                        <w:sz w:val="22"/>
                        <w:szCs w:val="22"/>
                      </w:rPr>
                    </w:pPr>
                    <w:r>
                      <w:rPr>
                        <w:bCs/>
                        <w:sz w:val="22"/>
                        <w:szCs w:val="22"/>
                      </w:rPr>
                      <w:t>2.        Lietuvos Respublikos žemės įstatymo Nr. I-446 11 ir 40 straipsnių pakeitimo įstatymo projekto Nr. XIVP-4286;</w:t>
                    </w:r>
                  </w:p>
                  <w:p>
                    <w:pPr>
                      <w:ind w:firstLine="227"/>
                      <w:jc w:val="both"/>
                      <w:rPr>
                        <w:bCs/>
                        <w:sz w:val="22"/>
                        <w:szCs w:val="22"/>
                      </w:rPr>
                    </w:pPr>
                    <w:r>
                      <w:rPr>
                        <w:bCs/>
                        <w:sz w:val="22"/>
                        <w:szCs w:val="22"/>
                      </w:rPr>
                      <w:t>3.        Lietuvos Respublikos žemės ūkio paskirties žemės įsigijimo įstatymo Nr. IX-1314 4 straipsnio pakeitimo įstatymo projekto Nr. XIVP-4287.</w:t>
                    </w:r>
                  </w:p>
                  <w:p>
                    <w:pPr>
                      <w:ind w:firstLine="227"/>
                      <w:jc w:val="both"/>
                      <w:rPr>
                        <w:bCs/>
                        <w:sz w:val="22"/>
                        <w:szCs w:val="22"/>
                      </w:rPr>
                    </w:pPr>
                    <w:r>
                      <w:rPr>
                        <w:bCs/>
                        <w:sz w:val="22"/>
                        <w:szCs w:val="22"/>
                      </w:rPr>
                      <w:t>Siekdami teisinio reguliavimo išsamumo, nuoseklumo, skaidrumo ir atsparumo korupcijai, įvertinę numatytą teisinį reguliavimą, teikiame žemiau išdėstytas pastabas ir pasiūlymus.</w:t>
                    </w:r>
                  </w:p>
                  <w:p>
                    <w:pPr>
                      <w:ind w:firstLine="227"/>
                      <w:jc w:val="both"/>
                      <w:rPr>
                        <w:bCs/>
                        <w:sz w:val="22"/>
                        <w:szCs w:val="22"/>
                      </w:rPr>
                    </w:pPr>
                    <w:r>
                      <w:rPr>
                        <w:b/>
                        <w:bCs/>
                        <w:sz w:val="22"/>
                        <w:szCs w:val="22"/>
                      </w:rPr>
                      <w:t>I.         </w:t>
                    </w:r>
                    <w:r>
                      <w:rPr>
                        <w:bCs/>
                        <w:sz w:val="22"/>
                        <w:szCs w:val="22"/>
                      </w:rPr>
                      <w:t> </w:t>
                    </w:r>
                  </w:p>
                  <w:p>
                    <w:pPr>
                      <w:ind w:firstLine="227"/>
                      <w:jc w:val="both"/>
                      <w:rPr>
                        <w:bCs/>
                        <w:sz w:val="22"/>
                        <w:szCs w:val="22"/>
                      </w:rPr>
                    </w:pPr>
                    <w:r>
                      <w:rPr>
                        <w:bCs/>
                        <w:i/>
                        <w:iCs/>
                        <w:sz w:val="22"/>
                        <w:szCs w:val="22"/>
                      </w:rPr>
                      <w:t>Dėl Lietuvos Respublikos valstybės gynybos fondo įstatymo Nr. XIV-2775 4 straipsnio pakeitimo įstatymo projekto Nr. XIVP-4285 ir Lietuvos Respublikos žemės įstatymo Nr. I-446 11 ir 40 straipsnių pakeitimo įstatymo projekto Nr. XIVP-4286 antikorupcinių pastabų ir pasiūlymų neturime.</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bl>
            <w:p>
              <w:pPr>
                <w:rPr>
                  <w:sz w:val="18"/>
                  <w:szCs w:val="18"/>
                </w:rPr>
              </w:pPr>
            </w:p>
          </w:sdtContent>
        </w:sdt>
        <w:sdt>
          <w:sdtPr>
            <w:alias w:val="5 p."/>
            <w:tag w:val="part_3b2188be63b540dfbe9958e97ec62e7c"/>
            <w:lock w:val="sdtLocked"/>
            <w:richText/>
          </w:sdtPr>
          <w:sdtContent>
            <w:p>
              <w:pPr>
                <w:keepNext/>
                <w:ind w:firstLine="720"/>
                <w:outlineLvl w:val="5"/>
                <w:rPr>
                  <w:b/>
                  <w:bCs/>
                  <w:szCs w:val="24"/>
                </w:rPr>
              </w:pPr>
              <w:sdt>
                <w:sdtPr>
                  <w:alias w:val="Numeris"/>
                  <w:tag w:val="nr_3b2188be63b540dfbe9958e97ec62e7c"/>
                  <w:lock w:val="sdtLocked"/>
                  <w:richText/>
                </w:sdtPr>
                <w:sdtContent>
                  <w:r>
                    <w:rPr>
                      <w:b/>
                      <w:bCs/>
                      <w:szCs w:val="24"/>
                    </w:rPr>
                    <w:t>5</w:t>
                  </w:r>
                </w:sdtContent>
              </w:sdt>
              <w:r>
                <w:rPr>
                  <w:b/>
                  <w:bCs/>
                  <w:szCs w:val="24"/>
                </w:rPr>
                <w:t>. Subjektų, turinčių įstatymų leidybos iniciatyvos teisę, pasiūlymai:</w:t>
              </w:r>
            </w:p>
            <w:p>
              <w:pPr>
                <w:rPr>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trPr>
                  <w:cantSplit/>
                  <w:trHeight w:val="472"/>
                  <w:tblHeader/>
                  <w:jc w:val="center"/>
                </w:trPr>
                <w:tc>
                  <w:tcPr>
                    <w:tcW w:w="563"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1975" w:type="dxa"/>
                    <w:vMerge w:val="restart"/>
                    <w:vAlign w:val="center"/>
                  </w:tcPr>
                  <w:p>
                    <w:pPr>
                      <w:jc w:val="center"/>
                      <w:rPr>
                        <w:sz w:val="22"/>
                        <w:szCs w:val="22"/>
                      </w:rPr>
                    </w:pPr>
                    <w:r>
                      <w:rPr>
                        <w:sz w:val="22"/>
                        <w:szCs w:val="22"/>
                      </w:rPr>
                      <w:t>Pasiūlymo teikėjas, data</w:t>
                    </w:r>
                  </w:p>
                </w:tc>
                <w:tc>
                  <w:tcPr>
                    <w:tcW w:w="2019" w:type="dxa"/>
                    <w:gridSpan w:val="3"/>
                    <w:vAlign w:val="center"/>
                  </w:tcPr>
                  <w:p>
                    <w:pPr>
                      <w:jc w:val="center"/>
                      <w:rPr>
                        <w:sz w:val="22"/>
                        <w:szCs w:val="22"/>
                      </w:rPr>
                    </w:pPr>
                    <w:r>
                      <w:rPr>
                        <w:sz w:val="22"/>
                        <w:szCs w:val="22"/>
                      </w:rPr>
                      <w:t>Siūloma keisti</w:t>
                    </w:r>
                  </w:p>
                </w:tc>
                <w:tc>
                  <w:tcPr>
                    <w:tcW w:w="562" w:type="dxa"/>
                    <w:vMerge w:val="restart"/>
                    <w:textDirection w:val="btLr"/>
                    <w:vAlign w:val="center"/>
                  </w:tcPr>
                  <w:p>
                    <w:pPr>
                      <w:ind w:left="113" w:right="113"/>
                      <w:jc w:val="center"/>
                      <w:rPr>
                        <w:sz w:val="22"/>
                        <w:szCs w:val="22"/>
                      </w:rPr>
                    </w:pPr>
                    <w:r>
                      <w:rPr>
                        <w:sz w:val="22"/>
                        <w:szCs w:val="22"/>
                      </w:rPr>
                      <w:t>Pastabos</w:t>
                    </w:r>
                  </w:p>
                </w:tc>
                <w:tc>
                  <w:tcPr>
                    <w:tcW w:w="5434" w:type="dxa"/>
                    <w:vMerge w:val="restart"/>
                    <w:vAlign w:val="center"/>
                  </w:tcPr>
                  <w:p>
                    <w:pPr>
                      <w:jc w:val="center"/>
                      <w:rPr>
                        <w:sz w:val="22"/>
                        <w:szCs w:val="22"/>
                      </w:rPr>
                    </w:pPr>
                    <w:r>
                      <w:rPr>
                        <w:sz w:val="22"/>
                        <w:szCs w:val="22"/>
                      </w:rPr>
                      <w:t>Pasiūlymo turinys</w:t>
                    </w:r>
                  </w:p>
                </w:tc>
                <w:tc>
                  <w:tcPr>
                    <w:tcW w:w="1819" w:type="dxa"/>
                    <w:vMerge w:val="restart"/>
                    <w:vAlign w:val="center"/>
                  </w:tcPr>
                  <w:p>
                    <w:pPr>
                      <w:jc w:val="center"/>
                      <w:rPr>
                        <w:sz w:val="22"/>
                        <w:szCs w:val="22"/>
                      </w:rPr>
                    </w:pPr>
                    <w:r>
                      <w:rPr>
                        <w:sz w:val="22"/>
                        <w:szCs w:val="22"/>
                      </w:rPr>
                      <w:t>Komiteto nuomonė</w:t>
                    </w:r>
                  </w:p>
                </w:tc>
                <w:tc>
                  <w:tcPr>
                    <w:tcW w:w="2796"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579"/>
                  <w:tblHeader/>
                  <w:jc w:val="center"/>
                </w:trPr>
                <w:tc>
                  <w:tcPr>
                    <w:tcW w:w="563" w:type="dxa"/>
                    <w:vMerge/>
                  </w:tcPr>
                  <w:p>
                    <w:pPr>
                      <w:rPr>
                        <w:szCs w:val="24"/>
                      </w:rPr>
                    </w:pPr>
                  </w:p>
                </w:tc>
                <w:tc>
                  <w:tcPr>
                    <w:tcW w:w="1975" w:type="dxa"/>
                    <w:vMerge/>
                  </w:tcPr>
                  <w:p>
                    <w:pPr>
                      <w:rPr>
                        <w:szCs w:val="24"/>
                      </w:rPr>
                    </w:pPr>
                  </w:p>
                </w:tc>
                <w:tc>
                  <w:tcPr>
                    <w:tcW w:w="673" w:type="dxa"/>
                    <w:vAlign w:val="center"/>
                  </w:tcPr>
                  <w:p>
                    <w:pPr>
                      <w:jc w:val="center"/>
                      <w:rPr>
                        <w:sz w:val="20"/>
                        <w:szCs w:val="24"/>
                      </w:rPr>
                    </w:pPr>
                    <w:r>
                      <w:rPr>
                        <w:sz w:val="20"/>
                        <w:szCs w:val="24"/>
                      </w:rPr>
                      <w:t>str.</w:t>
                    </w:r>
                  </w:p>
                </w:tc>
                <w:tc>
                  <w:tcPr>
                    <w:tcW w:w="673" w:type="dxa"/>
                    <w:vAlign w:val="center"/>
                  </w:tcPr>
                  <w:p>
                    <w:pPr>
                      <w:jc w:val="center"/>
                      <w:rPr>
                        <w:sz w:val="20"/>
                        <w:szCs w:val="24"/>
                      </w:rPr>
                    </w:pPr>
                    <w:r>
                      <w:rPr>
                        <w:sz w:val="20"/>
                        <w:szCs w:val="24"/>
                      </w:rPr>
                      <w:t>str. d.</w:t>
                    </w:r>
                  </w:p>
                </w:tc>
                <w:tc>
                  <w:tcPr>
                    <w:tcW w:w="673" w:type="dxa"/>
                    <w:vAlign w:val="center"/>
                  </w:tcPr>
                  <w:p>
                    <w:pPr>
                      <w:jc w:val="center"/>
                      <w:rPr>
                        <w:sz w:val="20"/>
                        <w:szCs w:val="24"/>
                      </w:rPr>
                    </w:pPr>
                    <w:r>
                      <w:rPr>
                        <w:sz w:val="20"/>
                        <w:szCs w:val="24"/>
                      </w:rPr>
                      <w:t>p.</w:t>
                    </w:r>
                  </w:p>
                </w:tc>
                <w:tc>
                  <w:tcPr>
                    <w:tcW w:w="562" w:type="dxa"/>
                    <w:vMerge/>
                  </w:tcPr>
                  <w:p>
                    <w:pPr>
                      <w:rPr>
                        <w:szCs w:val="24"/>
                      </w:rPr>
                    </w:pPr>
                  </w:p>
                </w:tc>
                <w:tc>
                  <w:tcPr>
                    <w:tcW w:w="5434" w:type="dxa"/>
                    <w:vMerge/>
                  </w:tcPr>
                  <w:p>
                    <w:pPr>
                      <w:rPr>
                        <w:szCs w:val="24"/>
                      </w:rPr>
                    </w:pPr>
                  </w:p>
                </w:tc>
                <w:tc>
                  <w:tcPr>
                    <w:tcW w:w="1819" w:type="dxa"/>
                    <w:vMerge/>
                  </w:tcPr>
                  <w:p>
                    <w:pPr>
                      <w:rPr>
                        <w:szCs w:val="24"/>
                      </w:rPr>
                    </w:pPr>
                  </w:p>
                </w:tc>
                <w:tc>
                  <w:tcPr>
                    <w:tcW w:w="2796" w:type="dxa"/>
                    <w:vMerge/>
                  </w:tcPr>
                  <w:p>
                    <w:pPr>
                      <w:rPr>
                        <w:szCs w:val="24"/>
                      </w:rPr>
                    </w:pPr>
                  </w:p>
                </w:tc>
              </w:tr>
              <w:tr>
                <w:trPr>
                  <w:jc w:val="center"/>
                </w:trPr>
                <w:tc>
                  <w:tcPr>
                    <w:tcW w:w="563" w:type="dxa"/>
                  </w:tcPr>
                  <w:p>
                    <w:pPr>
                      <w:jc w:val="center"/>
                      <w:rPr>
                        <w:bCs/>
                        <w:sz w:val="22"/>
                        <w:szCs w:val="22"/>
                      </w:rPr>
                    </w:pPr>
                    <w:r>
                      <w:rPr>
                        <w:bCs/>
                        <w:sz w:val="22"/>
                        <w:szCs w:val="22"/>
                      </w:rPr>
                      <w:t>1.</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(11)</w:t>
                    </w:r>
                  </w:p>
                </w:tc>
                <w:tc>
                  <w:tcPr>
                    <w:tcW w:w="673" w:type="dxa"/>
                  </w:tcPr>
                  <w:p>
                    <w:pPr>
                      <w:jc w:val="center"/>
                      <w:rPr>
                        <w:b/>
                        <w:bCs/>
                        <w:sz w:val="22"/>
                        <w:szCs w:val="22"/>
                      </w:rPr>
                    </w:pPr>
                  </w:p>
                  <w:p>
                    <w:pPr>
                      <w:jc w:val="center"/>
                      <w:rPr>
                        <w:b/>
                        <w:bCs/>
                        <w:sz w:val="22"/>
                        <w:szCs w:val="22"/>
                      </w:rPr>
                    </w:pPr>
                    <w:r>
                      <w:rPr>
                        <w:b/>
                        <w:bCs/>
                        <w:sz w:val="22"/>
                        <w:szCs w:val="22"/>
                      </w:rPr>
                      <w:t>(5)</w:t>
                    </w:r>
                  </w:p>
                </w:tc>
                <w:tc>
                  <w:tcPr>
                    <w:tcW w:w="673" w:type="dxa"/>
                  </w:tcPr>
                  <w:p>
                    <w:pPr>
                      <w:jc w:val="center"/>
                      <w:rPr>
                        <w:b/>
                        <w:bCs/>
                        <w:sz w:val="22"/>
                        <w:szCs w:val="22"/>
                      </w:rPr>
                    </w:pPr>
                  </w:p>
                  <w:p>
                    <w:pPr>
                      <w:jc w:val="center"/>
                      <w:rPr>
                        <w:b/>
                        <w:bCs/>
                        <w:sz w:val="22"/>
                        <w:szCs w:val="22"/>
                      </w:rPr>
                    </w:pPr>
                    <w:r>
                      <w:rPr>
                        <w:b/>
                        <w:bCs/>
                        <w:sz w:val="22"/>
                        <w:szCs w:val="22"/>
                      </w:rPr>
                      <w:t>(6)</w:t>
                    </w: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Vadovaudamasi Lietuvos Respublikos Seimo statuto 138 straipsniu ir atsižvelgdama į Lietuvos Respublikos Seimo 2024 m. gruodžio 12 d. vakarinio posėdžio metu priimtą sprendimą (protokolas Nr. SPP-12), Lietuvos Respublikos Vyriausybė nutaria:</w:t>
                    </w:r>
                  </w:p>
                  <w:p>
                    <w:pPr>
                      <w:ind w:firstLine="227"/>
                      <w:jc w:val="both"/>
                      <w:rPr>
                        <w:bCs/>
                        <w:sz w:val="22"/>
                        <w:szCs w:val="22"/>
                      </w:rPr>
                    </w:pPr>
                    <w:r>
                      <w:rPr>
                        <w:bCs/>
                        <w:sz w:val="22"/>
                        <w:szCs w:val="22"/>
                      </w:rPr>
                      <w:t>3. Iš esmės pritarti Įstatymo projektui Nr. XIVP-4286, tačiau atsižvelgiant į tai, kad Žemės ūkio paskirties žemės įsigijimo įstatyme nustatyta ne tik valstybinės žemės ūkio paskirties žemės sklypų pardavimo bendraturčiams tvarka, bet ir atvejai, siūloma patikslinti Įstatymo projekto Nr. XIVP-4286 1 straipsnį, kuriuo siūloma pakeisti Žemės įstatymo 11 straipsnio 5 dalies 6 punktą,  ir jį išdėstyti taip:</w:t>
                    </w:r>
                  </w:p>
                  <w:p>
                    <w:pPr>
                      <w:ind w:firstLine="227"/>
                      <w:jc w:val="both"/>
                      <w:rPr>
                        <w:bCs/>
                        <w:sz w:val="22"/>
                        <w:szCs w:val="22"/>
                      </w:rPr>
                    </w:pPr>
                    <w:r>
                      <w:rPr>
                        <w:bCs/>
                        <w:sz w:val="22"/>
                        <w:szCs w:val="22"/>
                      </w:rPr>
                      <w:t>„6)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Valstybinės žemės ūkio paskirties žemės sklypai bendraturčiams parduodami Žemės ūkio paskirties žemės įsigijimo įstatyme numatytais atvejais ir tvarka;“.</w:t>
                    </w:r>
                  </w:p>
                </w:tc>
                <w:tc>
                  <w:tcPr>
                    <w:tcW w:w="1819" w:type="dxa"/>
                  </w:tcPr>
                  <w:p>
                    <w:pPr>
                      <w:jc w:val="center"/>
                      <w:rPr>
                        <w:bCs/>
                        <w:sz w:val="22"/>
                        <w:szCs w:val="22"/>
                      </w:rPr>
                    </w:pPr>
                    <w:r>
                      <w:rPr>
                        <w:bCs/>
                        <w:sz w:val="22"/>
                        <w:szCs w:val="22"/>
                      </w:rPr>
                      <w:t>Pritarti.</w:t>
                    </w:r>
                  </w:p>
                </w:tc>
                <w:tc>
                  <w:tcPr>
                    <w:tcW w:w="2796" w:type="dxa"/>
                  </w:tcPr>
                  <w:p>
                    <w:pPr>
                      <w:ind w:firstLine="227"/>
                      <w:jc w:val="both"/>
                      <w:rPr>
                        <w:bCs/>
                        <w:sz w:val="22"/>
                        <w:szCs w:val="22"/>
                      </w:rPr>
                    </w:pPr>
                  </w:p>
                </w:tc>
              </w:tr>
              <w:tr>
                <w:trPr>
                  <w:jc w:val="center"/>
                </w:trPr>
                <w:tc>
                  <w:tcPr>
                    <w:tcW w:w="563" w:type="dxa"/>
                  </w:tcPr>
                  <w:p>
                    <w:pPr>
                      <w:jc w:val="center"/>
                      <w:rPr>
                        <w:bCs/>
                        <w:sz w:val="22"/>
                        <w:szCs w:val="22"/>
                      </w:rPr>
                    </w:pPr>
                    <w:r>
                      <w:rPr>
                        <w:bCs/>
                        <w:sz w:val="22"/>
                        <w:szCs w:val="22"/>
                      </w:rPr>
                      <w:t>2.</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p>
                </w:tc>
                <w:tc>
                  <w:tcPr>
                    <w:tcW w:w="673" w:type="dxa"/>
                  </w:tcPr>
                  <w:p>
                    <w:pPr>
                      <w:jc w:val="center"/>
                      <w:rPr>
                        <w:b/>
                        <w:bCs/>
                        <w:sz w:val="22"/>
                        <w:szCs w:val="22"/>
                      </w:rPr>
                    </w:pPr>
                  </w:p>
                </w:tc>
                <w:tc>
                  <w:tcPr>
                    <w:tcW w:w="673" w:type="dxa"/>
                  </w:tcPr>
                  <w:p>
                    <w:pPr>
                      <w:jc w:val="center"/>
                      <w:rPr>
                        <w:b/>
                        <w:bCs/>
                        <w:sz w:val="22"/>
                        <w:szCs w:val="22"/>
                      </w:rPr>
                    </w:pP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4. Įstatymo projekto Nr. XIVP-4285 2 straipsnyje, Įstatymo projekto Nr. XIVP-4286 3 straipsnyje, Įstatymo projekto Nr. XIVP-4287 2 straipsnyje numatytas šių projektų įsigaliojimas – 2025 m. sausio 1 d.</w:t>
                    </w:r>
                  </w:p>
                  <w:p>
                    <w:pPr>
                      <w:ind w:firstLine="227"/>
                      <w:jc w:val="both"/>
                      <w:rPr>
                        <w:bCs/>
                        <w:sz w:val="22"/>
                        <w:szCs w:val="22"/>
                      </w:rPr>
                    </w:pPr>
                    <w:r>
                      <w:rPr>
                        <w:bCs/>
                        <w:sz w:val="22"/>
                        <w:szCs w:val="22"/>
                      </w:rPr>
                      <w:t>Atsižvelgiant į tai, kad projektai nepriimti iki 2025 m. sausio 1 d., siekiant tinkamai pasiruošti juos įgyvendinti, teisės aktuose nustatyta tvarka ir terminais parengti ir patvirtinti projektų nuostatoms įgyvendinti reikalingus teisės aktus, siūloma keisti Įstatymų projektų Nr. XIVP-4286 ir Nr. XIVP-4287 įsigaliojimo datą – nustatyti, kad jie įsigalioja 2025 m. liepos 1 d. Įstatymo projektą Nr. XIVP-4287 papildyti nuostatomis, pagal kurias Vyriausybė iki 2025 m. birželio 30 d. priima įstatymo įgyvendinamuosius teisės aktus, sandoriai dėl Įstatymo projekto Nr. XIVP-4287 1 straipsnio 3 ir 4 dalyse, kuriomis siūloma papildyti Žemės ūkio paskirties žemės įsigijimo įstatymo 4 straipsnio 2 dalį 5 ir 6 punktais, nurodytų leidžiamų parduoti žemės ūkio paskirties žemės sklypų įsigijimo gali būti sudaromi nuo 2025 m. liepos 1 d., nuosavybės perdavimą pagal priėmimo–perdavimo aktus ir atsiskaitymą už juos numatant ne anksčiau kaip nuo 2026 m. sausio 1 d.</w:t>
                    </w:r>
                  </w:p>
                </w:tc>
                <w:tc>
                  <w:tcPr>
                    <w:tcW w:w="1819" w:type="dxa"/>
                  </w:tcPr>
                  <w:p>
                    <w:pPr>
                      <w:jc w:val="center"/>
                      <w:rPr>
                        <w:bCs/>
                        <w:sz w:val="22"/>
                        <w:szCs w:val="22"/>
                      </w:rPr>
                    </w:pPr>
                    <w:r>
                      <w:rPr>
                        <w:bCs/>
                        <w:sz w:val="22"/>
                        <w:szCs w:val="22"/>
                      </w:rPr>
                      <w:t>Pritarti.</w:t>
                    </w:r>
                  </w:p>
                </w:tc>
                <w:tc>
                  <w:tcPr>
                    <w:tcW w:w="2796" w:type="dxa"/>
                  </w:tcPr>
                  <w:p>
                    <w:pPr>
                      <w:ind w:firstLine="227"/>
                      <w:jc w:val="both"/>
                      <w:rPr>
                        <w:bCs/>
                        <w:sz w:val="22"/>
                        <w:szCs w:val="22"/>
                      </w:rPr>
                    </w:pPr>
                    <w:r>
                      <w:rPr>
                        <w:bCs/>
                        <w:sz w:val="22"/>
                        <w:szCs w:val="22"/>
                      </w:rPr>
                      <w:t>Pasiūlymas nebeaktualus, nes įstatymų pakeitimų įsigaliojimo data patikslinta ir sutampa su kalendorinių metų pradžia.</w:t>
                    </w:r>
                  </w:p>
                </w:tc>
              </w:tr>
            </w:tbl>
            <w:p>
              <w:pPr>
                <w:keepNext/>
                <w:ind w:firstLine="720"/>
                <w:outlineLvl w:val="5"/>
                <w:rPr>
                  <w:b/>
                  <w:bCs/>
                  <w:sz w:val="20"/>
                  <w:szCs w:val="24"/>
                </w:rPr>
              </w:pPr>
            </w:p>
          </w:sdtContent>
        </w:sdt>
        <w:sdt>
          <w:sdtPr>
            <w:alias w:val="6 p."/>
            <w:tag w:val="part_ce23733758ad47ec85d25acce4f62b2b"/>
            <w:lock w:val="sdtLocked"/>
            <w:richText/>
          </w:sdtPr>
          <w:sdtContent>
            <w:p>
              <w:pPr>
                <w:keepNext/>
                <w:ind w:firstLine="720"/>
                <w:outlineLvl w:val="5"/>
                <w:rPr>
                  <w:b/>
                  <w:bCs/>
                  <w:szCs w:val="24"/>
                </w:rPr>
              </w:pPr>
              <w:sdt>
                <w:sdtPr>
                  <w:alias w:val="Numeris"/>
                  <w:tag w:val="nr_ce23733758ad47ec85d25acce4f62b2b"/>
                  <w:lock w:val="sdtLocked"/>
                  <w:richText/>
                </w:sdtPr>
                <w:sdtContent>
                  <w:r>
                    <w:rPr>
                      <w:b/>
                      <w:bCs/>
                      <w:szCs w:val="24"/>
                    </w:rPr>
                    <w:t>6</w:t>
                  </w:r>
                </w:sdtContent>
              </w:sdt>
              <w:r>
                <w:rPr>
                  <w:b/>
                  <w:bCs/>
                  <w:szCs w:val="24"/>
                </w:rPr>
                <w:t>. Seimo paskirtų papildomų komitetų / komisijų pasiūlymai:</w:t>
              </w:r>
            </w:p>
            <w:p>
              <w:pPr>
                <w:jc w:val="both"/>
                <w:rPr>
                  <w:sz w:val="20"/>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971"/>
                <w:gridCol w:w="672"/>
                <w:gridCol w:w="701"/>
                <w:gridCol w:w="672"/>
                <w:gridCol w:w="561"/>
                <w:gridCol w:w="5422"/>
                <w:gridCol w:w="1816"/>
                <w:gridCol w:w="2791"/>
              </w:tblGrid>
              <w:tr>
                <w:trPr>
                  <w:cantSplit/>
                  <w:trHeight w:val="472"/>
                  <w:tblHeader/>
                  <w:jc w:val="center"/>
                </w:trPr>
                <w:tc>
                  <w:tcPr>
                    <w:tcW w:w="562"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1971" w:type="dxa"/>
                    <w:vMerge w:val="restart"/>
                    <w:vAlign w:val="center"/>
                  </w:tcPr>
                  <w:p>
                    <w:pPr>
                      <w:jc w:val="center"/>
                      <w:rPr>
                        <w:sz w:val="22"/>
                        <w:szCs w:val="22"/>
                      </w:rPr>
                    </w:pPr>
                    <w:r>
                      <w:rPr>
                        <w:sz w:val="22"/>
                        <w:szCs w:val="22"/>
                      </w:rPr>
                      <w:t>Pasiūlymo teikėjas, data</w:t>
                    </w:r>
                  </w:p>
                </w:tc>
                <w:tc>
                  <w:tcPr>
                    <w:tcW w:w="2045" w:type="dxa"/>
                    <w:gridSpan w:val="3"/>
                    <w:vAlign w:val="center"/>
                  </w:tcPr>
                  <w:p>
                    <w:pPr>
                      <w:jc w:val="center"/>
                      <w:rPr>
                        <w:sz w:val="22"/>
                        <w:szCs w:val="22"/>
                      </w:rPr>
                    </w:pPr>
                    <w:r>
                      <w:rPr>
                        <w:sz w:val="22"/>
                        <w:szCs w:val="22"/>
                      </w:rPr>
                      <w:t>Siūloma keisti</w:t>
                    </w:r>
                  </w:p>
                </w:tc>
                <w:tc>
                  <w:tcPr>
                    <w:tcW w:w="561" w:type="dxa"/>
                    <w:vMerge w:val="restart"/>
                    <w:textDirection w:val="btLr"/>
                    <w:vAlign w:val="center"/>
                  </w:tcPr>
                  <w:p>
                    <w:pPr>
                      <w:ind w:left="113" w:right="113"/>
                      <w:jc w:val="center"/>
                      <w:rPr>
                        <w:sz w:val="22"/>
                        <w:szCs w:val="22"/>
                      </w:rPr>
                    </w:pPr>
                    <w:r>
                      <w:rPr>
                        <w:sz w:val="22"/>
                        <w:szCs w:val="22"/>
                      </w:rPr>
                      <w:t>Pastabos</w:t>
                    </w:r>
                  </w:p>
                </w:tc>
                <w:tc>
                  <w:tcPr>
                    <w:tcW w:w="5422" w:type="dxa"/>
                    <w:vMerge w:val="restart"/>
                    <w:vAlign w:val="center"/>
                  </w:tcPr>
                  <w:p>
                    <w:pPr>
                      <w:jc w:val="center"/>
                      <w:rPr>
                        <w:sz w:val="22"/>
                        <w:szCs w:val="22"/>
                      </w:rPr>
                    </w:pPr>
                    <w:r>
                      <w:rPr>
                        <w:sz w:val="22"/>
                        <w:szCs w:val="22"/>
                      </w:rPr>
                      <w:t>Pasiūlymo turinys</w:t>
                    </w:r>
                  </w:p>
                </w:tc>
                <w:tc>
                  <w:tcPr>
                    <w:tcW w:w="1816" w:type="dxa"/>
                    <w:vMerge w:val="restart"/>
                    <w:vAlign w:val="center"/>
                  </w:tcPr>
                  <w:p>
                    <w:pPr>
                      <w:jc w:val="center"/>
                      <w:rPr>
                        <w:sz w:val="22"/>
                        <w:szCs w:val="22"/>
                      </w:rPr>
                    </w:pPr>
                    <w:r>
                      <w:rPr>
                        <w:sz w:val="22"/>
                        <w:szCs w:val="22"/>
                      </w:rPr>
                      <w:t>Komiteto nuomonė</w:t>
                    </w:r>
                  </w:p>
                </w:tc>
                <w:tc>
                  <w:tcPr>
                    <w:tcW w:w="2791"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592"/>
                  <w:tblHeader/>
                  <w:jc w:val="center"/>
                </w:trPr>
                <w:tc>
                  <w:tcPr>
                    <w:tcW w:w="562" w:type="dxa"/>
                    <w:vMerge/>
                  </w:tcPr>
                  <w:p>
                    <w:pPr>
                      <w:rPr>
                        <w:sz w:val="22"/>
                        <w:szCs w:val="22"/>
                      </w:rPr>
                    </w:pPr>
                  </w:p>
                </w:tc>
                <w:tc>
                  <w:tcPr>
                    <w:tcW w:w="1971" w:type="dxa"/>
                    <w:vMerge/>
                  </w:tcPr>
                  <w:p>
                    <w:pPr>
                      <w:rPr>
                        <w:sz w:val="22"/>
                        <w:szCs w:val="22"/>
                      </w:rPr>
                    </w:pPr>
                  </w:p>
                </w:tc>
                <w:tc>
                  <w:tcPr>
                    <w:tcW w:w="672" w:type="dxa"/>
                    <w:vAlign w:val="center"/>
                  </w:tcPr>
                  <w:p>
                    <w:pPr>
                      <w:jc w:val="center"/>
                      <w:rPr>
                        <w:sz w:val="20"/>
                        <w:szCs w:val="24"/>
                      </w:rPr>
                    </w:pPr>
                    <w:r>
                      <w:rPr>
                        <w:sz w:val="20"/>
                        <w:szCs w:val="24"/>
                      </w:rPr>
                      <w:t>str.</w:t>
                    </w:r>
                  </w:p>
                </w:tc>
                <w:tc>
                  <w:tcPr>
                    <w:tcW w:w="701" w:type="dxa"/>
                    <w:vAlign w:val="center"/>
                  </w:tcPr>
                  <w:p>
                    <w:pPr>
                      <w:jc w:val="center"/>
                      <w:rPr>
                        <w:sz w:val="20"/>
                        <w:szCs w:val="24"/>
                      </w:rPr>
                    </w:pPr>
                    <w:r>
                      <w:rPr>
                        <w:sz w:val="20"/>
                        <w:szCs w:val="24"/>
                      </w:rPr>
                      <w:t>str. d.</w:t>
                    </w:r>
                  </w:p>
                </w:tc>
                <w:tc>
                  <w:tcPr>
                    <w:tcW w:w="672" w:type="dxa"/>
                    <w:vAlign w:val="center"/>
                  </w:tcPr>
                  <w:p>
                    <w:pPr>
                      <w:jc w:val="center"/>
                      <w:rPr>
                        <w:sz w:val="20"/>
                        <w:szCs w:val="24"/>
                      </w:rPr>
                    </w:pPr>
                    <w:r>
                      <w:rPr>
                        <w:sz w:val="20"/>
                        <w:szCs w:val="24"/>
                      </w:rPr>
                      <w:t>p.</w:t>
                    </w:r>
                  </w:p>
                </w:tc>
                <w:tc>
                  <w:tcPr>
                    <w:tcW w:w="561" w:type="dxa"/>
                    <w:vMerge/>
                  </w:tcPr>
                  <w:p>
                    <w:pPr>
                      <w:rPr>
                        <w:sz w:val="22"/>
                        <w:szCs w:val="22"/>
                      </w:rPr>
                    </w:pPr>
                  </w:p>
                </w:tc>
                <w:tc>
                  <w:tcPr>
                    <w:tcW w:w="5422" w:type="dxa"/>
                    <w:vMerge/>
                  </w:tcPr>
                  <w:p>
                    <w:pPr>
                      <w:rPr>
                        <w:sz w:val="22"/>
                        <w:szCs w:val="22"/>
                      </w:rPr>
                    </w:pPr>
                  </w:p>
                </w:tc>
                <w:tc>
                  <w:tcPr>
                    <w:tcW w:w="1816" w:type="dxa"/>
                    <w:vMerge/>
                  </w:tcPr>
                  <w:p>
                    <w:pPr>
                      <w:rPr>
                        <w:sz w:val="22"/>
                        <w:szCs w:val="22"/>
                      </w:rPr>
                    </w:pPr>
                  </w:p>
                </w:tc>
                <w:tc>
                  <w:tcPr>
                    <w:tcW w:w="2791" w:type="dxa"/>
                    <w:vMerge/>
                  </w:tcPr>
                  <w:p>
                    <w:pPr>
                      <w:rPr>
                        <w:sz w:val="22"/>
                        <w:szCs w:val="22"/>
                      </w:rPr>
                    </w:pPr>
                  </w:p>
                </w:tc>
              </w:tr>
              <w:tr>
                <w:trPr>
                  <w:jc w:val="center"/>
                </w:trPr>
                <w:tc>
                  <w:tcPr>
                    <w:tcW w:w="562" w:type="dxa"/>
                  </w:tcPr>
                  <w:p>
                    <w:pPr>
                      <w:jc w:val="center"/>
                      <w:rPr>
                        <w:bCs/>
                        <w:sz w:val="22"/>
                        <w:szCs w:val="22"/>
                      </w:rPr>
                    </w:pPr>
                    <w:r>
                      <w:rPr>
                        <w:bCs/>
                        <w:sz w:val="22"/>
                        <w:szCs w:val="22"/>
                      </w:rPr>
                      <w:t>1.</w:t>
                    </w:r>
                  </w:p>
                </w:tc>
                <w:tc>
                  <w:tcPr>
                    <w:tcW w:w="1971" w:type="dxa"/>
                  </w:tcPr>
                  <w:p>
                    <w:pPr>
                      <w:jc w:val="both"/>
                      <w:rPr>
                        <w:bCs/>
                        <w:sz w:val="22"/>
                        <w:szCs w:val="22"/>
                      </w:rPr>
                    </w:pPr>
                    <w:r>
                      <w:rPr>
                        <w:bCs/>
                        <w:sz w:val="22"/>
                        <w:szCs w:val="22"/>
                      </w:rPr>
                      <w:t xml:space="preserve">Kaimo reikalų komitetas </w:t>
                    </w:r>
                  </w:p>
                  <w:p>
                    <w:pPr>
                      <w:jc w:val="both"/>
                      <w:rPr>
                        <w:bCs/>
                        <w:sz w:val="22"/>
                        <w:szCs w:val="22"/>
                      </w:rPr>
                    </w:pPr>
                    <w:r>
                      <w:rPr>
                        <w:bCs/>
                        <w:sz w:val="22"/>
                        <w:szCs w:val="22"/>
                      </w:rPr>
                      <w:t>(2025-05-21)</w:t>
                    </w:r>
                  </w:p>
                </w:tc>
                <w:tc>
                  <w:tcPr>
                    <w:tcW w:w="672" w:type="dxa"/>
                  </w:tcPr>
                  <w:p>
                    <w:pPr>
                      <w:jc w:val="center"/>
                      <w:rPr>
                        <w:b/>
                        <w:bCs/>
                        <w:sz w:val="22"/>
                        <w:szCs w:val="22"/>
                      </w:rPr>
                    </w:pPr>
                  </w:p>
                </w:tc>
                <w:tc>
                  <w:tcPr>
                    <w:tcW w:w="701" w:type="dxa"/>
                  </w:tcPr>
                  <w:p>
                    <w:pPr>
                      <w:jc w:val="center"/>
                      <w:rPr>
                        <w:b/>
                        <w:bCs/>
                        <w:sz w:val="22"/>
                        <w:szCs w:val="22"/>
                      </w:rPr>
                    </w:pPr>
                  </w:p>
                </w:tc>
                <w:tc>
                  <w:tcPr>
                    <w:tcW w:w="672" w:type="dxa"/>
                  </w:tcPr>
                  <w:p>
                    <w:pPr>
                      <w:jc w:val="center"/>
                      <w:rPr>
                        <w:b/>
                        <w:bCs/>
                        <w:sz w:val="22"/>
                        <w:szCs w:val="22"/>
                      </w:rPr>
                    </w:pPr>
                  </w:p>
                </w:tc>
                <w:tc>
                  <w:tcPr>
                    <w:tcW w:w="561" w:type="dxa"/>
                  </w:tcPr>
                  <w:p>
                    <w:pPr>
                      <w:jc w:val="center"/>
                      <w:rPr>
                        <w:bCs/>
                        <w:sz w:val="22"/>
                        <w:szCs w:val="22"/>
                      </w:rPr>
                    </w:pPr>
                  </w:p>
                </w:tc>
                <w:tc>
                  <w:tcPr>
                    <w:tcW w:w="5422" w:type="dxa"/>
                  </w:tcPr>
                  <w:p>
                    <w:pPr>
                      <w:jc w:val="both"/>
                      <w:rPr>
                        <w:bCs/>
                        <w:sz w:val="22"/>
                        <w:szCs w:val="22"/>
                      </w:rPr>
                    </w:pPr>
                    <w:r>
                      <w:rPr>
                        <w:bCs/>
                        <w:sz w:val="22"/>
                        <w:szCs w:val="22"/>
                      </w:rPr>
                      <w:t>Pritarti iniciatorių pateiktam Lietuvos Respublikos žemės įstatymo Nr. I-446 11 ir 40 straipsnių pakeitimo įstatymo projektui Nr. XIVP-4286.</w:t>
                    </w:r>
                  </w:p>
                  <w:p>
                    <w:pPr>
                      <w:jc w:val="both"/>
                      <w:rPr>
                        <w:bCs/>
                        <w:sz w:val="22"/>
                        <w:szCs w:val="22"/>
                      </w:rPr>
                    </w:pPr>
                    <w:r>
                      <w:rPr>
                        <w:bCs/>
                        <w:sz w:val="22"/>
                        <w:szCs w:val="22"/>
                      </w:rPr>
                      <w:t>Siūlyti pagrindiniam Aplinkos apsaugos komitetui tobulinti įstatymo projektą pagal Seimo kanceliarijos Teisės departamento pastabas ir Vyriausybės pasiūlymus.</w:t>
                    </w:r>
                  </w:p>
                </w:tc>
                <w:tc>
                  <w:tcPr>
                    <w:tcW w:w="1816" w:type="dxa"/>
                  </w:tcPr>
                  <w:p>
                    <w:pPr>
                      <w:jc w:val="center"/>
                      <w:rPr>
                        <w:bCs/>
                        <w:sz w:val="22"/>
                        <w:szCs w:val="22"/>
                      </w:rPr>
                    </w:pPr>
                    <w:r>
                      <w:rPr>
                        <w:bCs/>
                        <w:sz w:val="22"/>
                        <w:szCs w:val="22"/>
                      </w:rPr>
                      <w:t xml:space="preserve">Pritarti. </w:t>
                    </w:r>
                  </w:p>
                </w:tc>
                <w:tc>
                  <w:tcPr>
                    <w:tcW w:w="2791" w:type="dxa"/>
                  </w:tcPr>
                  <w:p>
                    <w:pPr>
                      <w:ind w:firstLine="227"/>
                      <w:jc w:val="both"/>
                      <w:rPr>
                        <w:bCs/>
                        <w:sz w:val="22"/>
                        <w:szCs w:val="22"/>
                      </w:rPr>
                    </w:pPr>
                  </w:p>
                </w:tc>
              </w:tr>
            </w:tbl>
            <w:p>
              <w:pPr>
                <w:ind w:firstLine="720"/>
                <w:jc w:val="both"/>
                <w:rPr>
                  <w:szCs w:val="24"/>
                </w:rPr>
              </w:pPr>
            </w:p>
          </w:sdtContent>
        </w:sdt>
        <w:sdt>
          <w:sdtPr>
            <w:alias w:val="7 p."/>
            <w:tag w:val="part_552afa53722e4d33b9a468281a9852ab"/>
            <w:lock w:val="sdtLocked"/>
            <w:richText/>
          </w:sdtPr>
          <w:sdtContent>
            <w:p>
              <w:pPr>
                <w:ind w:firstLine="720"/>
                <w:jc w:val="both"/>
                <w:rPr>
                  <w:szCs w:val="24"/>
                </w:rPr>
              </w:pPr>
              <w:sdt>
                <w:sdtPr>
                  <w:alias w:val="Numeris"/>
                  <w:tag w:val="nr_552afa53722e4d33b9a468281a9852ab"/>
                  <w:lock w:val="sdtLocked"/>
                  <w:richText/>
                </w:sdtPr>
                <w:sdtContent>
                  <w:r>
                    <w:rPr>
                      <w:b/>
                      <w:szCs w:val="24"/>
                    </w:rPr>
                    <w:t>7</w:t>
                  </w:r>
                </w:sdtContent>
              </w:sdt>
              <w:r>
                <w:rPr>
                  <w:b/>
                  <w:szCs w:val="24"/>
                </w:rPr>
                <w:t>. Komiteto sprendimas ir pasiūlymai:</w:t>
              </w:r>
            </w:p>
            <w:sdt>
              <w:sdtPr>
                <w:alias w:val="7.1 pp."/>
                <w:tag w:val="part_0133d81158b7496082884b30c01f9652"/>
                <w:lock w:val="sdtLocked"/>
                <w:richText/>
              </w:sdtPr>
              <w:sdtContent>
                <w:p>
                  <w:pPr>
                    <w:ind w:firstLine="720"/>
                    <w:jc w:val="both"/>
                    <w:rPr>
                      <w:szCs w:val="24"/>
                    </w:rPr>
                  </w:pPr>
                  <w:sdt>
                    <w:sdtPr>
                      <w:alias w:val="Numeris"/>
                      <w:tag w:val="nr_0133d81158b7496082884b30c01f9652"/>
                      <w:lock w:val="sdtLocked"/>
                      <w:richText/>
                    </w:sdtPr>
                    <w:sdtContent>
                      <w:r>
                        <w:rPr>
                          <w:b/>
                          <w:szCs w:val="24"/>
                        </w:rPr>
                        <w:t>7.1</w:t>
                      </w:r>
                    </w:sdtContent>
                  </w:sdt>
                  <w:r>
                    <w:rPr>
                      <w:b/>
                      <w:szCs w:val="24"/>
                    </w:rPr>
                    <w:t>. Sprendimas</w:t>
                  </w:r>
                  <w:r>
                    <w:rPr>
                      <w:szCs w:val="24"/>
                    </w:rPr>
                    <w:t>: pritarti komiteto patobulintam įstatymo projektui, komiteto išvadoms dėl šio projekto ir teikti Lietuvos Respublikos žemės įstatymo Nr. I-446 11 ir 40 straipsnių pakeitimo įstatymo projektą Nr. XIVP-4286(2)</w:t>
                  </w:r>
                  <w:r>
                    <w:rPr>
                      <w:bCs/>
                      <w:szCs w:val="24"/>
                    </w:rPr>
                    <w:t>,</w:t>
                  </w:r>
                  <w:r>
                    <w:rPr>
                      <w:szCs w:val="24"/>
                    </w:rPr>
                    <w:t xml:space="preserve"> jo lyginamąjį variantą.</w:t>
                  </w:r>
                </w:p>
              </w:sdtContent>
            </w:sdt>
            <w:sdt>
              <w:sdtPr>
                <w:alias w:val="7.2 pp."/>
                <w:tag w:val="part_aa11622a78a147789f7241f8845473ce"/>
                <w:lock w:val="sdtLocked"/>
                <w:richText/>
              </w:sdtPr>
              <w:sdtContent>
                <w:p>
                  <w:pPr>
                    <w:ind w:firstLine="720"/>
                    <w:jc w:val="both"/>
                    <w:rPr>
                      <w:szCs w:val="24"/>
                    </w:rPr>
                  </w:pPr>
                  <w:sdt>
                    <w:sdtPr>
                      <w:alias w:val="Numeris"/>
                      <w:tag w:val="nr_aa11622a78a147789f7241f8845473ce"/>
                      <w:lock w:val="sdtLocked"/>
                      <w:richText/>
                    </w:sdtPr>
                    <w:sdtContent>
                      <w:r>
                        <w:rPr>
                          <w:b/>
                          <w:szCs w:val="24"/>
                        </w:rPr>
                        <w:t>7.2</w:t>
                      </w:r>
                    </w:sdtContent>
                  </w:sdt>
                  <w:r>
                    <w:rPr>
                      <w:b/>
                      <w:szCs w:val="24"/>
                    </w:rPr>
                    <w:t xml:space="preserve">. Pasiūlymai: </w:t>
                  </w:r>
                  <w:r>
                    <w:rPr>
                      <w:szCs w:val="24"/>
                    </w:rPr>
                    <w:t>nėra.</w:t>
                  </w:r>
                </w:p>
              </w:sdtContent>
            </w:sdt>
          </w:sdtContent>
        </w:sdt>
        <w:sdt>
          <w:sdtPr>
            <w:alias w:val="8 p."/>
            <w:tag w:val="part_4b6d84c73b004a0e93bb519fe3c70a1c"/>
            <w:lock w:val="sdtLocked"/>
            <w:richText/>
          </w:sdtPr>
          <w:sdtContent>
            <w:p>
              <w:pPr>
                <w:ind w:firstLine="720"/>
                <w:jc w:val="both"/>
                <w:rPr>
                  <w:szCs w:val="24"/>
                </w:rPr>
              </w:pPr>
              <w:sdt>
                <w:sdtPr>
                  <w:alias w:val="Numeris"/>
                  <w:tag w:val="nr_4b6d84c73b004a0e93bb519fe3c70a1c"/>
                  <w:lock w:val="sdtLocked"/>
                  <w:richText/>
                </w:sdtPr>
                <w:sdtContent>
                  <w:r>
                    <w:rPr>
                      <w:b/>
                      <w:szCs w:val="24"/>
                    </w:rPr>
                    <w:t>8</w:t>
                  </w:r>
                </w:sdtContent>
              </w:sdt>
              <w:r>
                <w:rPr>
                  <w:b/>
                  <w:szCs w:val="24"/>
                </w:rPr>
                <w:t>. Balsavimo rezultatai:</w:t>
              </w:r>
              <w:r>
                <w:rPr>
                  <w:szCs w:val="24"/>
                </w:rPr>
                <w:t xml:space="preserve"> pritarta bendru sutarimu.</w:t>
              </w:r>
            </w:p>
          </w:sdtContent>
        </w:sdt>
        <w:sdt>
          <w:sdtPr>
            <w:alias w:val="9 p."/>
            <w:tag w:val="part_2e59b27b2043493a96bcf8bc8b62258e"/>
            <w:lock w:val="sdtLocked"/>
            <w:richText/>
          </w:sdtPr>
          <w:sdtContent>
            <w:p>
              <w:pPr>
                <w:ind w:firstLine="720"/>
                <w:jc w:val="both"/>
                <w:rPr>
                  <w:szCs w:val="24"/>
                </w:rPr>
              </w:pPr>
              <w:sdt>
                <w:sdtPr>
                  <w:alias w:val="Numeris"/>
                  <w:tag w:val="nr_2e59b27b2043493a96bcf8bc8b62258e"/>
                  <w:lock w:val="sdtLocked"/>
                  <w:richText/>
                </w:sdtPr>
                <w:sdtContent>
                  <w:r>
                    <w:rPr>
                      <w:b/>
                      <w:szCs w:val="24"/>
                    </w:rPr>
                    <w:t>9</w:t>
                  </w:r>
                </w:sdtContent>
              </w:sdt>
              <w:r>
                <w:rPr>
                  <w:b/>
                  <w:szCs w:val="24"/>
                </w:rPr>
                <w:t>. Komiteto paskirti pranešėjai:</w:t>
              </w:r>
              <w:r>
                <w:rPr>
                  <w:szCs w:val="24"/>
                </w:rPr>
                <w:t xml:space="preserve"> Tomas Domarkas.</w:t>
              </w:r>
            </w:p>
          </w:sdtContent>
        </w:sdt>
        <w:sdt>
          <w:sdtPr>
            <w:alias w:val="10 p."/>
            <w:tag w:val="part_d4bfd09f0249432da81fb4f2c055c07d"/>
            <w:lock w:val="sdtLocked"/>
            <w:richText/>
          </w:sdtPr>
          <w:sdtContent>
            <w:p>
              <w:pPr>
                <w:ind w:firstLine="720"/>
                <w:jc w:val="both"/>
                <w:rPr>
                  <w:b/>
                  <w:szCs w:val="24"/>
                </w:rPr>
              </w:pPr>
              <w:sdt>
                <w:sdtPr>
                  <w:alias w:val="Numeris"/>
                  <w:tag w:val="nr_d4bfd09f0249432da81fb4f2c055c07d"/>
                  <w:lock w:val="sdtLocked"/>
                  <w:richText/>
                </w:sdtPr>
                <w:sdtContent>
                  <w:r>
                    <w:rPr>
                      <w:b/>
                      <w:szCs w:val="24"/>
                    </w:rPr>
                    <w:t>10</w:t>
                  </w:r>
                </w:sdtContent>
              </w:sdt>
              <w:r>
                <w:rPr>
                  <w:b/>
                  <w:szCs w:val="24"/>
                </w:rPr>
                <w:t xml:space="preserve">. Komiteto narių atskiroji nuomonė: </w:t>
              </w:r>
              <w:r>
                <w:rPr>
                  <w:szCs w:val="24"/>
                </w:rPr>
                <w:t>negauta.</w:t>
              </w:r>
            </w:p>
            <w:p>
              <w:pPr>
                <w:ind w:firstLine="720"/>
                <w:jc w:val="both"/>
                <w:rPr>
                  <w:sz w:val="16"/>
                  <w:szCs w:val="24"/>
                </w:rPr>
              </w:pPr>
              <w:r>
                <w:rPr>
                  <w:bCs/>
                  <w:szCs w:val="24"/>
                </w:rPr>
                <w:t xml:space="preserve">PRIDEDAMA. </w:t>
              </w:r>
              <w:r>
                <w:rPr>
                  <w:szCs w:val="24"/>
                </w:rPr>
                <w:t>Lietuvos Respublikos žemės įstatymo Nr. I-446 11 ir 40 straipsnių pakeitimo įstatymo projektas Nr. XIVP-4286(2), jo lyginamasis variantas.</w:t>
              </w:r>
            </w:p>
            <w:p>
              <w:pPr>
                <w:spacing w:line="360" w:lineRule="auto"/>
                <w:ind w:firstLine="720"/>
                <w:jc w:val="both"/>
                <w:rPr>
                  <w:szCs w:val="24"/>
                </w:rPr>
              </w:pPr>
            </w:p>
            <w:p>
              <w:pPr>
                <w:spacing w:line="360" w:lineRule="auto"/>
                <w:ind w:firstLine="720"/>
                <w:jc w:val="both"/>
                <w:rPr>
                  <w:szCs w:val="24"/>
                </w:rPr>
              </w:pPr>
            </w:p>
          </w:sdtContent>
        </w:sdt>
        <w:sdt>
          <w:sdtPr>
            <w:alias w:val="signatura"/>
            <w:tag w:val="part_9013b0cd2b794fd2be8f9fe296432d32"/>
            <w:lock w:val="sdtLocked"/>
            <w:richText/>
          </w:sdtPr>
          <w:sdtContent>
            <w:p>
              <w:pPr>
                <w:jc w:val="both"/>
                <w:rPr>
                  <w:szCs w:val="24"/>
                </w:rPr>
              </w:pPr>
              <w:r>
                <w:rPr>
                  <w:szCs w:val="24"/>
                </w:rPr>
                <w:t>Komiteto pirmininkas</w:t>
                <w:tab/>
                <w:tab/>
                <w:tab/>
                <w:tab/>
                <w:tab/>
                <w:tab/>
                <w:tab/>
                <w:tab/>
                <w:tab/>
                <w:tab/>
                <w:tab/>
                <w:tab/>
                <w:tab/>
                <w:t>Linas Jonauskas</w:t>
              </w:r>
            </w:p>
            <w:p>
              <w:pPr>
                <w:ind w:left="5040" w:firstLine="2160"/>
                <w:jc w:val="both"/>
                <w:rPr>
                  <w:szCs w:val="24"/>
                </w:rPr>
              </w:pPr>
            </w:p>
            <w:p>
              <w:pPr>
                <w:ind w:firstLine="10800"/>
                <w:jc w:val="center"/>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rPr>
                  <w:szCs w:val="24"/>
                </w:rPr>
              </w:pPr>
              <w:r>
                <w:rPr>
                  <w:sz w:val="20"/>
                  <w:szCs w:val="24"/>
                </w:rPr>
                <w:t>Biuro patarėja G. Ričkutė</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Cs w:val="24"/>
          <w:lang w:val="en-US"/>
        </w:rPr>
      </w:pPr>
      <w:r>
        <w:rPr>
          <w:rFonts w:ascii="TimesLT" w:hAnsi="TimesLT"/>
          <w:szCs w:val="24"/>
          <w:lang w:val="en-US"/>
        </w:rPr>
        <w:separator/>
      </w:r>
    </w:p>
    <w:p>
      <w:pPr>
        <w:rPr>
          <w:szCs w:val="24"/>
        </w:rPr>
      </w:pPr>
    </w:p>
  </w:endnote>
  <w:endnote w:type="continuationSeparator" w:id="0">
    <w:p>
      <w:pPr>
        <w:rPr>
          <w:rFonts w:ascii="TimesLT" w:hAnsi="TimesLT"/>
          <w:szCs w:val="24"/>
          <w:lang w:val="en-US"/>
        </w:rPr>
      </w:pPr>
      <w:r>
        <w:rPr>
          <w:rFonts w:ascii="TimesLT" w:hAnsi="TimesLT"/>
          <w:szCs w:val="24"/>
          <w:lang w:val="en-US"/>
        </w:rPr>
        <w:continuationSeparator/>
      </w:r>
    </w:p>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10002FF" w:usb1="4000ACFF" w:usb2="00000009"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Cs w:val="24"/>
          <w:lang w:val="en-US"/>
        </w:rPr>
      </w:pPr>
      <w:r>
        <w:rPr>
          <w:rFonts w:ascii="TimesLT" w:hAnsi="TimesLT"/>
          <w:szCs w:val="24"/>
          <w:lang w:val="en-US"/>
        </w:rPr>
        <w:separator/>
      </w:r>
    </w:p>
    <w:p>
      <w:pPr>
        <w:rPr>
          <w:szCs w:val="24"/>
        </w:rPr>
      </w:pPr>
    </w:p>
  </w:footnote>
  <w:footnote w:type="continuationSeparator" w:id="0">
    <w:p>
      <w:pPr>
        <w:rPr>
          <w:rFonts w:ascii="TimesLT" w:hAnsi="TimesLT"/>
          <w:szCs w:val="24"/>
          <w:lang w:val="en-US"/>
        </w:rPr>
      </w:pPr>
      <w:r>
        <w:rPr>
          <w:rFonts w:ascii="TimesLT" w:hAnsi="TimesLT"/>
          <w:szCs w:val="24"/>
          <w:lang w:val="en-US"/>
        </w:rPr>
        <w:continuationSeparator/>
      </w:r>
    </w:p>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end"/>
    </w:r>
  </w:p>
  <w:p>
    <w:pPr>
      <w:tabs>
        <w:tab w:val="center" w:pos="4153"/>
        <w:tab w:val="right" w:pos="8306"/>
      </w:tabs>
      <w:rPr>
        <w:rFonts w:ascii="TimesLT" w:hAnsi="TimesLT"/>
        <w:szCs w:val="24"/>
        <w:lang w:val="en-US"/>
      </w:rPr>
    </w:pPr>
  </w:p>
  <w:p>
    <w:pPr>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6</w:t>
    </w:r>
    <w:r>
      <w:rPr>
        <w:rFonts w:ascii="TimesLT" w:hAnsi="TimesLT"/>
        <w:szCs w:val="24"/>
        <w:lang w:val="en-US"/>
      </w:rPr>
      <w:fldChar w:fldCharType="end"/>
    </w:r>
  </w:p>
  <w:p>
    <w:pPr>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E36F70-C3EE-4C95-8153-50C5BDB5A9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253567">
      <w:bodyDiv w:val="1"/>
      <w:marLeft w:val="0"/>
      <w:marRight w:val="0"/>
      <w:marTop w:val="0"/>
      <w:marBottom w:val="0"/>
      <w:divBdr>
        <w:top w:val="none" w:sz="0" w:space="0" w:color="auto"/>
        <w:left w:val="none" w:sz="0" w:space="0" w:color="auto"/>
        <w:bottom w:val="none" w:sz="0" w:space="0" w:color="auto"/>
        <w:right w:val="none" w:sz="0" w:space="0" w:color="auto"/>
      </w:divBdr>
    </w:div>
    <w:div w:id="83766929">
      <w:bodyDiv w:val="1"/>
      <w:marLeft w:val="0"/>
      <w:marRight w:val="0"/>
      <w:marTop w:val="0"/>
      <w:marBottom w:val="0"/>
      <w:divBdr>
        <w:top w:val="none" w:sz="0" w:space="0" w:color="auto"/>
        <w:left w:val="none" w:sz="0" w:space="0" w:color="auto"/>
        <w:bottom w:val="none" w:sz="0" w:space="0" w:color="auto"/>
        <w:right w:val="none" w:sz="0" w:space="0" w:color="auto"/>
      </w:divBdr>
    </w:div>
    <w:div w:id="686098282">
      <w:bodyDiv w:val="1"/>
      <w:marLeft w:val="0"/>
      <w:marRight w:val="0"/>
      <w:marTop w:val="0"/>
      <w:marBottom w:val="0"/>
      <w:divBdr>
        <w:top w:val="none" w:sz="0" w:space="0" w:color="auto"/>
        <w:left w:val="none" w:sz="0" w:space="0" w:color="auto"/>
        <w:bottom w:val="none" w:sz="0" w:space="0" w:color="auto"/>
        <w:right w:val="none" w:sz="0" w:space="0" w:color="auto"/>
      </w:divBdr>
    </w:div>
    <w:div w:id="753938074">
      <w:bodyDiv w:val="1"/>
      <w:marLeft w:val="0"/>
      <w:marRight w:val="0"/>
      <w:marTop w:val="0"/>
      <w:marBottom w:val="0"/>
      <w:divBdr>
        <w:top w:val="none" w:sz="0" w:space="0" w:color="auto"/>
        <w:left w:val="none" w:sz="0" w:space="0" w:color="auto"/>
        <w:bottom w:val="none" w:sz="0" w:space="0" w:color="auto"/>
        <w:right w:val="none" w:sz="0" w:space="0" w:color="auto"/>
      </w:divBdr>
    </w:div>
    <w:div w:id="1136726011">
      <w:bodyDiv w:val="1"/>
      <w:marLeft w:val="0"/>
      <w:marRight w:val="0"/>
      <w:marTop w:val="0"/>
      <w:marBottom w:val="0"/>
      <w:divBdr>
        <w:top w:val="none" w:sz="0" w:space="0" w:color="auto"/>
        <w:left w:val="none" w:sz="0" w:space="0" w:color="auto"/>
        <w:bottom w:val="none" w:sz="0" w:space="0" w:color="auto"/>
        <w:right w:val="none" w:sz="0" w:space="0" w:color="auto"/>
      </w:divBdr>
      <w:divsChild>
        <w:div w:id="2128044324">
          <w:marLeft w:val="0"/>
          <w:marRight w:val="0"/>
          <w:marTop w:val="0"/>
          <w:marBottom w:val="0"/>
          <w:divBdr>
            <w:top w:val="none" w:sz="0" w:space="0" w:color="auto"/>
            <w:left w:val="none" w:sz="0" w:space="0" w:color="auto"/>
            <w:bottom w:val="none" w:sz="0" w:space="0" w:color="auto"/>
            <w:right w:val="none" w:sz="0" w:space="0" w:color="auto"/>
          </w:divBdr>
          <w:divsChild>
            <w:div w:id="208745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746865">
      <w:bodyDiv w:val="1"/>
      <w:marLeft w:val="0"/>
      <w:marRight w:val="0"/>
      <w:marTop w:val="0"/>
      <w:marBottom w:val="0"/>
      <w:divBdr>
        <w:top w:val="none" w:sz="0" w:space="0" w:color="auto"/>
        <w:left w:val="none" w:sz="0" w:space="0" w:color="auto"/>
        <w:bottom w:val="none" w:sz="0" w:space="0" w:color="auto"/>
        <w:right w:val="none" w:sz="0" w:space="0" w:color="auto"/>
      </w:divBdr>
    </w:div>
    <w:div w:id="1718386212">
      <w:bodyDiv w:val="1"/>
      <w:marLeft w:val="0"/>
      <w:marRight w:val="0"/>
      <w:marTop w:val="0"/>
      <w:marBottom w:val="0"/>
      <w:divBdr>
        <w:top w:val="none" w:sz="0" w:space="0" w:color="auto"/>
        <w:left w:val="none" w:sz="0" w:space="0" w:color="auto"/>
        <w:bottom w:val="none" w:sz="0" w:space="0" w:color="auto"/>
        <w:right w:val="none" w:sz="0" w:space="0" w:color="auto"/>
      </w:divBdr>
    </w:div>
    <w:div w:id="1874885221">
      <w:bodyDiv w:val="1"/>
      <w:marLeft w:val="0"/>
      <w:marRight w:val="0"/>
      <w:marTop w:val="0"/>
      <w:marBottom w:val="0"/>
      <w:divBdr>
        <w:top w:val="none" w:sz="0" w:space="0" w:color="auto"/>
        <w:left w:val="none" w:sz="0" w:space="0" w:color="auto"/>
        <w:bottom w:val="none" w:sz="0" w:space="0" w:color="auto"/>
        <w:right w:val="none" w:sz="0" w:space="0" w:color="auto"/>
      </w:divBdr>
    </w:div>
    <w:div w:id="1887987603">
      <w:bodyDiv w:val="1"/>
      <w:marLeft w:val="0"/>
      <w:marRight w:val="0"/>
      <w:marTop w:val="0"/>
      <w:marBottom w:val="0"/>
      <w:divBdr>
        <w:top w:val="none" w:sz="0" w:space="0" w:color="auto"/>
        <w:left w:val="none" w:sz="0" w:space="0" w:color="auto"/>
        <w:bottom w:val="none" w:sz="0" w:space="0" w:color="auto"/>
        <w:right w:val="none" w:sz="0" w:space="0" w:color="auto"/>
      </w:divBdr>
    </w:div>
    <w:div w:id="2007049677">
      <w:bodyDiv w:val="1"/>
      <w:marLeft w:val="0"/>
      <w:marRight w:val="0"/>
      <w:marTop w:val="0"/>
      <w:marBottom w:val="0"/>
      <w:divBdr>
        <w:top w:val="none" w:sz="0" w:space="0" w:color="auto"/>
        <w:left w:val="none" w:sz="0" w:space="0" w:color="auto"/>
        <w:bottom w:val="none" w:sz="0" w:space="0" w:color="auto"/>
        <w:right w:val="none" w:sz="0" w:space="0" w:color="auto"/>
      </w:divBdr>
      <w:divsChild>
        <w:div w:id="1109546781">
          <w:marLeft w:val="0"/>
          <w:marRight w:val="0"/>
          <w:marTop w:val="0"/>
          <w:marBottom w:val="0"/>
          <w:divBdr>
            <w:top w:val="none" w:sz="0" w:space="0" w:color="auto"/>
            <w:left w:val="none" w:sz="0" w:space="0" w:color="auto"/>
            <w:bottom w:val="none" w:sz="0" w:space="0" w:color="auto"/>
            <w:right w:val="none" w:sz="0" w:space="0" w:color="auto"/>
          </w:divBdr>
        </w:div>
        <w:div w:id="626814179">
          <w:marLeft w:val="0"/>
          <w:marRight w:val="0"/>
          <w:marTop w:val="0"/>
          <w:marBottom w:val="0"/>
          <w:divBdr>
            <w:top w:val="none" w:sz="0" w:space="0" w:color="auto"/>
            <w:left w:val="none" w:sz="0" w:space="0" w:color="auto"/>
            <w:bottom w:val="none" w:sz="0" w:space="0" w:color="auto"/>
            <w:right w:val="none" w:sz="0" w:space="0" w:color="auto"/>
          </w:divBdr>
          <w:divsChild>
            <w:div w:id="274678266">
              <w:marLeft w:val="0"/>
              <w:marRight w:val="0"/>
              <w:marTop w:val="0"/>
              <w:marBottom w:val="0"/>
              <w:divBdr>
                <w:top w:val="none" w:sz="0" w:space="0" w:color="auto"/>
                <w:left w:val="none" w:sz="0" w:space="0" w:color="auto"/>
                <w:bottom w:val="none" w:sz="0" w:space="0" w:color="auto"/>
                <w:right w:val="none" w:sz="0" w:space="0" w:color="auto"/>
              </w:divBdr>
              <w:divsChild>
                <w:div w:id="1272201277">
                  <w:marLeft w:val="0"/>
                  <w:marRight w:val="0"/>
                  <w:marTop w:val="0"/>
                  <w:marBottom w:val="0"/>
                  <w:divBdr>
                    <w:top w:val="none" w:sz="0" w:space="0" w:color="auto"/>
                    <w:left w:val="none" w:sz="0" w:space="0" w:color="auto"/>
                    <w:bottom w:val="none" w:sz="0" w:space="0" w:color="auto"/>
                    <w:right w:val="none" w:sz="0" w:space="0" w:color="auto"/>
                  </w:divBdr>
                  <w:divsChild>
                    <w:div w:id="50470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622326">
      <w:bodyDiv w:val="1"/>
      <w:marLeft w:val="0"/>
      <w:marRight w:val="0"/>
      <w:marTop w:val="0"/>
      <w:marBottom w:val="0"/>
      <w:divBdr>
        <w:top w:val="none" w:sz="0" w:space="0" w:color="auto"/>
        <w:left w:val="none" w:sz="0" w:space="0" w:color="auto"/>
        <w:bottom w:val="none" w:sz="0" w:space="0" w:color="auto"/>
        <w:right w:val="none" w:sz="0" w:space="0" w:color="auto"/>
      </w:divBdr>
      <w:divsChild>
        <w:div w:id="2084839368">
          <w:marLeft w:val="0"/>
          <w:marRight w:val="0"/>
          <w:marTop w:val="0"/>
          <w:marBottom w:val="0"/>
          <w:divBdr>
            <w:top w:val="none" w:sz="0" w:space="0" w:color="auto"/>
            <w:left w:val="none" w:sz="0" w:space="0" w:color="auto"/>
            <w:bottom w:val="none" w:sz="0" w:space="0" w:color="auto"/>
            <w:right w:val="none" w:sz="0" w:space="0" w:color="auto"/>
          </w:divBdr>
        </w:div>
        <w:div w:id="12048284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817589124EA0B45883F270BC54FD783" ma:contentTypeVersion="8" ma:contentTypeDescription="Kurkite naują dokumentą." ma:contentTypeScope="" ma:versionID="53efcadcf1e0bcd4083f736bdca70658">
  <xsd:schema xmlns:xsd="http://www.w3.org/2001/XMLSchema" xmlns:xs="http://www.w3.org/2001/XMLSchema" xmlns:p="http://schemas.microsoft.com/office/2006/metadata/properties" xmlns:ns2="e6236ba0-43fe-4634-aa80-110abb13d2fa" targetNamespace="http://schemas.microsoft.com/office/2006/metadata/properties" ma:root="true" ma:fieldsID="7eb3323a7766f16b0d38328ce5aaaa52" ns2:_="">
    <xsd:import namespace="e6236ba0-43fe-4634-aa80-110abb13d2f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236ba0-43fe-4634-aa80-110abb13d2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1416b2712ae4159bfa573ae33e49199" PartId="12920d72fa8d4e43bc884205c18ce8d2">
    <Part Type="punktas" Nr="1" Abbr="1 p." DocPartId="13428defb6464299be828e5eb07115be" PartId="b888a00b1ce04419893f65d1140fd7de"/>
    <Part Type="punktas" Nr="2" Abbr="2 p." DocPartId="c48cd13ecef44b41a9c4bb4b47060df8" PartId="f7d39cf41eb6495ca2f4807033ef36cb"/>
    <Part Type="punktas" Nr="3" Abbr="3 p." DocPartId="f23090eb4fb140c8a6ceae8b43d66ea7" PartId="c66fde09116a480aa1d420af0bc4bf5a"/>
    <Part Type="punktas" Nr="4" Abbr="4 p." DocPartId="e5246b1cc59d420daa82ffaff768b38a" PartId="bd771a7c8f0a4db4842ea5bd03ad92e7"/>
    <Part Type="punktas" Nr="5" Abbr="5 p." DocPartId="06254a38f2d54c90955c6591fd3cf3dd" PartId="3b2188be63b540dfbe9958e97ec62e7c"/>
    <Part Type="punktas" Nr="6" Abbr="6 p." DocPartId="d68e8e1dcbe7479f9087b167fa03a810" PartId="ce23733758ad47ec85d25acce4f62b2b"/>
    <Part Type="punktas" Nr="7" Abbr="7 p." DocPartId="a580cb93ef1644aeb2fc3f54af92e651" PartId="552afa53722e4d33b9a468281a9852ab">
      <Part Type="papunktis" Nr="7.1" Abbr="7.1 pp." DocPartId="6f6f025efd924284b4ab90de9a7da8ec" PartId="0133d81158b7496082884b30c01f9652"/>
      <Part Type="papunktis" Nr="7.2" Abbr="7.2 pp." DocPartId="a67967140b4f4ff0b997a70b22d71c61" PartId="aa11622a78a147789f7241f8845473ce"/>
    </Part>
    <Part Type="punktas" Nr="8" Abbr="8 p." DocPartId="9951e13dee1f4f1bb6487ace60f11721" PartId="4b6d84c73b004a0e93bb519fe3c70a1c"/>
    <Part Type="punktas" Nr="9" Abbr="9 p." DocPartId="d8308405dbb0452c862130cb96d4a901" PartId="2e59b27b2043493a96bcf8bc8b62258e"/>
    <Part Type="punktas" Nr="10" Abbr="10 p." DocPartId="cd964ad5753d4f389992e486dae2ac6d" PartId="d4bfd09f0249432da81fb4f2c055c07d"/>
    <Part Type="signatura" DocPartId="3692a068c4054ba49f03198e41570d81" PartId="9013b0cd2b794fd2be8f9fe296432d32"/>
  </Part>
</Parts>
</file>

<file path=customXml/itemProps1.xml><?xml version="1.0" encoding="utf-8"?>
<ds:datastoreItem xmlns:ds="http://schemas.openxmlformats.org/officeDocument/2006/customXml" ds:itemID="{30EB1B8F-E578-42CC-B229-6EA7A3D57F31}">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e6236ba0-43fe-4634-aa80-110abb13d2fa"/>
    <ds:schemaRef ds:uri="http://www.w3.org/XML/1998/namespace"/>
  </ds:schemaRefs>
</ds:datastoreItem>
</file>

<file path=customXml/itemProps2.xml><?xml version="1.0" encoding="utf-8"?>
<ds:datastoreItem xmlns:ds="http://schemas.openxmlformats.org/officeDocument/2006/customXml" ds:itemID="{534E44E9-9315-4D43-90A1-DCC1B45E96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236ba0-43fe-4634-aa80-110abb13d2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4.xml><?xml version="1.0" encoding="utf-8"?>
<ds:datastoreItem xmlns:ds="http://schemas.openxmlformats.org/officeDocument/2006/customXml" ds:itemID="{6670E9CD-0CC1-4934-99F8-F1C40DE59CD5}">
  <ds:schemaRefs>
    <ds:schemaRef ds:uri="http://schemas.openxmlformats.org/officeDocument/2006/bibliography"/>
  </ds:schemaRefs>
</ds:datastoreItem>
</file>

<file path=customXml/itemProps5.xml><?xml version="1.0" encoding="utf-8"?>
<ds:datastoreItem xmlns:ds="http://schemas.openxmlformats.org/officeDocument/2006/customXml" ds:itemID="{2EE735C5-D633-435E-81DF-38E196A12F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1031</Words>
  <Characters>6863</Characters>
  <Application>Microsoft Office Word</Application>
  <DocSecurity>4</DocSecurity>
  <Lines>326</Lines>
  <Paragraphs>133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2025-11-19T14:25:00Z</dcterms:created>
  <dc:creator>„Windows“ vartotojas</dc:creator>
  <lastModifiedBy>adlibuser</lastModifiedBy>
  <lastPrinted>2016-08-05T07:32:00Z</lastPrinted>
  <dcterms:modified xsi:type="dcterms:W3CDTF">2025-11-19T14:25:00Z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0x0101003817589124EA0B45883F270BC54FD783</vt:lpwstr>
  </property>
  <property fmtid="{D5CDD505-2E9C-101B-9397-08002B2CF9AE}" pid="3" name="_dlc_DocIdItemGuid">
    <vt:lpwstr>95f49822-2d5f-49d9-b295-f9de526cf62b</vt:lpwstr>
  </property>
</Properties>
</file>