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iagrams/colors1.xml" ContentType="application/vnd.openxmlformats-officedocument.drawingml.diagramColors+xml"/>
  <Override PartName="/word/diagrams/colors2.xml" ContentType="application/vnd.openxmlformats-officedocument.drawingml.diagramColors+xml"/>
  <Override PartName="/word/diagrams/colors3.xml" ContentType="application/vnd.openxmlformats-officedocument.drawingml.diagramColors+xml"/>
  <Override PartName="/word/diagrams/colors4.xml" ContentType="application/vnd.openxmlformats-officedocument.drawingml.diagramColors+xml"/>
  <Override PartName="/word/diagrams/colors5.xml" ContentType="application/vnd.openxmlformats-officedocument.drawingml.diagramColors+xml"/>
  <Override PartName="/word/diagrams/colors6.xml" ContentType="application/vnd.openxmlformats-officedocument.drawingml.diagramColors+xml"/>
  <Override PartName="/word/diagrams/data1.xml" ContentType="application/vnd.openxmlformats-officedocument.drawingml.diagramData+xml"/>
  <Override PartName="/word/diagrams/data2.xml" ContentType="application/vnd.openxmlformats-officedocument.drawingml.diagramData+xml"/>
  <Override PartName="/word/diagrams/data3.xml" ContentType="application/vnd.openxmlformats-officedocument.drawingml.diagramData+xml"/>
  <Override PartName="/word/diagrams/data4.xml" ContentType="application/vnd.openxmlformats-officedocument.drawingml.diagramData+xml"/>
  <Override PartName="/word/diagrams/data5.xml" ContentType="application/vnd.openxmlformats-officedocument.drawingml.diagramData+xml"/>
  <Override PartName="/word/diagrams/data6.xml" ContentType="application/vnd.openxmlformats-officedocument.drawingml.diagramData+xml"/>
  <Override PartName="/word/diagrams/drawing1.xml" ContentType="application/vnd.ms-office.drawingml.diagramDrawing+xml"/>
  <Override PartName="/word/diagrams/drawing2.xml" ContentType="application/vnd.ms-office.drawingml.diagramDrawing+xml"/>
  <Override PartName="/word/diagrams/drawing3.xml" ContentType="application/vnd.ms-office.drawingml.diagramDrawing+xml"/>
  <Override PartName="/word/diagrams/drawing4.xml" ContentType="application/vnd.ms-office.drawingml.diagramDrawing+xml"/>
  <Override PartName="/word/diagrams/drawing5.xml" ContentType="application/vnd.ms-office.drawingml.diagramDrawing+xml"/>
  <Override PartName="/word/diagrams/drawing6.xml" ContentType="application/vnd.ms-office.drawingml.diagramDrawing+xml"/>
  <Override PartName="/word/diagrams/layout1.xml" ContentType="application/vnd.openxmlformats-officedocument.drawingml.diagramLayout+xml"/>
  <Override PartName="/word/diagrams/layout2.xml" ContentType="application/vnd.openxmlformats-officedocument.drawingml.diagramLayout+xml"/>
  <Override PartName="/word/diagrams/layout3.xml" ContentType="application/vnd.openxmlformats-officedocument.drawingml.diagramLayout+xml"/>
  <Override PartName="/word/diagrams/layout4.xml" ContentType="application/vnd.openxmlformats-officedocument.drawingml.diagramLayout+xml"/>
  <Override PartName="/word/diagrams/layout5.xml" ContentType="application/vnd.openxmlformats-officedocument.drawingml.diagramLayout+xml"/>
  <Override PartName="/word/diagrams/layout6.xml" ContentType="application/vnd.openxmlformats-officedocument.drawingml.diagramLayout+xml"/>
  <Override PartName="/word/diagrams/quickStyle1.xml" ContentType="application/vnd.openxmlformats-officedocument.drawingml.diagramStyle+xml"/>
  <Override PartName="/word/diagrams/quickStyle2.xml" ContentType="application/vnd.openxmlformats-officedocument.drawingml.diagramStyle+xml"/>
  <Override PartName="/word/diagrams/quickStyle3.xml" ContentType="application/vnd.openxmlformats-officedocument.drawingml.diagramStyle+xml"/>
  <Override PartName="/word/diagrams/quickStyle4.xml" ContentType="application/vnd.openxmlformats-officedocument.drawingml.diagramStyle+xml"/>
  <Override PartName="/word/diagrams/quickStyle5.xml" ContentType="application/vnd.openxmlformats-officedocument.drawingml.diagramStyle+xml"/>
  <Override PartName="/word/diagrams/quickStyle6.xml" ContentType="application/vnd.openxmlformats-officedocument.drawingml.diagram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c56ddbb97c74003990017e6108353bf"/>
        <w:lock w:val="sdtLocked"/>
        <w:richText/>
      </w:sdtPr>
      <w:sdtContent>
        <w:p>
          <w:pPr>
            <w:tabs>
              <w:tab w:val="center" w:pos="4153"/>
              <w:tab w:val="right" w:pos="8306"/>
            </w:tabs>
            <w:rPr>
              <w:szCs w:val="24"/>
            </w:rPr>
          </w:pPr>
        </w:p>
        <w:p>
          <w:pPr>
            <w:spacing w:line="259" w:lineRule="auto"/>
            <w:rPr>
              <w:rFonts w:cs="Arial"/>
              <w:szCs w:val="24"/>
              <w:lang w:val="en-US"/>
            </w:rPr>
          </w:pPr>
        </w:p>
        <w:p>
          <w:pPr>
            <w:rPr>
              <w:sz w:val="4"/>
              <w:szCs w:val="4"/>
            </w:rPr>
          </w:pPr>
        </w:p>
      </w:sdtContent>
    </w:sdt>
    <w:sdt>
      <w:sdtPr>
        <w:alias w:val="patvirtinta"/>
        <w:tag w:val="part_61966f772e4f42ce988e4dd0e0a31799"/>
        <w:lock w:val="sdtLocked"/>
        <w:richText/>
      </w:sdtPr>
      <w:sdtContent>
        <w:p>
          <w:pPr>
            <w:spacing w:line="259" w:lineRule="auto"/>
            <w:ind w:left="3888" w:firstLine="648"/>
          </w:pPr>
          <w:r>
            <w:rPr>
              <w:i/>
              <w:color w:val="181717"/>
              <w:sz w:val="28"/>
            </w:rPr>
            <w:t>Patvirtinta</w:t>
          </w:r>
        </w:p>
        <w:p>
          <w:pPr>
            <w:spacing w:line="259" w:lineRule="auto"/>
            <w:jc w:val="right"/>
          </w:pPr>
          <w:r>
            <w:rPr>
              <w:i/>
              <w:color w:val="181717"/>
              <w:sz w:val="28"/>
            </w:rPr>
            <w:t xml:space="preserve">2025 m.               d.  Radviliškio rajono savivaldybės</w:t>
          </w:r>
        </w:p>
        <w:p>
          <w:pPr>
            <w:tabs>
              <w:tab w:val="center" w:pos="2137"/>
            </w:tabs>
            <w:spacing w:line="259" w:lineRule="auto"/>
            <w:ind w:left="-744"/>
            <w:jc w:val="center"/>
          </w:pPr>
          <w:r>
            <w:rPr>
              <w:lang w:val="en-US"/>
            </w:rPr>
            <mc:AlternateContent>
              <mc:Choice Requires="wpg">
                <w:drawing>
                  <wp:anchor distT="0" distB="0" distL="114300" distR="114300" simplePos="0" relativeHeight="251665920" behindDoc="0" locked="0" layoutInCell="1" allowOverlap="1" wp14:anchorId="725DB5EB" wp14:editId="54C035CE">
                    <wp:simplePos x="0" y="0"/>
                    <wp:positionH relativeFrom="page">
                      <wp:posOffset>345008</wp:posOffset>
                    </wp:positionH>
                    <wp:positionV relativeFrom="page">
                      <wp:posOffset>515455</wp:posOffset>
                    </wp:positionV>
                    <wp:extent cx="209563" cy="9719348"/>
                    <wp:effectExtent l="0" t="0" r="0" b="0"/>
                    <wp:wrapSquare wrapText="bothSides"/>
                    <wp:docPr id="299624" name="Group 299624"/>
                    <wp:cNvGraphicFramePr/>
                    <a:graphic xmlns:a="http://schemas.openxmlformats.org/drawingml/2006/main">
                      <a:graphicData uri="http://schemas.microsoft.com/office/word/2010/wordprocessingGroup">
                        <wpg:wgp>
                          <wpg:cNvGrpSpPr/>
                          <wpg:grpSpPr>
                            <a:xfrm>
                              <a:off x="0" y="0"/>
                              <a:ext cx="209563" cy="9719348"/>
                              <a:chOff x="0" y="0"/>
                              <a:chExt cx="209563" cy="9719348"/>
                            </a:xfrm>
                          </wpg:grpSpPr>
                          <wps:wsp>
                            <wps:cNvPr id="411661" name="Shape 411661"/>
                            <wps:cNvSpPr/>
                            <wps:spPr>
                              <a:xfrm>
                                <a:off x="0" y="0"/>
                                <a:ext cx="209563" cy="9334627"/>
                              </a:xfrm>
                              <a:custGeom>
                                <a:avLst/>
                                <a:gdLst/>
                                <a:ahLst/>
                                <a:cxnLst/>
                                <a:rect l="0" t="0" r="0" b="0"/>
                                <a:pathLst>
                                  <a:path w="209563" h="9334627">
                                    <a:moveTo>
                                      <a:pt x="0" y="0"/>
                                    </a:moveTo>
                                    <a:lnTo>
                                      <a:pt x="209563" y="0"/>
                                    </a:lnTo>
                                    <a:lnTo>
                                      <a:pt x="209563" y="9334627"/>
                                    </a:lnTo>
                                    <a:lnTo>
                                      <a:pt x="0" y="9334627"/>
                                    </a:lnTo>
                                    <a:lnTo>
                                      <a:pt x="0" y="0"/>
                                    </a:lnTo>
                                  </a:path>
                                </a:pathLst>
                              </a:custGeom>
                              <a:solidFill>
                                <a:srgbClr val="F4B183"/>
                              </a:solidFill>
                              <a:ln w="0" cap="flat">
                                <a:miter lim="127000"/>
                              </a:ln>
                            </wps:spPr>
                            <wps:style>
                              <a:lnRef idx="0">
                                <a:srgbClr val="000000">
                                  <a:alpha val="0"/>
                                </a:srgbClr>
                              </a:lnRef>
                              <a:fillRef idx="1">
                                <a:srgbClr val="F4B183"/>
                              </a:fillRef>
                              <a:effectRef idx="0">
                                <a:scrgbClr r="0" g="0" b="0"/>
                              </a:effectRef>
                              <a:fontRef idx="none"/>
                            </wps:style>
                            <wps:bodyPr/>
                          </wps:wsp>
                          <wps:wsp>
                            <wps:cNvPr id="411662" name="Shape 411662"/>
                            <wps:cNvSpPr/>
                            <wps:spPr>
                              <a:xfrm>
                                <a:off x="0" y="9476359"/>
                                <a:ext cx="209563" cy="242989"/>
                              </a:xfrm>
                              <a:custGeom>
                                <a:avLst/>
                                <a:gdLst/>
                                <a:ahLst/>
                                <a:cxnLst/>
                                <a:rect l="0" t="0" r="0" b="0"/>
                                <a:pathLst>
                                  <a:path w="209563" h="242989">
                                    <a:moveTo>
                                      <a:pt x="0" y="0"/>
                                    </a:moveTo>
                                    <a:lnTo>
                                      <a:pt x="209563" y="0"/>
                                    </a:lnTo>
                                    <a:lnTo>
                                      <a:pt x="209563" y="242989"/>
                                    </a:lnTo>
                                    <a:lnTo>
                                      <a:pt x="0" y="242989"/>
                                    </a:lnTo>
                                    <a:lnTo>
                                      <a:pt x="0" y="0"/>
                                    </a:lnTo>
                                  </a:path>
                                </a:pathLst>
                              </a:custGeom>
                              <a:ln w="0" cap="flat">
                                <a:miter lim="127000"/>
                              </a:ln>
                            </wps:spPr>
                            <wps:style>
                              <a:lnRef idx="0">
                                <a:srgbClr val="000000">
                                  <a:alpha val="0"/>
                                </a:srgbClr>
                              </a:lnRef>
                              <a:fillRef idx="1">
                                <a:srgbClr val="7F6000"/>
                              </a:fillRef>
                              <a:effectRef idx="0">
                                <a:scrgbClr r="0" g="0" b="0"/>
                              </a:effectRef>
                              <a:fontRef idx="none"/>
                            </wps:style>
                            <wps:bodyPr/>
                          </wps:wsp>
                        </wpg:wg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BD9472D" id="Group 299624" o:spid="_x0000_s1026" style="position:absolute;margin-left:27.15pt;margin-top:40.6pt;width:16.5pt;height:765.3pt;z-index:251665920;mso-position-horizontal-relative:page;mso-position-vertical-relative:page" coordsize="2095,97193"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ZOxte+QIAABQKAAAOAAAAZHJzL2Uyb0RvYy54bWzUVttu2zAMfR+wfzD8vjp20lyMJgW2Ln0Z tmLtPkCV5QsgS4Kkxsnfj6It20m6ouiAYnuxZImkDo94aF9d72se7Jg2lRTrML6YhAETVGaVKNbh r4ftp2UYGEtERrgUbB0emAmvNx8/XDUqZYksJc+YDiCIMGmj1mFprUqjyNCS1cRcSMUEbOZS18TC qy6iTJMGotc8SiaTedRInSktKTMGVm/azXCD8fOcUfsjzw2zAV+HgM3iU+Pz0T2jzRVJC01UWdEO BnkDippUAg7tQ90QS4InXZ2FqiuqpZG5vaCyjmSeV5RhDpBNPDnJ5lbLJ4W5FGlTqJ4moPaEpzeH pd93t1rdqzsNTDSqAC7wzeWyz3XtRkAZ7JGyQ08Z29uAwmIyWV3Op2FAYWu1iFfT2bLllJZA/Jkb Lb++7Bj5Y6MjMI2C8jADA+bvGLgviWJIrEmBgTsdVNk6nMXxfB6HgSA1VCraBN0akoO2PVUmNcDa m3iaTmfzZOF46tMlKX0y9pZJZJzsvhnblmbmZ6T0M7oXfqqhwF8sbUWs83Mw3TRohisr4cY6JG67 ljv2INHQntwboBx2uRhb+fv3lQGm3sCPCsONDP2pbf7ezI+tOWjVVdQRU97Cj2NLVHJ/OExctshv zwAsjjk2klfZtuLcpWx08fiF62BHoE9sZ5/j5bS7niMzLhyBgI0S6FU5JxZFX1cWmhivauiAyWIy GcAAAle6baXgzB44cydy8ZPlUHYorDMIEMOFceuEq5K0wHzcDi2mh3GcXQ6p9CFjdP1zVp2x82PY JXvP9lBDO0LaVgkNB5L2DROI7J3wZCls7y+gzSN1o2zd9FFmB2wySAho2bWb9xJ18oyoE4fSQYAG 8FpRr2aL+fRy5TyBg2c6WTJLVkvcB5J8/xxX3XspuwPicA7SfU4ww+6xrEZ69WXnDfx4Juyj7L2V H8eHv9rw+OjXyPp/luhiO3eqb/viPyFR/ArDrwe2mu43yf3bjN+xxw0/c5vfAAAA//8DAFBLAwQU AAYACAAAACEAUvoswN8AAAAJAQAADwAAAGRycy9kb3ducmV2LnhtbEyPQUvDQBCF74L/YRnBm91s a2uI2ZRS1FMRbAXxts1Ok9DsbMhuk/TfO570+Hgfb77J15NrxYB9aDxpULMEBFLpbUOVhs/D60MK IkRD1rSeUMMVA6yL25vcZNaP9IHDPlaCRyhkRkMdY5dJGcoanQkz3yFxd/K9M5FjX0nbm5HHXSvn SbKSzjTEF2rT4bbG8ry/OA1voxk3C/Uy7M6n7fX7sHz/2inU+v5u2jyDiDjFPxh+9VkdCnY6+gvZ IFoNy8cFkxpSNQfBffrE+cjcSqkUZJHL/x8UPwAAAP//AwBQSwECLQAUAAYACAAAACEAtoM4kv4A AADhAQAAEwAAAAAAAAAAAAAAAAAAAAAAW0NvbnRlbnRfVHlwZXNdLnhtbFBLAQItABQABgAIAAAA IQA4/SH/1gAAAJQBAAALAAAAAAAAAAAAAAAAAC8BAABfcmVscy8ucmVsc1BLAQItABQABgAIAAAA IQCZOxte+QIAABQKAAAOAAAAAAAAAAAAAAAAAC4CAABkcnMvZTJvRG9jLnhtbFBLAQItABQABgAI AAAAIQBS+izA3wAAAAkBAAAPAAAAAAAAAAAAAAAAAFMFAABkcnMvZG93bnJldi54bWxQSwUGAAAA AAQABADzAAAAXwYAAAAA ">
                    <v:shape id="Shape 411661" o:spid="_x0000_s1027" style="position:absolute;width:2095;height:93346;visibility:visible;mso-wrap-style:square;v-text-anchor:top" coordsize="209563,9334627"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PoSjJxwAAAN8AAAAPAAAAZHJzL2Rvd25yZXYueG1sRI/RasJA FETfC/2H5Rb6VjcRCSW6ipTaFi1C1A+4ZK9JNHs3ZDcm/r0rCD4OM3OGmS0GU4sLta6yrCAeRSCI c6srLhQc9quPTxDOI2usLZOCKzlYzF9fZphq23NGl50vRICwS1FB6X2TSunykgy6kW2Ig3e0rUEf ZFtI3WIf4KaW4yhKpMGKw0KJDX2VlJ93nVHgz2vT/RZ7zLvTTz/53y4331mv1PvbsJyC8DT4Z/jR /tMKJnGcJDHc/4QvIOc3AAAA//8DAFBLAQItABQABgAIAAAAIQDb4fbL7gAAAIUBAAATAAAAAAAA AAAAAAAAAAAAAABbQ29udGVudF9UeXBlc10ueG1sUEsBAi0AFAAGAAgAAAAhAFr0LFu/AAAAFQEA AAsAAAAAAAAAAAAAAAAAHwEAAF9yZWxzLy5yZWxzUEsBAi0AFAAGAAgAAAAhAM+hKMnHAAAA3wAA AA8AAAAAAAAAAAAAAAAABwIAAGRycy9kb3ducmV2LnhtbFBLBQYAAAAAAwADALcAAAD7AgAAAAA= " path="m,l209563,r,9334627l,9334627,,e" fillcolor="#f4b183" stroked="f" strokeweight="0">
                      <v:stroke miterlimit="83231f" joinstyle="miter"/>
                      <v:path arrowok="t" textboxrect="0,0,209563,9334627"/>
                    </v:shape>
                    <v:shape id="Shape 411662" o:spid="_x0000_s1028" style="position:absolute;top:94763;width:2095;height:2430;visibility:visible;mso-wrap-style:square;v-text-anchor:top" coordsize="209563,242989"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OyLYfxwAAAN8AAAAPAAAAZHJzL2Rvd25yZXYueG1sRI/RasJA FETfBf9huULfzCa2hJK6iiiFPljR6AdcsrfZ1OzdkF01/n23IPg4zMwZZr4cbCuu1PvGsYIsSUEQ V043XCs4HT+n7yB8QNbYOiYFd/KwXIxHcyy0u/GBrmWoRYSwL1CBCaErpPSVIYs+cR1x9H5cbzFE 2ddS93iLcNvKWZrm0mLDccFgR2tD1bm8WAWb8rc2ttxvV6+7y/fx1LT39TZT6mUyrD5ABBrCM/xo f2kFb1mW5zP4/xO/gFz8AQAA//8DAFBLAQItABQABgAIAAAAIQDb4fbL7gAAAIUBAAATAAAAAAAA AAAAAAAAAAAAAABbQ29udGVudF9UeXBlc10ueG1sUEsBAi0AFAAGAAgAAAAhAFr0LFu/AAAAFQEA AAsAAAAAAAAAAAAAAAAAHwEAAF9yZWxzLy5yZWxzUEsBAi0AFAAGAAgAAAAhAI7Ith/HAAAA3wAA AA8AAAAAAAAAAAAAAAAABwIAAGRycy9kb3ducmV2LnhtbFBLBQYAAAAAAwADALcAAAD7AgAAAAA= " path="m,l209563,r,242989l,242989,,e" fillcolor="#7f6000" stroked="f" strokeweight="0">
                      <v:stroke miterlimit="83231f" joinstyle="miter"/>
                      <v:path arrowok="t" textboxrect="0,0,209563,242989"/>
                    </v:shape>
                    <w10:wrap type="square" anchorx="page" anchory="page"/>
                  </v:group>
                </w:pict>
              </mc:Fallback>
            </mc:AlternateContent>
          </w:r>
          <w:r>
            <w:rPr>
              <w:rFonts w:ascii="Calibri" w:eastAsia="Calibri" w:hAnsi="Calibri" w:cs="Calibri"/>
              <w:color w:val="806000"/>
              <w:sz w:val="28"/>
              <w:vertAlign w:val="subscript"/>
            </w:rPr>
            <w:t xml:space="preserve">                               </w:t>
          </w:r>
          <w:r>
            <w:rPr>
              <w:i/>
              <w:color w:val="181717"/>
              <w:sz w:val="28"/>
            </w:rPr>
            <w:t>tarybos sprendimu Nr. T-</w:t>
          </w:r>
        </w:p>
        <w:p>
          <w:pPr>
            <w:spacing w:line="259" w:lineRule="auto"/>
            <w:ind w:right="811" w:firstLine="690"/>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lang w:val="en-US"/>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sdt>
          <w:sdtPr>
            <w:alias w:val="skirsnis"/>
            <w:tag w:val="part_2702b71e5b084c07a32e69d9d0a051e7"/>
            <w:lock w:val="sdtLocked"/>
            <w:richText/>
          </w:sdtPr>
          <w:sdtContent>
            <w:sdt>
              <w:sdtPr>
                <w:alias w:val="Pavadinimas"/>
                <w:tag w:val="title_2702b71e5b084c07a32e69d9d0a051e7"/>
                <w:lock w:val="sdtLocked"/>
                <w:richText/>
              </w:sdtPr>
              <w:sdtContent>
                <w:p>
                  <w:pPr>
                    <w:spacing w:line="259" w:lineRule="auto"/>
                    <w:ind w:right="811"/>
                    <w:jc w:val="right"/>
                  </w:pPr>
                  <w:r>
                    <w:rPr>
                      <w:rFonts w:ascii="Calibri" w:eastAsia="Calibri" w:hAnsi="Calibri" w:cs="Calibri"/>
                      <w:b/>
                      <w:color w:val="806000"/>
                      <w:sz w:val="52"/>
                    </w:rPr>
                    <w:t xml:space="preserve">RADVILIŠKIO RAJONO SAVIVALDYBĖS </w:t>
                  </w:r>
                </w:p>
                <w:p>
                  <w:pPr>
                    <w:ind w:right="809"/>
                    <w:jc w:val="right"/>
                  </w:pPr>
                  <w:r>
                    <w:rPr>
                      <w:rFonts w:ascii="Calibri" w:eastAsia="Calibri" w:hAnsi="Calibri" w:cs="Calibri"/>
                      <w:b/>
                      <w:color w:val="806000"/>
                      <w:sz w:val="52"/>
                    </w:rPr>
                    <w:t>2025–2027 M. STRATEGINIS VEIKLOS PLANAS</w:t>
                  </w:r>
                </w:p>
              </w:sdtContent>
            </w:sdt>
            <w:p>
              <w:pPr>
                <w:jc w:val="center"/>
                <w:rPr>
                  <w:rFonts w:cs="Arial"/>
                  <w:szCs w:val="24"/>
                </w:rPr>
              </w:pPr>
            </w:p>
            <w:p>
              <w:pPr>
                <w:jc w:val="center"/>
                <w:rPr>
                  <w:rFonts w:cs="Arial"/>
                  <w:szCs w:val="24"/>
                </w:rPr>
              </w:pPr>
            </w:p>
            <w:p>
              <w:pPr>
                <w:jc w:val="center"/>
                <w:rPr>
                  <w:rFonts w:cs="Arial"/>
                  <w:szCs w:val="24"/>
                </w:rPr>
              </w:pPr>
            </w:p>
            <w:p>
              <w:pPr>
                <w:jc w:val="center"/>
                <w:rPr>
                  <w:rFonts w:cs="Arial"/>
                  <w:szCs w:val="24"/>
                </w:rPr>
              </w:pPr>
            </w:p>
            <w:p>
              <w:pPr>
                <w:jc w:val="center"/>
                <w:rPr>
                  <w:rFonts w:cs="Arial"/>
                  <w:szCs w:val="24"/>
                </w:rPr>
              </w:pPr>
            </w:p>
            <w:p>
              <w:pPr>
                <w:jc w:val="center"/>
                <w:rPr>
                  <w:rFonts w:cs="Arial"/>
                  <w:szCs w:val="24"/>
                </w:rPr>
              </w:pPr>
            </w:p>
            <w:p>
              <w:pPr>
                <w:jc w:val="center"/>
                <w:rPr>
                  <w:rFonts w:cs="Arial"/>
                  <w:szCs w:val="24"/>
                </w:rPr>
              </w:pPr>
            </w:p>
            <w:p>
              <w:pPr>
                <w:jc w:val="center"/>
                <w:rPr>
                  <w:rFonts w:cs="Arial"/>
                  <w:szCs w:val="24"/>
                </w:rPr>
              </w:pPr>
            </w:p>
          </w:sdtContent>
        </w:sdt>
        <w:sdt>
          <w:sdtPr>
            <w:alias w:val="skyrius"/>
            <w:tag w:val="part_5d60c5902f254db68d174642985b31f6"/>
            <w:lock w:val="sdtLocked"/>
            <w:richText/>
          </w:sdtPr>
          <w:sdtContent>
            <w:p>
              <w:pPr>
                <w:ind w:left="360"/>
                <w:jc w:val="center"/>
                <w:rPr>
                  <w:b/>
                  <w:bCs/>
                  <w:color w:val="000000"/>
                  <w:szCs w:val="24"/>
                </w:rPr>
              </w:pPr>
              <w:sdt>
                <w:sdtPr>
                  <w:alias w:val="Numeris"/>
                  <w:tag w:val="nr_5d60c5902f254db68d174642985b31f6"/>
                  <w:lock w:val="sdtLocked"/>
                  <w:richText/>
                </w:sdtPr>
                <w:sdtContent>
                  <w:r>
                    <w:rPr>
                      <w:b/>
                      <w:bCs/>
                      <w:color w:val="000000"/>
                      <w:szCs w:val="24"/>
                    </w:rPr>
                    <w:t>I</w:t>
                  </w:r>
                </w:sdtContent>
              </w:sdt>
              <w:r>
                <w:rPr>
                  <w:b/>
                  <w:bCs/>
                  <w:color w:val="000000"/>
                  <w:szCs w:val="24"/>
                </w:rPr>
                <w:t xml:space="preserve"> SKYRIUS</w:t>
              </w:r>
            </w:p>
            <w:p>
              <w:pPr>
                <w:ind w:left="360"/>
                <w:jc w:val="center"/>
                <w:rPr>
                  <w:b/>
                  <w:bCs/>
                  <w:color w:val="000000"/>
                  <w:szCs w:val="24"/>
                </w:rPr>
              </w:pPr>
              <w:sdt>
                <w:sdtPr>
                  <w:alias w:val="Pavadinimas"/>
                  <w:tag w:val="title_5d60c5902f254db68d174642985b31f6"/>
                  <w:lock w:val="sdtLocked"/>
                  <w:richText/>
                </w:sdtPr>
                <w:sdtContent>
                  <w:r>
                    <w:rPr>
                      <w:b/>
                      <w:bCs/>
                      <w:color w:val="000000"/>
                      <w:szCs w:val="24"/>
                    </w:rPr>
                    <w:t>SAVIVALDYBĖS MISIJA IR VEIKLOS PRIORITETAI</w:t>
                  </w:r>
                </w:sdtContent>
              </w:sdt>
            </w:p>
            <w:p>
              <w:pPr>
                <w:ind w:left="360"/>
                <w:rPr>
                  <w:sz w:val="10"/>
                  <w:szCs w:val="10"/>
                </w:rPr>
              </w:pPr>
            </w:p>
            <w:p>
              <w:pPr>
                <w:jc w:val="center"/>
                <w:rPr>
                  <w:rFonts w:cs="Arial"/>
                  <w:b/>
                  <w:bCs/>
                  <w:sz w:val="28"/>
                  <w:szCs w:val="28"/>
                </w:rPr>
              </w:pPr>
            </w:p>
            <w:p/>
            <w:p>
              <w:pPr>
                <w:rPr>
                  <w:sz w:val="4"/>
                  <w:szCs w:val="4"/>
                </w:rPr>
              </w:pPr>
            </w:p>
            <w:p>
              <w:pPr>
                <w:keepNext/>
                <w:keepLines/>
                <w:spacing w:line="259" w:lineRule="auto"/>
                <w:ind w:firstLine="402"/>
                <w:outlineLvl w:val="1"/>
                <w:rPr>
                  <w:color w:val="BF8F00"/>
                  <w:sz w:val="26"/>
                  <w:szCs w:val="26"/>
                </w:rPr>
              </w:pPr>
              <w:r>
                <w:rPr>
                  <w:color w:val="BF8F00"/>
                  <w:sz w:val="26"/>
                  <w:szCs w:val="26"/>
                </w:rPr>
                <w:t>RADVILIŠKIO RAJONO MISIJA</w:t>
              </w:r>
            </w:p>
            <w:p>
              <w:r>
                <w:rPr>
                  <w:lang w:val="en-US"/>
                </w:rPr>
                <mc:AlternateContent>
                  <mc:Choice Requires="wps">
                    <w:drawing>
                      <wp:anchor distT="0" distB="0" distL="114300" distR="114300" simplePos="0" relativeHeight="251663872" behindDoc="0" locked="0" layoutInCell="1" allowOverlap="1" wp14:anchorId="5F2544D1" wp14:editId="4BE3C6AF">
                        <wp:simplePos x="0" y="0"/>
                        <wp:positionH relativeFrom="column">
                          <wp:posOffset>204470</wp:posOffset>
                        </wp:positionH>
                        <wp:positionV relativeFrom="paragraph">
                          <wp:posOffset>81915</wp:posOffset>
                        </wp:positionV>
                        <wp:extent cx="5886450" cy="914400"/>
                        <wp:effectExtent l="0" t="0" r="19050" b="19050"/>
                        <wp:wrapNone/>
                        <wp:docPr id="912" name="Rectangle 912"/>
                        <wp:cNvGraphicFramePr/>
                        <a:graphic xmlns:a="http://schemas.openxmlformats.org/drawingml/2006/main">
                          <a:graphicData uri="http://schemas.microsoft.com/office/word/2010/wordprocessingShape">
                            <wps:wsp>
                              <wps:cNvSpPr/>
                              <wps:spPr>
                                <a:xfrm>
                                  <a:off x="0" y="0"/>
                                  <a:ext cx="5886450" cy="914400"/>
                                </a:xfrm>
                                <a:prstGeom prst="rect">
                                  <a:avLst/>
                                </a:prstGeom>
                                <a:ln/>
                              </wps:spPr>
                              <wps:style>
                                <a:lnRef idx="2">
                                  <a:schemeClr val="accent4"/>
                                </a:lnRef>
                                <a:fillRef idx="1">
                                  <a:schemeClr val="lt1"/>
                                </a:fillRef>
                                <a:effectRef idx="0">
                                  <a:schemeClr val="accent4"/>
                                </a:effectRef>
                                <a:fontRef idx="minor">
                                  <a:schemeClr val="dk1"/>
                                </a:fontRef>
                              </wps:style>
                              <wps:txbx>
                                <w:txbxContent>
                                  <w:p>
                                    <w:pPr>
                                      <w:jc w:val="center"/>
                                    </w:pPr>
                                    <w:r>
                                      <w:rPr>
                                        <w:b/>
                                        <w:color w:val="000000"/>
                                        <w:sz w:val="20"/>
                                      </w:rPr>
                                      <w:t xml:space="preserve">Radviliškio miestas ir rajonas  – išvystytas pramonės, transporto, logistikos ir žemės ūkio bei turizmo kraštas su išplėtota socialine infrastruktūra ir aktyviomis bendruomenėmis</w:t>
                                    </w:r>
                                    <w:r>
                                      <w:rPr>
                                        <w:color w:val="000000"/>
                                        <w:sz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F2544D1" id="Rectangle 912" o:spid="_x0000_s1026" style="position:absolute;margin-left:16.1pt;margin-top:6.45pt;width:463.5pt;height:1in;z-index:2516638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7pjvkcAIAACgFAAAOAAAAZHJzL2Uyb0RvYy54bWysVE1PGzEQvVfqf7B8L5uNAoWIDYpAVJUQ RUDF2fHayaq2xx072U1/fcfezUJpTlUv9tjz5XnzxpdXnTVspzA04Cpenkw4U05C3bh1xb8/3346 5yxE4WphwKmK71XgV4uPHy5bP1dT2ICpFTIK4sK89RXfxOjnRRHkRlkRTsArR0oNaEWkI66LGkVL 0a0pppPJWdEC1h5BqhDo9qZX8kWOr7WS8ZvWQUVmKk5vi3nFvK7SWiwuxXyNwm8aOTxD/MMrrGgc JR1D3Ygo2Babv0LZRiIE0PFEgi1A60aqXANVU07eVfO0EV7lWgic4EeYwv8LK+93D8iauuIX5ZQz Jyw16ZFgE25tFEuXBFHrw5wsn/wDDqdAYqq302jTTpWwLsO6H2FVXWSSLk/Pz89mp4S+JN1FOZtN Mu7Fq7fHEL8osCwJFUfKn9EUu7sQKSOZHkxSMuPSXXpU/4wsxb1RvfJRaaqIEk9zkMwldW2Q7QSx QEipXJylsiiscWSd3HRjzOhYHnM0sRycBtvkpjLHRsfJMcc/M44eOSu4ODrbxgEeC1D/GDP39ofq +5pT+bFbdUNrVlDvqacIPdmDl7cNwXonQnwQSOymTtDExm+0aANtxWGQONsA/jp2n+yJdKTlrKVp qXj4uRWoODNfHdExd5XGKx9mp5+nlAPfalZvNW5rr4FaUdLf4GUWk300B1Ej2Bca7GXKSirhJOWu uIx4OFzHforpa5BqucxmNFJexDv35GUKngBOtHnuXgT6gVuRWHkPh8kS83cU622Tp4PlNoJuMv8S xD2uA/Q0jpk/w9eR5v3tOVu9fnCL3wAAAP//AwBQSwMEFAAGAAgAAAAhAPCkZALdAAAACQEAAA8A AABkcnMvZG93bnJldi54bWxMj8FOwzAQRO9I/IO1SNyoXUcpTYhTVSCOHGgRqDc33iaB2I5spw1/ z3KC474Zzc5Um9kO7Iwh9t4pWC4EMHSNN71rFbztn+/WwGLSzujBO1TwjRE29fVVpUvjL+4Vz7vU MgpxsdQKupTGkvPYdGh1XPgRHWknH6xOdIaWm6AvFG4HLoVYcat7Rx86PeJjh83XbrIKcpm8eF+e XrLweZ89fcRpKw6TUrc38/YBWMI5/Znhtz5Vh5o6Hf3kTGSDgkxKchKXBTDSi7wgcCSQrwrgdcX/ L6h/AAAA//8DAFBLAQItABQABgAIAAAAIQC2gziS/gAAAOEBAAATAAAAAAAAAAAAAAAAAAAAAABb Q29udGVudF9UeXBlc10ueG1sUEsBAi0AFAAGAAgAAAAhADj9If/WAAAAlAEAAAsAAAAAAAAAAAAA AAAALwEAAF9yZWxzLy5yZWxzUEsBAi0AFAAGAAgAAAAhALumO+RwAgAAKAUAAA4AAAAAAAAAAAAA AAAALgIAAGRycy9lMm9Eb2MueG1sUEsBAi0AFAAGAAgAAAAhAPCkZALdAAAACQEAAA8AAAAAAAAA AAAAAAAAygQAAGRycy9kb3ducmV2LnhtbFBLBQYAAAAABAAEAPMAAADUBQAAAAA= " fillcolor="white [3201]" strokecolor="#ffc000 [3207]" strokeweight="1pt">
                        <v:textbox>
                          <w:txbxContent>
                            <w:p w14:paraId="0DD5F400" w14:textId="114018C2">
                              <w:pPr>
                                <w:jc w:val="center"/>
                                <w:rPr>
                                  <w:rFonts w:ascii="Times New Roman" w:hAnsi="Times New Roman" w:eastAsia="Times New Roman" w:cs="Times New Roman"/>
                                </w:rPr>
                              </w:pPr>
                              <w:r>
                                <w:rPr>
                                  <w:rFonts w:ascii="Times New Roman" w:hAnsi="Times New Roman" w:eastAsia="Times New Roman" w:cs="Times New Roman"/>
                                  <w:b/>
                                  <w:color w:val="000000"/>
                                  <w:sz w:val="20"/>
                                </w:rPr>
                                <w:t xml:space="preserve">Radviliškio miestas ir rajonas  – išvystytas pramonės, transporto, logistikos ir žemės ūkio bei turizmo kraštas su išplėtota socialine infrastruktūra ir aktyviomis bendruomenėmis</w:t>
                              </w:r>
                              <w:r>
                                <w:rPr>
                                  <w:rFonts w:ascii="Times New Roman" w:hAnsi="Times New Roman" w:eastAsia="Times New Roman" w:cs="Times New Roman"/>
                                  <w:color w:val="000000"/>
                                  <w:sz w:val="20"/>
                                </w:rPr>
                                <w:t>.</w:t>
                              </w:r>
                            </w:p>
                          </w:txbxContent>
                        </v:textbox>
                      </v:rect>
                    </w:pict>
                  </mc:Fallback>
                </mc:AlternateContent>
              </w:r>
            </w:p>
            <w:p/>
            <w:p/>
            <w:p/>
            <w:p>
              <w:pPr>
                <w:rPr>
                  <w:sz w:val="4"/>
                  <w:szCs w:val="4"/>
                </w:rPr>
              </w:pPr>
            </w:p>
            <w:p>
              <w:pPr>
                <w:keepNext/>
                <w:keepLines/>
                <w:spacing w:line="259" w:lineRule="auto"/>
                <w:outlineLvl w:val="1"/>
                <w:rPr>
                  <w:rFonts w:eastAsia="MS Mincho"/>
                  <w:color w:val="BF8F00"/>
                  <w:sz w:val="26"/>
                  <w:szCs w:val="26"/>
                  <w:lang w:eastAsia="ar-SA"/>
                </w:rPr>
              </w:pPr>
            </w:p>
            <w:p>
              <w:pPr>
                <w:rPr>
                  <w:sz w:val="4"/>
                  <w:szCs w:val="4"/>
                </w:rPr>
              </w:pPr>
            </w:p>
            <w:p>
              <w:pPr>
                <w:keepNext/>
                <w:keepLines/>
                <w:spacing w:line="259" w:lineRule="auto"/>
                <w:outlineLvl w:val="1"/>
                <w:rPr>
                  <w:rFonts w:eastAsia="MS Mincho"/>
                  <w:color w:val="BF8F00"/>
                  <w:sz w:val="26"/>
                  <w:szCs w:val="26"/>
                  <w:lang w:eastAsia="ar-SA"/>
                </w:rPr>
              </w:pPr>
            </w:p>
            <w:p>
              <w:pPr>
                <w:rPr>
                  <w:sz w:val="4"/>
                  <w:szCs w:val="4"/>
                </w:rPr>
              </w:pPr>
            </w:p>
            <w:p>
              <w:pPr>
                <w:keepNext/>
                <w:keepLines/>
                <w:spacing w:line="259" w:lineRule="auto"/>
                <w:ind w:firstLine="67"/>
                <w:outlineLvl w:val="1"/>
                <w:rPr>
                  <w:rFonts w:eastAsia="MS Mincho"/>
                  <w:color w:val="BF8F00"/>
                  <w:sz w:val="26"/>
                  <w:szCs w:val="26"/>
                  <w:lang w:eastAsia="ar-SA"/>
                </w:rPr>
              </w:pPr>
              <w:r>
                <w:rPr>
                  <w:rFonts w:eastAsia="MS Mincho"/>
                  <w:color w:val="BF8F00"/>
                  <w:sz w:val="26"/>
                  <w:szCs w:val="26"/>
                  <w:lang w:eastAsia="ar-SA"/>
                </w:rPr>
                <w:t xml:space="preserve">RADVILIŠKIO RAJONO SAVIVALDYBĖS STRATEGINIAI PLĖTROS PRIORITETAI </w:t>
              </w:r>
            </w:p>
            <w:p>
              <w:pPr>
                <w:rPr>
                  <w:rFonts w:eastAsia="MS Mincho"/>
                  <w:lang w:eastAsia="ar-SA"/>
                </w:rPr>
              </w:pPr>
            </w:p>
            <w:p>
              <w:pPr>
                <w:rPr>
                  <w:lang w:eastAsia="ar-SA"/>
                </w:rPr>
              </w:pPr>
              <w:r>
                <w:rPr>
                  <w:lang w:eastAsia="ar-SA"/>
                </w:rPr>
                <w:t>Suformuotos vizijos įgyvendinimui buvo nustatyti 4 prioritetai:</w:t>
              </w:r>
            </w:p>
            <w:p>
              <w:pPr>
                <w:rPr>
                  <w:szCs w:val="24"/>
                  <w:lang w:eastAsia="ar-SA"/>
                </w:rPr>
              </w:pPr>
              <w:r>
                <w:rPr>
                  <w:szCs w:val="24"/>
                  <w:lang w:val="en-US"/>
                </w:rPr>
                <w:drawing>
                  <wp:inline distT="0" distB="0" distL="0" distR="0" wp14:anchorId="009D3F5F" wp14:editId="06765A04">
                    <wp:extent cx="6581775" cy="2059305"/>
                    <wp:effectExtent l="0" t="0" r="9525" b="0"/>
                    <wp:docPr id="913" name="Diagram 913"/>
                    <wp:cNvGraphicFramePr/>
                    <a:graphic xmlns:a="http://schemas.openxmlformats.org/drawingml/2006/main">
                      <a:graphicData uri="http://schemas.openxmlformats.org/drawingml/2006/diagram">
                        <dgm:relIds xmlns:dgm="http://schemas.openxmlformats.org/drawingml/2006/diagram" r:dm="rId7" r:lo="rId8" r:qs="rId9" r:cs="rId10"/>
                      </a:graphicData>
                    </a:graphic>
                  </wp:inline>
                </w:drawing>
              </w:r>
            </w:p>
            <w:p>
              <w:pPr>
                <w:rPr>
                  <w:sz w:val="20"/>
                </w:rPr>
              </w:pPr>
            </w:p>
            <w:p>
              <w:pPr>
                <w:rPr>
                  <w:sz w:val="20"/>
                </w:rPr>
              </w:pPr>
            </w:p>
          </w:sdtContent>
        </w:sdt>
        <w:sdt>
          <w:sdtPr>
            <w:alias w:val="skyrius"/>
            <w:tag w:val="part_3855ed21e19f40619bcd720d0f4f4633"/>
            <w:lock w:val="sdtLocked"/>
            <w:richText/>
          </w:sdtPr>
          <w:sdtContent>
            <w:p>
              <w:pPr>
                <w:jc w:val="center"/>
                <w:rPr>
                  <w:b/>
                  <w:bCs/>
                  <w:color w:val="000000"/>
                  <w:szCs w:val="24"/>
                </w:rPr>
              </w:pPr>
              <w:sdt>
                <w:sdtPr>
                  <w:alias w:val="Numeris"/>
                  <w:tag w:val="nr_3855ed21e19f40619bcd720d0f4f4633"/>
                  <w:lock w:val="sdtLocked"/>
                  <w:richText/>
                </w:sdtPr>
                <w:sdtContent>
                  <w:r>
                    <w:rPr>
                      <w:b/>
                      <w:bCs/>
                      <w:color w:val="000000"/>
                      <w:szCs w:val="24"/>
                    </w:rPr>
                    <w:t>II</w:t>
                  </w:r>
                </w:sdtContent>
              </w:sdt>
              <w:r>
                <w:rPr>
                  <w:b/>
                  <w:bCs/>
                  <w:color w:val="000000"/>
                  <w:szCs w:val="24"/>
                </w:rPr>
                <w:t xml:space="preserve"> SKYRIUS</w:t>
              </w:r>
            </w:p>
            <w:p>
              <w:pPr>
                <w:jc w:val="center"/>
                <w:rPr>
                  <w:b/>
                  <w:bCs/>
                  <w:color w:val="000000"/>
                  <w:szCs w:val="24"/>
                </w:rPr>
              </w:pPr>
              <w:sdt>
                <w:sdtPr>
                  <w:alias w:val="Pavadinimas"/>
                  <w:tag w:val="title_3855ed21e19f40619bcd720d0f4f4633"/>
                  <w:lock w:val="sdtLocked"/>
                  <w:richText/>
                </w:sdtPr>
                <w:sdtContent>
                  <w:r>
                    <w:rPr>
                      <w:b/>
                      <w:bCs/>
                      <w:color w:val="000000"/>
                      <w:szCs w:val="24"/>
                    </w:rPr>
                    <w:t>SAVIVALDYBĖS PLĖTROS TIKSLAI, UŽDAVINIAI IR JŲ STEBĖSENOS RODIKLIAI</w:t>
                  </w:r>
                </w:sdtContent>
              </w:sdt>
            </w:p>
            <w:p>
              <w:pPr>
                <w:jc w:val="center"/>
                <w:rPr>
                  <w:b/>
                  <w:bCs/>
                  <w:color w:val="000000"/>
                  <w:szCs w:val="24"/>
                </w:rPr>
              </w:pPr>
            </w:p>
            <w:p>
              <w:pPr>
                <w:rPr>
                  <w:sz w:val="20"/>
                </w:rPr>
              </w:pPr>
            </w:p>
            <w:tbl>
              <w:tblPr>
                <w:tblW w:w="10200"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4A0" w:firstRow="1" w:lastRow="0" w:firstColumn="1" w:lastColumn="0" w:noHBand="0" w:noVBand="1"/>
              </w:tblPr>
              <w:tblGrid>
                <w:gridCol w:w="1875"/>
                <w:gridCol w:w="1415"/>
                <w:gridCol w:w="1271"/>
                <w:gridCol w:w="1126"/>
                <w:gridCol w:w="986"/>
                <w:gridCol w:w="1123"/>
                <w:gridCol w:w="1133"/>
                <w:gridCol w:w="1271"/>
              </w:tblGrid>
              <w:tr>
                <w:trPr>
                  <w:tblHeader/>
                  <w:jc w:val="center"/>
                </w:trPr>
                <w:tc>
                  <w:tcPr>
                    <w:tcW w:w="1875" w:type="dxa"/>
                    <w:vMerge w:val="restart"/>
                    <w:shd w:val="clear" w:color="auto" w:fill="FFE8CB"/>
                    <w:vAlign w:val="center"/>
                    <w:hideMark/>
                  </w:tcPr>
                  <w:p>
                    <w:pPr>
                      <w:jc w:val="center"/>
                      <w:rPr>
                        <w:b/>
                        <w:sz w:val="20"/>
                      </w:rPr>
                    </w:pPr>
                    <w:r>
                      <w:rPr>
                        <w:b/>
                        <w:sz w:val="20"/>
                      </w:rPr>
                      <w:t>SSPP tikslai ir uždaviniai</w:t>
                    </w:r>
                  </w:p>
                </w:tc>
                <w:tc>
                  <w:tcPr>
                    <w:tcW w:w="1415" w:type="dxa"/>
                    <w:vMerge w:val="restart"/>
                    <w:shd w:val="clear" w:color="auto" w:fill="FFE8CB"/>
                    <w:vAlign w:val="center"/>
                    <w:hideMark/>
                  </w:tcPr>
                  <w:p>
                    <w:pPr>
                      <w:jc w:val="center"/>
                      <w:rPr>
                        <w:b/>
                        <w:sz w:val="20"/>
                      </w:rPr>
                    </w:pPr>
                    <w:r>
                      <w:rPr>
                        <w:b/>
                        <w:sz w:val="20"/>
                      </w:rPr>
                      <w:t>Stebėsenos rodiklis (matavimo vnt.)</w:t>
                    </w:r>
                  </w:p>
                </w:tc>
                <w:tc>
                  <w:tcPr>
                    <w:tcW w:w="1271" w:type="dxa"/>
                    <w:vMerge w:val="restart"/>
                    <w:shd w:val="clear" w:color="auto" w:fill="FFE8CB"/>
                    <w:vAlign w:val="center"/>
                    <w:hideMark/>
                  </w:tcPr>
                  <w:p>
                    <w:pPr>
                      <w:jc w:val="center"/>
                      <w:rPr>
                        <w:b/>
                        <w:sz w:val="20"/>
                      </w:rPr>
                    </w:pPr>
                    <w:r>
                      <w:rPr>
                        <w:b/>
                        <w:sz w:val="20"/>
                      </w:rPr>
                      <w:t>Pradinė stebėsenos rodiklio reikšmė 2021 metai</w:t>
                    </w:r>
                  </w:p>
                </w:tc>
                <w:tc>
                  <w:tcPr>
                    <w:tcW w:w="3235" w:type="dxa"/>
                    <w:gridSpan w:val="3"/>
                    <w:shd w:val="clear" w:color="auto" w:fill="FFE8CB"/>
                    <w:vAlign w:val="center"/>
                    <w:hideMark/>
                  </w:tcPr>
                  <w:p>
                    <w:pPr>
                      <w:jc w:val="center"/>
                      <w:rPr>
                        <w:b/>
                        <w:sz w:val="20"/>
                      </w:rPr>
                    </w:pPr>
                    <w:r>
                      <w:rPr>
                        <w:b/>
                        <w:sz w:val="20"/>
                      </w:rPr>
                      <w:t>Siektinos stebėsenos rodiklio reikšmės</w:t>
                    </w:r>
                  </w:p>
                </w:tc>
                <w:tc>
                  <w:tcPr>
                    <w:tcW w:w="1133" w:type="dxa"/>
                    <w:vMerge w:val="restart"/>
                    <w:shd w:val="clear" w:color="auto" w:fill="FFE8CB"/>
                    <w:vAlign w:val="center"/>
                    <w:hideMark/>
                  </w:tcPr>
                  <w:p>
                    <w:pPr>
                      <w:jc w:val="center"/>
                      <w:rPr>
                        <w:b/>
                        <w:sz w:val="20"/>
                      </w:rPr>
                    </w:pPr>
                    <w:r>
                      <w:rPr>
                        <w:b/>
                        <w:sz w:val="20"/>
                      </w:rPr>
                      <w:t>Faktinė stebėsenos rodiklio reikšmė 2024 metai</w:t>
                    </w:r>
                  </w:p>
                </w:tc>
                <w:tc>
                  <w:tcPr>
                    <w:tcW w:w="1271" w:type="dxa"/>
                    <w:vMerge w:val="restart"/>
                    <w:shd w:val="clear" w:color="auto" w:fill="FFE8CB"/>
                    <w:vAlign w:val="center"/>
                    <w:hideMark/>
                  </w:tcPr>
                  <w:p>
                    <w:pPr>
                      <w:jc w:val="center"/>
                      <w:rPr>
                        <w:b/>
                        <w:sz w:val="20"/>
                      </w:rPr>
                    </w:pPr>
                    <w:r>
                      <w:rPr>
                        <w:b/>
                        <w:sz w:val="20"/>
                      </w:rPr>
                      <w:t>Siekiama stebėsenos rodiklio reikšmė 2030 metai</w:t>
                    </w:r>
                  </w:p>
                </w:tc>
              </w:tr>
              <w:tr>
                <w:trPr>
                  <w:tblHeader/>
                  <w:jc w:val="center"/>
                </w:trPr>
                <w:tc>
                  <w:tcPr>
                    <w:tcW w:w="1875" w:type="dxa"/>
                    <w:vMerge/>
                    <w:shd w:val="clear" w:color="auto" w:fill="FFE8CB"/>
                    <w:vAlign w:val="center"/>
                    <w:hideMark/>
                  </w:tcPr>
                  <w:p>
                    <w:pPr>
                      <w:jc w:val="center"/>
                      <w:rPr>
                        <w:bCs/>
                        <w:sz w:val="20"/>
                      </w:rPr>
                    </w:pPr>
                  </w:p>
                </w:tc>
                <w:tc>
                  <w:tcPr>
                    <w:tcW w:w="1415" w:type="dxa"/>
                    <w:vMerge/>
                    <w:shd w:val="clear" w:color="auto" w:fill="FFE8CB"/>
                    <w:vAlign w:val="center"/>
                    <w:hideMark/>
                  </w:tcPr>
                  <w:p>
                    <w:pPr>
                      <w:jc w:val="center"/>
                      <w:rPr>
                        <w:bCs/>
                        <w:sz w:val="20"/>
                      </w:rPr>
                    </w:pPr>
                  </w:p>
                </w:tc>
                <w:tc>
                  <w:tcPr>
                    <w:tcW w:w="1271" w:type="dxa"/>
                    <w:vMerge/>
                    <w:shd w:val="clear" w:color="auto" w:fill="FFE8CB"/>
                    <w:vAlign w:val="center"/>
                    <w:hideMark/>
                  </w:tcPr>
                  <w:p>
                    <w:pPr>
                      <w:jc w:val="center"/>
                      <w:rPr>
                        <w:bCs/>
                        <w:sz w:val="20"/>
                      </w:rPr>
                    </w:pPr>
                  </w:p>
                </w:tc>
                <w:tc>
                  <w:tcPr>
                    <w:tcW w:w="1126" w:type="dxa"/>
                    <w:shd w:val="clear" w:color="auto" w:fill="FFE8CB"/>
                    <w:vAlign w:val="center"/>
                    <w:hideMark/>
                  </w:tcPr>
                  <w:p>
                    <w:pPr>
                      <w:jc w:val="center"/>
                      <w:rPr>
                        <w:b/>
                        <w:i/>
                        <w:sz w:val="20"/>
                      </w:rPr>
                    </w:pPr>
                    <w:r>
                      <w:rPr>
                        <w:b/>
                        <w:i/>
                        <w:sz w:val="20"/>
                      </w:rPr>
                      <w:t xml:space="preserve">2025 </w:t>
                    </w:r>
                    <w:r>
                      <w:rPr>
                        <w:b/>
                        <w:sz w:val="20"/>
                      </w:rPr>
                      <w:t>metai</w:t>
                    </w:r>
                  </w:p>
                </w:tc>
                <w:tc>
                  <w:tcPr>
                    <w:tcW w:w="986" w:type="dxa"/>
                    <w:shd w:val="clear" w:color="auto" w:fill="FFE8CB"/>
                    <w:vAlign w:val="center"/>
                    <w:hideMark/>
                  </w:tcPr>
                  <w:p>
                    <w:pPr>
                      <w:jc w:val="center"/>
                      <w:rPr>
                        <w:b/>
                        <w:sz w:val="20"/>
                      </w:rPr>
                    </w:pPr>
                    <w:r>
                      <w:rPr>
                        <w:b/>
                        <w:sz w:val="20"/>
                      </w:rPr>
                      <w:t>2026 metai</w:t>
                    </w:r>
                  </w:p>
                </w:tc>
                <w:tc>
                  <w:tcPr>
                    <w:tcW w:w="1123" w:type="dxa"/>
                    <w:shd w:val="clear" w:color="auto" w:fill="FFE8CB"/>
                    <w:vAlign w:val="center"/>
                    <w:hideMark/>
                  </w:tcPr>
                  <w:p>
                    <w:pPr>
                      <w:jc w:val="center"/>
                      <w:rPr>
                        <w:b/>
                        <w:sz w:val="20"/>
                      </w:rPr>
                    </w:pPr>
                    <w:r>
                      <w:rPr>
                        <w:b/>
                        <w:sz w:val="20"/>
                      </w:rPr>
                      <w:t>2027 metai</w:t>
                    </w:r>
                  </w:p>
                </w:tc>
                <w:tc>
                  <w:tcPr>
                    <w:tcW w:w="1133" w:type="dxa"/>
                    <w:vMerge/>
                    <w:shd w:val="clear" w:color="auto" w:fill="FFE8CB"/>
                    <w:vAlign w:val="center"/>
                    <w:hideMark/>
                  </w:tcPr>
                  <w:p>
                    <w:pPr>
                      <w:jc w:val="center"/>
                      <w:rPr>
                        <w:bCs/>
                        <w:sz w:val="20"/>
                      </w:rPr>
                    </w:pPr>
                  </w:p>
                </w:tc>
                <w:tc>
                  <w:tcPr>
                    <w:tcW w:w="1271" w:type="dxa"/>
                    <w:vMerge/>
                    <w:shd w:val="clear" w:color="auto" w:fill="FFE8CB"/>
                    <w:vAlign w:val="center"/>
                    <w:hideMark/>
                  </w:tcPr>
                  <w:p>
                    <w:pPr>
                      <w:jc w:val="center"/>
                      <w:rPr>
                        <w:bCs/>
                        <w:sz w:val="20"/>
                      </w:rPr>
                    </w:pPr>
                  </w:p>
                </w:tc>
              </w:tr>
              <w:tr>
                <w:trPr>
                  <w:trHeight w:val="108"/>
                  <w:tblHeader/>
                  <w:jc w:val="center"/>
                </w:trPr>
                <w:tc>
                  <w:tcPr>
                    <w:tcW w:w="1875" w:type="dxa"/>
                    <w:shd w:val="clear" w:color="auto" w:fill="FFE8CB"/>
                    <w:hideMark/>
                  </w:tcPr>
                  <w:p>
                    <w:pPr>
                      <w:jc w:val="center"/>
                      <w:rPr>
                        <w:sz w:val="20"/>
                      </w:rPr>
                    </w:pPr>
                    <w:r>
                      <w:rPr>
                        <w:sz w:val="20"/>
                      </w:rPr>
                      <w:t>1</w:t>
                    </w:r>
                  </w:p>
                </w:tc>
                <w:tc>
                  <w:tcPr>
                    <w:tcW w:w="1415" w:type="dxa"/>
                    <w:shd w:val="clear" w:color="auto" w:fill="FFE8CB"/>
                    <w:hideMark/>
                  </w:tcPr>
                  <w:p>
                    <w:pPr>
                      <w:jc w:val="center"/>
                      <w:rPr>
                        <w:sz w:val="20"/>
                      </w:rPr>
                    </w:pPr>
                    <w:r>
                      <w:rPr>
                        <w:sz w:val="20"/>
                      </w:rPr>
                      <w:t>2</w:t>
                    </w:r>
                  </w:p>
                </w:tc>
                <w:tc>
                  <w:tcPr>
                    <w:tcW w:w="1271" w:type="dxa"/>
                    <w:shd w:val="clear" w:color="auto" w:fill="FFE8CB"/>
                    <w:hideMark/>
                  </w:tcPr>
                  <w:p>
                    <w:pPr>
                      <w:jc w:val="center"/>
                      <w:rPr>
                        <w:sz w:val="20"/>
                      </w:rPr>
                    </w:pPr>
                    <w:r>
                      <w:rPr>
                        <w:sz w:val="20"/>
                      </w:rPr>
                      <w:t>3</w:t>
                    </w:r>
                  </w:p>
                </w:tc>
                <w:tc>
                  <w:tcPr>
                    <w:tcW w:w="1126" w:type="dxa"/>
                    <w:shd w:val="clear" w:color="auto" w:fill="FFE8CB"/>
                    <w:hideMark/>
                  </w:tcPr>
                  <w:p>
                    <w:pPr>
                      <w:jc w:val="center"/>
                      <w:rPr>
                        <w:sz w:val="20"/>
                      </w:rPr>
                    </w:pPr>
                    <w:r>
                      <w:rPr>
                        <w:sz w:val="20"/>
                      </w:rPr>
                      <w:t>4</w:t>
                    </w:r>
                  </w:p>
                </w:tc>
                <w:tc>
                  <w:tcPr>
                    <w:tcW w:w="986" w:type="dxa"/>
                    <w:shd w:val="clear" w:color="auto" w:fill="FFE8CB"/>
                    <w:hideMark/>
                  </w:tcPr>
                  <w:p>
                    <w:pPr>
                      <w:jc w:val="center"/>
                      <w:rPr>
                        <w:sz w:val="20"/>
                      </w:rPr>
                    </w:pPr>
                    <w:r>
                      <w:rPr>
                        <w:sz w:val="20"/>
                      </w:rPr>
                      <w:t>5</w:t>
                    </w:r>
                  </w:p>
                </w:tc>
                <w:tc>
                  <w:tcPr>
                    <w:tcW w:w="1123" w:type="dxa"/>
                    <w:shd w:val="clear" w:color="auto" w:fill="FFE8CB"/>
                    <w:hideMark/>
                  </w:tcPr>
                  <w:p>
                    <w:pPr>
                      <w:jc w:val="center"/>
                      <w:rPr>
                        <w:sz w:val="20"/>
                      </w:rPr>
                    </w:pPr>
                    <w:r>
                      <w:rPr>
                        <w:sz w:val="20"/>
                      </w:rPr>
                      <w:t>6</w:t>
                    </w:r>
                  </w:p>
                </w:tc>
                <w:tc>
                  <w:tcPr>
                    <w:tcW w:w="1133" w:type="dxa"/>
                    <w:shd w:val="clear" w:color="auto" w:fill="FFE8CB"/>
                    <w:hideMark/>
                  </w:tcPr>
                  <w:p>
                    <w:pPr>
                      <w:jc w:val="center"/>
                      <w:rPr>
                        <w:sz w:val="20"/>
                      </w:rPr>
                    </w:pPr>
                    <w:r>
                      <w:rPr>
                        <w:sz w:val="20"/>
                      </w:rPr>
                      <w:t>7</w:t>
                    </w:r>
                  </w:p>
                </w:tc>
                <w:tc>
                  <w:tcPr>
                    <w:tcW w:w="1271" w:type="dxa"/>
                    <w:shd w:val="clear" w:color="auto" w:fill="FFE8CB"/>
                    <w:hideMark/>
                  </w:tcPr>
                  <w:p>
                    <w:pPr>
                      <w:jc w:val="center"/>
                      <w:rPr>
                        <w:sz w:val="20"/>
                      </w:rPr>
                    </w:pPr>
                    <w:r>
                      <w:rPr>
                        <w:sz w:val="20"/>
                      </w:rPr>
                      <w:t>8</w:t>
                    </w:r>
                  </w:p>
                </w:tc>
              </w:tr>
              <w:tr>
                <w:trPr>
                  <w:jc w:val="center"/>
                </w:trPr>
                <w:tc>
                  <w:tcPr>
                    <w:tcW w:w="1875" w:type="dxa"/>
                    <w:hideMark/>
                  </w:tcPr>
                  <w:p>
                    <w:pPr>
                      <w:ind w:firstLine="53"/>
                      <w:rPr>
                        <w:sz w:val="20"/>
                      </w:rPr>
                    </w:pPr>
                    <w:r>
                      <w:rPr>
                        <w:rFonts w:eastAsia="Calibri,Italic"/>
                        <w:sz w:val="20"/>
                      </w:rPr>
                      <w:t xml:space="preserve">1.1. Tikslas: Verslo aplinkos gerinimas ir konkurencingumo skatinimas </w:t>
                    </w:r>
                  </w:p>
                </w:tc>
                <w:tc>
                  <w:tcPr>
                    <w:tcW w:w="1415" w:type="dxa"/>
                    <w:hideMark/>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rFonts w:eastAsia="Calibri,Italic"/>
                        <w:sz w:val="20"/>
                      </w:rPr>
                    </w:pPr>
                    <w:r>
                      <w:rPr>
                        <w:sz w:val="20"/>
                      </w:rPr>
                      <w:t xml:space="preserve">1.1.1.  Uždavinys: </w:t>
                    </w:r>
                    <w:r>
                      <w:rPr>
                        <w:rFonts w:eastAsia="Calibri,Italic"/>
                        <w:sz w:val="20"/>
                      </w:rPr>
                      <w:t xml:space="preserve">Sudaryti palankias sąlygas naujo verslo kūrimui, veikiančio verslo stiprinimui bei naujų investicijų pritraukimui </w:t>
                    </w:r>
                  </w:p>
                </w:tc>
                <w:tc>
                  <w:tcPr>
                    <w:tcW w:w="1415" w:type="dxa"/>
                    <w:hideMark/>
                  </w:tcPr>
                  <w:p>
                    <w:pPr>
                      <w:rPr>
                        <w:sz w:val="20"/>
                      </w:rPr>
                    </w:pPr>
                    <w:r>
                      <w:rPr>
                        <w:sz w:val="20"/>
                      </w:rPr>
                      <w:t>Patvirtintų naujų priemonių skaičius, vnt.</w:t>
                    </w:r>
                  </w:p>
                </w:tc>
                <w:tc>
                  <w:tcPr>
                    <w:tcW w:w="1271" w:type="dxa"/>
                    <w:hideMark/>
                  </w:tcPr>
                  <w:p>
                    <w:pPr>
                      <w:jc w:val="center"/>
                      <w:rPr>
                        <w:sz w:val="20"/>
                      </w:rPr>
                    </w:pPr>
                  </w:p>
                </w:tc>
                <w:tc>
                  <w:tcPr>
                    <w:tcW w:w="1126" w:type="dxa"/>
                  </w:tcPr>
                  <w:p>
                    <w:pPr>
                      <w:jc w:val="center"/>
                      <w:rPr>
                        <w:sz w:val="20"/>
                      </w:rPr>
                    </w:pPr>
                  </w:p>
                  <w:p>
                    <w:pPr>
                      <w:jc w:val="center"/>
                      <w:rPr>
                        <w:sz w:val="20"/>
                      </w:rPr>
                    </w:pPr>
                  </w:p>
                </w:tc>
                <w:tc>
                  <w:tcPr>
                    <w:tcW w:w="986" w:type="dxa"/>
                    <w:hideMark/>
                  </w:tcPr>
                  <w:p>
                    <w:pPr>
                      <w:jc w:val="center"/>
                      <w:rPr>
                        <w:sz w:val="20"/>
                      </w:rPr>
                    </w:pPr>
                    <w:r>
                      <w:rPr>
                        <w:color w:val="000000"/>
                        <w:sz w:val="20"/>
                      </w:rPr>
                      <w:t>1</w:t>
                    </w:r>
                  </w:p>
                </w:tc>
                <w:tc>
                  <w:tcPr>
                    <w:tcW w:w="1123" w:type="dxa"/>
                    <w:hideMark/>
                  </w:tcPr>
                  <w:p>
                    <w:pPr>
                      <w:jc w:val="center"/>
                      <w:rPr>
                        <w:sz w:val="20"/>
                      </w:rPr>
                    </w:pPr>
                  </w:p>
                </w:tc>
                <w:tc>
                  <w:tcPr>
                    <w:tcW w:w="1133" w:type="dxa"/>
                    <w:hideMark/>
                  </w:tcPr>
                  <w:p>
                    <w:pPr>
                      <w:jc w:val="center"/>
                      <w:rPr>
                        <w:sz w:val="20"/>
                      </w:rPr>
                    </w:pPr>
                    <w:r>
                      <w:rPr>
                        <w:sz w:val="20"/>
                      </w:rPr>
                      <w:t>1</w:t>
                    </w:r>
                  </w:p>
                </w:tc>
                <w:tc>
                  <w:tcPr>
                    <w:tcW w:w="1271" w:type="dxa"/>
                  </w:tcPr>
                  <w:p>
                    <w:pPr>
                      <w:rPr>
                        <w:sz w:val="20"/>
                      </w:rPr>
                    </w:pPr>
                  </w:p>
                </w:tc>
              </w:tr>
              <w:tr>
                <w:trPr>
                  <w:jc w:val="center"/>
                </w:trPr>
                <w:tc>
                  <w:tcPr>
                    <w:tcW w:w="1875" w:type="dxa"/>
                  </w:tcPr>
                  <w:p>
                    <w:pPr>
                      <w:rPr>
                        <w:sz w:val="20"/>
                      </w:rPr>
                    </w:pPr>
                    <w:r>
                      <w:rPr>
                        <w:sz w:val="20"/>
                        <w:lang w:val="en-US"/>
                      </w:rPr>
                      <w:t>1.2. Tikslas: Kaimo plėtra ir verslumo</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color w:val="000000"/>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tcPr>
                  <w:p>
                    <w:pPr>
                      <w:rPr>
                        <w:iCs/>
                        <w:sz w:val="20"/>
                        <w:lang w:val="en-US"/>
                      </w:rPr>
                    </w:pPr>
                    <w:r>
                      <w:rPr>
                        <w:iCs/>
                        <w:sz w:val="20"/>
                      </w:rPr>
                      <w:t xml:space="preserve">1.2.1. Uždavinys: Sudaryti sąlygas </w:t>
                    </w:r>
                    <w:r>
                      <w:rPr>
                        <w:iCs/>
                        <w:sz w:val="20"/>
                        <w:lang w:val="en-US"/>
                      </w:rPr>
                      <w:t>vystyti žemės ūkį, stiprinti ekologinių</w:t>
                    </w:r>
                  </w:p>
                  <w:p>
                    <w:pPr>
                      <w:rPr>
                        <w:iCs/>
                        <w:sz w:val="20"/>
                        <w:lang w:val="en-US"/>
                      </w:rPr>
                    </w:pPr>
                    <w:r>
                      <w:rPr>
                        <w:iCs/>
                        <w:sz w:val="20"/>
                        <w:lang w:val="en-US"/>
                      </w:rPr>
                      <w:t>ir netradicinių žemės ūkio šakų</w:t>
                    </w:r>
                  </w:p>
                  <w:p>
                    <w:pPr>
                      <w:rPr>
                        <w:sz w:val="20"/>
                        <w:lang w:val="en-US"/>
                      </w:rPr>
                    </w:pPr>
                    <w:r>
                      <w:rPr>
                        <w:iCs/>
                        <w:sz w:val="20"/>
                        <w:lang w:val="en-US"/>
                      </w:rPr>
                      <w:t>plėtrą.</w:t>
                    </w:r>
                  </w:p>
                </w:tc>
                <w:tc>
                  <w:tcPr>
                    <w:tcW w:w="1415" w:type="dxa"/>
                  </w:tcPr>
                  <w:p>
                    <w:pPr>
                      <w:rPr>
                        <w:sz w:val="20"/>
                        <w:lang w:val="en-US"/>
                      </w:rPr>
                    </w:pPr>
                    <w:r>
                      <w:rPr>
                        <w:sz w:val="20"/>
                        <w:lang w:val="en-US"/>
                      </w:rPr>
                      <w:t>Įkurtų netradicinių ūkių skaičius, vnt.</w:t>
                    </w:r>
                  </w:p>
                  <w:p>
                    <w:pPr>
                      <w:rPr>
                        <w:sz w:val="20"/>
                      </w:rPr>
                    </w:pPr>
                  </w:p>
                </w:tc>
                <w:tc>
                  <w:tcPr>
                    <w:tcW w:w="1271" w:type="dxa"/>
                  </w:tcPr>
                  <w:p>
                    <w:pPr>
                      <w:jc w:val="center"/>
                      <w:rPr>
                        <w:sz w:val="20"/>
                      </w:rPr>
                    </w:pPr>
                  </w:p>
                </w:tc>
                <w:tc>
                  <w:tcPr>
                    <w:tcW w:w="1126" w:type="dxa"/>
                  </w:tcPr>
                  <w:p>
                    <w:pPr>
                      <w:jc w:val="center"/>
                      <w:rPr>
                        <w:sz w:val="20"/>
                      </w:rPr>
                    </w:pPr>
                    <w:r>
                      <w:rPr>
                        <w:sz w:val="20"/>
                      </w:rPr>
                      <w:t>1</w:t>
                    </w:r>
                  </w:p>
                </w:tc>
                <w:tc>
                  <w:tcPr>
                    <w:tcW w:w="986" w:type="dxa"/>
                  </w:tcPr>
                  <w:p>
                    <w:pPr>
                      <w:jc w:val="center"/>
                      <w:rPr>
                        <w:color w:val="000000"/>
                        <w:sz w:val="20"/>
                      </w:rPr>
                    </w:pPr>
                    <w:r>
                      <w:rPr>
                        <w:color w:val="000000"/>
                        <w:sz w:val="20"/>
                      </w:rPr>
                      <w:t>1</w:t>
                    </w:r>
                  </w:p>
                </w:tc>
                <w:tc>
                  <w:tcPr>
                    <w:tcW w:w="1123" w:type="dxa"/>
                  </w:tcPr>
                  <w:p>
                    <w:pPr>
                      <w:jc w:val="center"/>
                      <w:rPr>
                        <w:sz w:val="20"/>
                      </w:rPr>
                    </w:pPr>
                    <w:r>
                      <w:rPr>
                        <w:sz w:val="20"/>
                      </w:rPr>
                      <w:t>1</w:t>
                    </w:r>
                  </w:p>
                </w:tc>
                <w:tc>
                  <w:tcPr>
                    <w:tcW w:w="1133" w:type="dxa"/>
                  </w:tcPr>
                  <w:p>
                    <w:pPr>
                      <w:jc w:val="center"/>
                      <w:rPr>
                        <w:sz w:val="20"/>
                      </w:rPr>
                    </w:pPr>
                    <w:r>
                      <w:rPr>
                        <w:sz w:val="20"/>
                      </w:rPr>
                      <w:t>6</w:t>
                    </w:r>
                  </w:p>
                </w:tc>
                <w:tc>
                  <w:tcPr>
                    <w:tcW w:w="1271" w:type="dxa"/>
                  </w:tcPr>
                  <w:p>
                    <w:pPr>
                      <w:rPr>
                        <w:sz w:val="20"/>
                      </w:rPr>
                    </w:pPr>
                  </w:p>
                </w:tc>
              </w:tr>
              <w:tr>
                <w:trPr>
                  <w:jc w:val="center"/>
                </w:trPr>
                <w:tc>
                  <w:tcPr>
                    <w:tcW w:w="1875" w:type="dxa"/>
                    <w:hideMark/>
                  </w:tcPr>
                  <w:p>
                    <w:pPr>
                      <w:rPr>
                        <w:sz w:val="20"/>
                      </w:rPr>
                    </w:pPr>
                    <w:r>
                      <w:rPr>
                        <w:sz w:val="20"/>
                      </w:rPr>
                      <w:t xml:space="preserve">1.3. Tikslas: Savivaldybės patrauklumo didinimas </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sz w:val="20"/>
                      </w:rPr>
                    </w:pPr>
                    <w:r>
                      <w:rPr>
                        <w:sz w:val="20"/>
                      </w:rPr>
                      <w:t xml:space="preserve">1.3.1. Uždavinys: Plėtoti viešąją rekreacijos paslaugų infrastruktūrą, didinti patrauklumą atvykstantiems </w:t>
                    </w:r>
                  </w:p>
                </w:tc>
                <w:tc>
                  <w:tcPr>
                    <w:tcW w:w="1415" w:type="dxa"/>
                    <w:hideMark/>
                  </w:tcPr>
                  <w:p>
                    <w:pPr>
                      <w:rPr>
                        <w:sz w:val="20"/>
                      </w:rPr>
                    </w:pPr>
                    <w:r>
                      <w:rPr>
                        <w:sz w:val="20"/>
                      </w:rPr>
                      <w:t>Pritaikytų objektų skaičius, vnt.</w:t>
                    </w:r>
                  </w:p>
                </w:tc>
                <w:tc>
                  <w:tcPr>
                    <w:tcW w:w="1271" w:type="dxa"/>
                    <w:hideMark/>
                  </w:tcPr>
                  <w:p>
                    <w:pPr>
                      <w:jc w:val="center"/>
                      <w:rPr>
                        <w:sz w:val="20"/>
                      </w:rPr>
                    </w:pPr>
                    <w:r>
                      <w:rPr>
                        <w:sz w:val="20"/>
                      </w:rPr>
                      <w:t>1</w:t>
                    </w:r>
                  </w:p>
                </w:tc>
                <w:tc>
                  <w:tcPr>
                    <w:tcW w:w="1126" w:type="dxa"/>
                    <w:hideMark/>
                  </w:tcPr>
                  <w:p>
                    <w:pPr>
                      <w:jc w:val="center"/>
                      <w:rPr>
                        <w:sz w:val="20"/>
                      </w:rPr>
                    </w:pPr>
                    <w:r>
                      <w:rPr>
                        <w:sz w:val="20"/>
                      </w:rPr>
                      <w:t>2</w:t>
                    </w:r>
                  </w:p>
                </w:tc>
                <w:tc>
                  <w:tcPr>
                    <w:tcW w:w="986" w:type="dxa"/>
                    <w:hideMark/>
                  </w:tcPr>
                  <w:p>
                    <w:pPr>
                      <w:jc w:val="center"/>
                      <w:rPr>
                        <w:sz w:val="20"/>
                      </w:rPr>
                    </w:pPr>
                    <w:r>
                      <w:rPr>
                        <w:sz w:val="20"/>
                      </w:rPr>
                      <w:t>3</w:t>
                    </w:r>
                  </w:p>
                </w:tc>
                <w:tc>
                  <w:tcPr>
                    <w:tcW w:w="1123" w:type="dxa"/>
                    <w:hideMark/>
                  </w:tcPr>
                  <w:p>
                    <w:pPr>
                      <w:jc w:val="center"/>
                      <w:rPr>
                        <w:sz w:val="20"/>
                      </w:rPr>
                    </w:pPr>
                    <w:r>
                      <w:rPr>
                        <w:sz w:val="20"/>
                      </w:rPr>
                      <w:t>3</w:t>
                    </w:r>
                  </w:p>
                </w:tc>
                <w:tc>
                  <w:tcPr>
                    <w:tcW w:w="1133" w:type="dxa"/>
                    <w:hideMark/>
                  </w:tcPr>
                  <w:p>
                    <w:pPr>
                      <w:jc w:val="center"/>
                      <w:rPr>
                        <w:sz w:val="20"/>
                      </w:rPr>
                    </w:pPr>
                    <w:r>
                      <w:rPr>
                        <w:sz w:val="20"/>
                      </w:rPr>
                      <w:t>1</w:t>
                    </w:r>
                  </w:p>
                </w:tc>
                <w:tc>
                  <w:tcPr>
                    <w:tcW w:w="1271" w:type="dxa"/>
                  </w:tcPr>
                  <w:p>
                    <w:pPr>
                      <w:jc w:val="center"/>
                      <w:rPr>
                        <w:sz w:val="20"/>
                      </w:rPr>
                    </w:pPr>
                    <w:r>
                      <w:rPr>
                        <w:sz w:val="20"/>
                      </w:rPr>
                      <w:t>3</w:t>
                    </w:r>
                  </w:p>
                </w:tc>
              </w:tr>
              <w:tr>
                <w:trPr>
                  <w:jc w:val="center"/>
                </w:trPr>
                <w:tc>
                  <w:tcPr>
                    <w:tcW w:w="1875" w:type="dxa"/>
                  </w:tcPr>
                  <w:p>
                    <w:pPr>
                      <w:spacing w:line="252" w:lineRule="auto"/>
                      <w:rPr>
                        <w:sz w:val="20"/>
                      </w:rPr>
                    </w:pPr>
                    <w:r>
                      <w:rPr>
                        <w:sz w:val="20"/>
                      </w:rPr>
                      <w:t>1.3.2. Uždavinys pritaikyti gamtos ir kultūros paveldo objektus lankytojams, švietimui, kultūrai, edukacijai bei kitų paslaugų teikimui</w:t>
                    </w:r>
                  </w:p>
                  <w:p>
                    <w:pPr>
                      <w:rPr>
                        <w:sz w:val="20"/>
                      </w:rPr>
                    </w:pPr>
                  </w:p>
                </w:tc>
                <w:tc>
                  <w:tcPr>
                    <w:tcW w:w="1415" w:type="dxa"/>
                  </w:tcPr>
                  <w:p>
                    <w:pPr>
                      <w:spacing w:line="252" w:lineRule="auto"/>
                      <w:rPr>
                        <w:sz w:val="20"/>
                      </w:rPr>
                    </w:pPr>
                    <w:r>
                      <w:rPr>
                        <w:sz w:val="20"/>
                      </w:rPr>
                      <w:t xml:space="preserve">Turistų skaičiaus pokytis, proc.  </w:t>
                    </w:r>
                  </w:p>
                  <w:p>
                    <w:pPr>
                      <w:rPr>
                        <w:sz w:val="20"/>
                      </w:rPr>
                    </w:pPr>
                  </w:p>
                </w:tc>
                <w:tc>
                  <w:tcPr>
                    <w:tcW w:w="1271" w:type="dxa"/>
                  </w:tcPr>
                  <w:p>
                    <w:pPr>
                      <w:jc w:val="center"/>
                      <w:rPr>
                        <w:sz w:val="20"/>
                      </w:rPr>
                    </w:pPr>
                    <w:r>
                      <w:rPr>
                        <w:sz w:val="20"/>
                      </w:rPr>
                      <w:t>637</w:t>
                    </w:r>
                  </w:p>
                </w:tc>
                <w:tc>
                  <w:tcPr>
                    <w:tcW w:w="1126" w:type="dxa"/>
                  </w:tcPr>
                  <w:p>
                    <w:pPr>
                      <w:jc w:val="center"/>
                      <w:rPr>
                        <w:sz w:val="20"/>
                        <w:lang w:val="en-US"/>
                      </w:rPr>
                    </w:pPr>
                    <w:r>
                      <w:rPr>
                        <w:sz w:val="20"/>
                      </w:rPr>
                      <w:t>+10</w:t>
                    </w:r>
                    <w:r>
                      <w:rPr>
                        <w:sz w:val="20"/>
                        <w:lang w:val="en-US"/>
                      </w:rPr>
                      <w:t>%</w:t>
                    </w:r>
                  </w:p>
                </w:tc>
                <w:tc>
                  <w:tcPr>
                    <w:tcW w:w="986" w:type="dxa"/>
                  </w:tcPr>
                  <w:p>
                    <w:pPr>
                      <w:jc w:val="center"/>
                      <w:rPr>
                        <w:sz w:val="20"/>
                      </w:rPr>
                    </w:pPr>
                    <w:r>
                      <w:rPr>
                        <w:sz w:val="20"/>
                      </w:rPr>
                      <w:t>+10%</w:t>
                    </w:r>
                  </w:p>
                </w:tc>
                <w:tc>
                  <w:tcPr>
                    <w:tcW w:w="1123" w:type="dxa"/>
                  </w:tcPr>
                  <w:p>
                    <w:pPr>
                      <w:jc w:val="center"/>
                      <w:rPr>
                        <w:sz w:val="20"/>
                      </w:rPr>
                    </w:pPr>
                    <w:r>
                      <w:rPr>
                        <w:sz w:val="20"/>
                      </w:rPr>
                      <w:t>+10%</w:t>
                    </w:r>
                  </w:p>
                </w:tc>
                <w:tc>
                  <w:tcPr>
                    <w:tcW w:w="1133" w:type="dxa"/>
                  </w:tcPr>
                  <w:p>
                    <w:pPr>
                      <w:jc w:val="center"/>
                      <w:rPr>
                        <w:sz w:val="20"/>
                      </w:rPr>
                    </w:pPr>
                    <w:r>
                      <w:rPr>
                        <w:sz w:val="20"/>
                      </w:rPr>
                      <w:t>1354</w:t>
                    </w:r>
                  </w:p>
                </w:tc>
                <w:tc>
                  <w:tcPr>
                    <w:tcW w:w="1271" w:type="dxa"/>
                  </w:tcPr>
                  <w:p>
                    <w:pPr>
                      <w:jc w:val="center"/>
                      <w:rPr>
                        <w:sz w:val="20"/>
                      </w:rPr>
                    </w:pPr>
                    <w:r>
                      <w:rPr>
                        <w:sz w:val="20"/>
                      </w:rPr>
                      <w:t>1802</w:t>
                    </w:r>
                  </w:p>
                </w:tc>
              </w:tr>
              <w:tr>
                <w:trPr>
                  <w:jc w:val="center"/>
                </w:trPr>
                <w:tc>
                  <w:tcPr>
                    <w:tcW w:w="1875" w:type="dxa"/>
                  </w:tcPr>
                  <w:p>
                    <w:pPr>
                      <w:rPr>
                        <w:sz w:val="20"/>
                        <w:lang w:val="en-US"/>
                      </w:rPr>
                    </w:pPr>
                    <w:r>
                      <w:rPr>
                        <w:sz w:val="20"/>
                      </w:rPr>
                      <w:t xml:space="preserve">1.4. </w:t>
                    </w:r>
                    <w:r>
                      <w:rPr>
                        <w:sz w:val="20"/>
                        <w:lang w:val="en-US"/>
                      </w:rPr>
                      <w:t>Tikslas: Žaliosios ekonomikos plėtra</w:t>
                    </w:r>
                  </w:p>
                  <w:p>
                    <w:pPr>
                      <w:rPr>
                        <w:sz w:val="20"/>
                      </w:rPr>
                    </w:pPr>
                  </w:p>
                </w:tc>
                <w:tc>
                  <w:tcPr>
                    <w:tcW w:w="1415" w:type="dxa"/>
                  </w:tcPr>
                  <w:p>
                    <w:pPr>
                      <w:rPr>
                        <w:sz w:val="20"/>
                      </w:rPr>
                    </w:pPr>
                  </w:p>
                </w:tc>
                <w:tc>
                  <w:tcPr>
                    <w:tcW w:w="1271" w:type="dxa"/>
                  </w:tcPr>
                  <w:p>
                    <w:pPr>
                      <w:jc w:val="center"/>
                      <w:rPr>
                        <w:sz w:val="20"/>
                      </w:rPr>
                    </w:pPr>
                  </w:p>
                </w:tc>
                <w:tc>
                  <w:tcPr>
                    <w:tcW w:w="1126" w:type="dxa"/>
                  </w:tcPr>
                  <w:p>
                    <w:pPr>
                      <w:jc w:val="center"/>
                      <w:rPr>
                        <w:color w:val="000000"/>
                        <w:sz w:val="20"/>
                      </w:rPr>
                    </w:pPr>
                  </w:p>
                </w:tc>
                <w:tc>
                  <w:tcPr>
                    <w:tcW w:w="986" w:type="dxa"/>
                  </w:tcPr>
                  <w:p>
                    <w:pPr>
                      <w:jc w:val="center"/>
                      <w:rPr>
                        <w:color w:val="000000"/>
                        <w:sz w:val="20"/>
                      </w:rPr>
                    </w:pPr>
                  </w:p>
                </w:tc>
                <w:tc>
                  <w:tcPr>
                    <w:tcW w:w="1123" w:type="dxa"/>
                  </w:tcPr>
                  <w:p>
                    <w:pPr>
                      <w:jc w:val="center"/>
                      <w:rPr>
                        <w:color w:val="000000"/>
                        <w:sz w:val="20"/>
                      </w:rPr>
                    </w:pPr>
                  </w:p>
                </w:tc>
                <w:tc>
                  <w:tcPr>
                    <w:tcW w:w="1133" w:type="dxa"/>
                  </w:tcPr>
                  <w:p>
                    <w:pPr>
                      <w:jc w:val="center"/>
                      <w:rPr>
                        <w:sz w:val="20"/>
                      </w:rPr>
                    </w:pPr>
                  </w:p>
                </w:tc>
                <w:tc>
                  <w:tcPr>
                    <w:tcW w:w="1271" w:type="dxa"/>
                  </w:tcPr>
                  <w:p>
                    <w:pPr>
                      <w:rPr>
                        <w:sz w:val="20"/>
                      </w:rPr>
                    </w:pPr>
                  </w:p>
                </w:tc>
              </w:tr>
              <w:tr>
                <w:trPr>
                  <w:jc w:val="center"/>
                </w:trPr>
                <w:tc>
                  <w:tcPr>
                    <w:tcW w:w="1875" w:type="dxa"/>
                  </w:tcPr>
                  <w:p>
                    <w:pPr>
                      <w:rPr>
                        <w:sz w:val="20"/>
                      </w:rPr>
                    </w:pPr>
                    <w:r>
                      <w:rPr>
                        <w:sz w:val="20"/>
                      </w:rPr>
                      <w:t>1.4.1 Uždavinys: Skatinti visuomenės švietimą aplinkosaugos klausimais ir informuoti apie esamą ekologinę situacija rajone</w:t>
                    </w:r>
                  </w:p>
                </w:tc>
                <w:tc>
                  <w:tcPr>
                    <w:tcW w:w="1415" w:type="dxa"/>
                  </w:tcPr>
                  <w:p>
                    <w:pPr>
                      <w:rPr>
                        <w:sz w:val="20"/>
                        <w:lang w:val="en-US"/>
                      </w:rPr>
                    </w:pPr>
                    <w:r>
                      <w:rPr>
                        <w:sz w:val="20"/>
                        <w:lang w:val="en-US"/>
                      </w:rPr>
                      <w:t>Žaliųjų pirkimų dalis organizuojant</w:t>
                    </w:r>
                  </w:p>
                  <w:p>
                    <w:pPr>
                      <w:ind w:firstLine="53"/>
                      <w:rPr>
                        <w:sz w:val="20"/>
                        <w:lang w:val="en-US"/>
                      </w:rPr>
                    </w:pPr>
                    <w:r>
                      <w:rPr>
                        <w:sz w:val="20"/>
                        <w:lang w:val="en-US"/>
                      </w:rPr>
                      <w:t>savivaldybės viešuosius pirkimus, proc.</w:t>
                    </w:r>
                  </w:p>
                  <w:p>
                    <w:pPr>
                      <w:rPr>
                        <w:sz w:val="20"/>
                      </w:rPr>
                    </w:pPr>
                  </w:p>
                </w:tc>
                <w:tc>
                  <w:tcPr>
                    <w:tcW w:w="1271" w:type="dxa"/>
                  </w:tcPr>
                  <w:p>
                    <w:pPr>
                      <w:jc w:val="center"/>
                      <w:rPr>
                        <w:sz w:val="20"/>
                      </w:rPr>
                    </w:pPr>
                    <w:r>
                      <w:rPr>
                        <w:sz w:val="20"/>
                      </w:rPr>
                      <w:t>0</w:t>
                    </w:r>
                  </w:p>
                </w:tc>
                <w:tc>
                  <w:tcPr>
                    <w:tcW w:w="1126" w:type="dxa"/>
                  </w:tcPr>
                  <w:p>
                    <w:pPr>
                      <w:jc w:val="center"/>
                      <w:rPr>
                        <w:color w:val="000000"/>
                        <w:sz w:val="20"/>
                      </w:rPr>
                    </w:pPr>
                    <w:r>
                      <w:rPr>
                        <w:color w:val="000000"/>
                        <w:sz w:val="20"/>
                      </w:rPr>
                      <w:t>80</w:t>
                    </w:r>
                  </w:p>
                </w:tc>
                <w:tc>
                  <w:tcPr>
                    <w:tcW w:w="986" w:type="dxa"/>
                  </w:tcPr>
                  <w:p>
                    <w:pPr>
                      <w:jc w:val="center"/>
                      <w:rPr>
                        <w:color w:val="000000"/>
                        <w:sz w:val="20"/>
                      </w:rPr>
                    </w:pPr>
                    <w:r>
                      <w:rPr>
                        <w:color w:val="000000"/>
                        <w:sz w:val="20"/>
                      </w:rPr>
                      <w:t>85</w:t>
                    </w:r>
                  </w:p>
                </w:tc>
                <w:tc>
                  <w:tcPr>
                    <w:tcW w:w="1123" w:type="dxa"/>
                  </w:tcPr>
                  <w:p>
                    <w:pPr>
                      <w:jc w:val="center"/>
                      <w:rPr>
                        <w:color w:val="000000"/>
                        <w:sz w:val="20"/>
                      </w:rPr>
                    </w:pPr>
                    <w:r>
                      <w:rPr>
                        <w:color w:val="000000"/>
                        <w:sz w:val="20"/>
                      </w:rPr>
                      <w:t>90</w:t>
                    </w:r>
                  </w:p>
                </w:tc>
                <w:tc>
                  <w:tcPr>
                    <w:tcW w:w="1133" w:type="dxa"/>
                  </w:tcPr>
                  <w:p>
                    <w:pPr>
                      <w:jc w:val="center"/>
                      <w:rPr>
                        <w:sz w:val="20"/>
                      </w:rPr>
                    </w:pPr>
                    <w:r>
                      <w:rPr>
                        <w:sz w:val="20"/>
                      </w:rPr>
                      <w:t>80</w:t>
                    </w:r>
                  </w:p>
                </w:tc>
                <w:tc>
                  <w:tcPr>
                    <w:tcW w:w="1271" w:type="dxa"/>
                  </w:tcPr>
                  <w:p>
                    <w:pPr>
                      <w:jc w:val="center"/>
                      <w:rPr>
                        <w:sz w:val="20"/>
                      </w:rPr>
                    </w:pPr>
                    <w:r>
                      <w:rPr>
                        <w:sz w:val="20"/>
                      </w:rPr>
                      <w:t>100</w:t>
                    </w:r>
                  </w:p>
                </w:tc>
              </w:tr>
              <w:tr>
                <w:trPr>
                  <w:jc w:val="center"/>
                </w:trPr>
                <w:tc>
                  <w:tcPr>
                    <w:tcW w:w="1875" w:type="dxa"/>
                    <w:hideMark/>
                  </w:tcPr>
                  <w:p>
                    <w:pPr>
                      <w:rPr>
                        <w:sz w:val="20"/>
                      </w:rPr>
                    </w:pPr>
                    <w:r>
                      <w:rPr>
                        <w:sz w:val="20"/>
                      </w:rPr>
                      <w:t>2.1. Tikslas: Socialinės pagalbos prieinamumo didinimas, socialinės atsakomybės stiprinimas</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tcPr>
                  <w:p>
                    <w:pPr>
                      <w:rPr>
                        <w:iCs/>
                        <w:sz w:val="20"/>
                        <w:lang w:val="en-US"/>
                      </w:rPr>
                    </w:pPr>
                    <w:r>
                      <w:rPr>
                        <w:iCs/>
                        <w:sz w:val="20"/>
                        <w:lang w:val="en-US"/>
                      </w:rPr>
                      <w:t>2.1.1 Uždavinys: Gerinti socialinių</w:t>
                    </w:r>
                  </w:p>
                  <w:p>
                    <w:pPr>
                      <w:rPr>
                        <w:iCs/>
                        <w:sz w:val="20"/>
                        <w:lang w:val="en-US"/>
                      </w:rPr>
                    </w:pPr>
                    <w:r>
                      <w:rPr>
                        <w:iCs/>
                        <w:sz w:val="20"/>
                        <w:lang w:val="en-US"/>
                      </w:rPr>
                      <w:t>paslaugų kokybę, pakankamumą ir</w:t>
                    </w:r>
                  </w:p>
                  <w:p>
                    <w:pPr>
                      <w:rPr>
                        <w:i/>
                        <w:sz w:val="20"/>
                        <w:lang w:val="en-US"/>
                      </w:rPr>
                    </w:pPr>
                    <w:r>
                      <w:rPr>
                        <w:iCs/>
                        <w:sz w:val="20"/>
                        <w:lang w:val="en-US"/>
                      </w:rPr>
                      <w:t>pasiekiamumą</w:t>
                    </w:r>
                  </w:p>
                  <w:p>
                    <w:pPr>
                      <w:rPr>
                        <w:sz w:val="20"/>
                      </w:rPr>
                    </w:pPr>
                  </w:p>
                </w:tc>
                <w:tc>
                  <w:tcPr>
                    <w:tcW w:w="1415" w:type="dxa"/>
                  </w:tcPr>
                  <w:p>
                    <w:pPr>
                      <w:rPr>
                        <w:sz w:val="20"/>
                        <w:lang w:val="en-US"/>
                      </w:rPr>
                    </w:pPr>
                    <w:r>
                      <w:rPr>
                        <w:sz w:val="20"/>
                        <w:lang w:val="en-US"/>
                      </w:rPr>
                      <w:t>Socialines paslaugas gaunančių</w:t>
                    </w:r>
                  </w:p>
                  <w:p>
                    <w:pPr>
                      <w:rPr>
                        <w:sz w:val="20"/>
                        <w:lang w:val="en-US"/>
                      </w:rPr>
                    </w:pPr>
                    <w:r>
                      <w:rPr>
                        <w:sz w:val="20"/>
                        <w:lang w:val="en-US"/>
                      </w:rPr>
                      <w:t>asmenų skaičius, asm.</w:t>
                    </w:r>
                  </w:p>
                  <w:p>
                    <w:pPr>
                      <w:rPr>
                        <w:sz w:val="20"/>
                      </w:rPr>
                    </w:pPr>
                  </w:p>
                </w:tc>
                <w:tc>
                  <w:tcPr>
                    <w:tcW w:w="1271" w:type="dxa"/>
                  </w:tcPr>
                  <w:p>
                    <w:pPr>
                      <w:jc w:val="center"/>
                      <w:rPr>
                        <w:iCs/>
                        <w:sz w:val="20"/>
                      </w:rPr>
                    </w:pPr>
                    <w:r>
                      <w:rPr>
                        <w:rFonts w:eastAsia="Calibri"/>
                        <w:iCs/>
                        <w:kern w:val="2"/>
                        <w:sz w:val="20"/>
                        <w:szCs w:val="22"/>
                        <w14:ligatures w14:val="standardContextual"/>
                      </w:rPr>
                      <w:t>2402</w:t>
                    </w:r>
                  </w:p>
                </w:tc>
                <w:tc>
                  <w:tcPr>
                    <w:tcW w:w="1126" w:type="dxa"/>
                  </w:tcPr>
                  <w:p>
                    <w:pPr>
                      <w:jc w:val="center"/>
                      <w:rPr>
                        <w:iCs/>
                        <w:sz w:val="20"/>
                      </w:rPr>
                    </w:pPr>
                    <w:r>
                      <w:rPr>
                        <w:rFonts w:eastAsia="Calibri"/>
                        <w:iCs/>
                        <w:kern w:val="2"/>
                        <w:sz w:val="20"/>
                        <w:szCs w:val="22"/>
                        <w14:ligatures w14:val="standardContextual"/>
                      </w:rPr>
                      <w:t>2507</w:t>
                    </w:r>
                  </w:p>
                </w:tc>
                <w:tc>
                  <w:tcPr>
                    <w:tcW w:w="986" w:type="dxa"/>
                  </w:tcPr>
                  <w:p>
                    <w:pPr>
                      <w:jc w:val="center"/>
                      <w:rPr>
                        <w:iCs/>
                        <w:sz w:val="20"/>
                      </w:rPr>
                    </w:pPr>
                    <w:r>
                      <w:rPr>
                        <w:rFonts w:eastAsia="Calibri"/>
                        <w:iCs/>
                        <w:kern w:val="2"/>
                        <w:sz w:val="20"/>
                        <w:szCs w:val="22"/>
                        <w14:ligatures w14:val="standardContextual"/>
                      </w:rPr>
                      <w:t>2514</w:t>
                    </w:r>
                  </w:p>
                </w:tc>
                <w:tc>
                  <w:tcPr>
                    <w:tcW w:w="1123" w:type="dxa"/>
                  </w:tcPr>
                  <w:p>
                    <w:pPr>
                      <w:jc w:val="center"/>
                      <w:rPr>
                        <w:iCs/>
                        <w:sz w:val="20"/>
                      </w:rPr>
                    </w:pPr>
                    <w:r>
                      <w:rPr>
                        <w:rFonts w:eastAsia="Calibri"/>
                        <w:iCs/>
                        <w:kern w:val="2"/>
                        <w:sz w:val="20"/>
                        <w:szCs w:val="22"/>
                        <w14:ligatures w14:val="standardContextual"/>
                      </w:rPr>
                      <w:t>2514</w:t>
                    </w:r>
                  </w:p>
                </w:tc>
                <w:tc>
                  <w:tcPr>
                    <w:tcW w:w="1133" w:type="dxa"/>
                  </w:tcPr>
                  <w:p>
                    <w:pPr>
                      <w:jc w:val="center"/>
                      <w:rPr>
                        <w:iCs/>
                        <w:sz w:val="20"/>
                      </w:rPr>
                    </w:pPr>
                    <w:r>
                      <w:rPr>
                        <w:iCs/>
                        <w:sz w:val="20"/>
                      </w:rPr>
                      <w:t>2502</w:t>
                    </w:r>
                  </w:p>
                </w:tc>
                <w:tc>
                  <w:tcPr>
                    <w:tcW w:w="1271" w:type="dxa"/>
                  </w:tcPr>
                  <w:p>
                    <w:pPr>
                      <w:jc w:val="center"/>
                      <w:rPr>
                        <w:iCs/>
                        <w:sz w:val="20"/>
                      </w:rPr>
                    </w:pPr>
                    <w:r>
                      <w:rPr>
                        <w:rFonts w:eastAsia="Calibri"/>
                        <w:iCs/>
                        <w:kern w:val="2"/>
                        <w:sz w:val="20"/>
                        <w:szCs w:val="22"/>
                        <w14:ligatures w14:val="standardContextual"/>
                      </w:rPr>
                      <w:t>2550</w:t>
                    </w:r>
                  </w:p>
                </w:tc>
              </w:tr>
              <w:tr>
                <w:trPr>
                  <w:jc w:val="center"/>
                </w:trPr>
                <w:tc>
                  <w:tcPr>
                    <w:tcW w:w="1875" w:type="dxa"/>
                    <w:hideMark/>
                  </w:tcPr>
                  <w:p>
                    <w:pPr>
                      <w:rPr>
                        <w:sz w:val="20"/>
                      </w:rPr>
                    </w:pPr>
                    <w:r>
                      <w:rPr>
                        <w:sz w:val="20"/>
                      </w:rPr>
                      <w:t xml:space="preserve">2.1.2. Uždavinys: Didinti socialinę integraciją, mažinti atskirtį </w:t>
                    </w:r>
                  </w:p>
                </w:tc>
                <w:tc>
                  <w:tcPr>
                    <w:tcW w:w="1415" w:type="dxa"/>
                    <w:hideMark/>
                  </w:tcPr>
                  <w:p>
                    <w:pPr>
                      <w:rPr>
                        <w:sz w:val="20"/>
                      </w:rPr>
                    </w:pPr>
                    <w:r>
                      <w:rPr>
                        <w:sz w:val="20"/>
                      </w:rPr>
                      <w:t>Įgyvendintų priemonių skaičius, vnt.</w:t>
                    </w:r>
                  </w:p>
                </w:tc>
                <w:tc>
                  <w:tcPr>
                    <w:tcW w:w="1271" w:type="dxa"/>
                    <w:hideMark/>
                  </w:tcPr>
                  <w:p>
                    <w:pPr>
                      <w:jc w:val="center"/>
                      <w:rPr>
                        <w:sz w:val="20"/>
                      </w:rPr>
                    </w:pPr>
                  </w:p>
                </w:tc>
                <w:tc>
                  <w:tcPr>
                    <w:tcW w:w="1126" w:type="dxa"/>
                    <w:hideMark/>
                  </w:tcPr>
                  <w:p>
                    <w:pPr>
                      <w:jc w:val="center"/>
                      <w:rPr>
                        <w:sz w:val="20"/>
                      </w:rPr>
                    </w:pPr>
                    <w:r>
                      <w:rPr>
                        <w:color w:val="000000"/>
                        <w:sz w:val="20"/>
                      </w:rPr>
                      <w:t>2</w:t>
                    </w:r>
                  </w:p>
                </w:tc>
                <w:tc>
                  <w:tcPr>
                    <w:tcW w:w="986" w:type="dxa"/>
                    <w:hideMark/>
                  </w:tcPr>
                  <w:p>
                    <w:pPr>
                      <w:jc w:val="center"/>
                      <w:rPr>
                        <w:sz w:val="20"/>
                      </w:rPr>
                    </w:pPr>
                    <w:r>
                      <w:rPr>
                        <w:color w:val="000000"/>
                        <w:sz w:val="20"/>
                      </w:rPr>
                      <w:t>2</w:t>
                    </w:r>
                  </w:p>
                </w:tc>
                <w:tc>
                  <w:tcPr>
                    <w:tcW w:w="1123" w:type="dxa"/>
                    <w:hideMark/>
                  </w:tcPr>
                  <w:p>
                    <w:pPr>
                      <w:jc w:val="center"/>
                      <w:rPr>
                        <w:sz w:val="20"/>
                      </w:rPr>
                    </w:pPr>
                    <w:r>
                      <w:rPr>
                        <w:color w:val="000000"/>
                        <w:sz w:val="20"/>
                      </w:rPr>
                      <w:t>2</w:t>
                    </w:r>
                  </w:p>
                </w:tc>
                <w:tc>
                  <w:tcPr>
                    <w:tcW w:w="1133" w:type="dxa"/>
                  </w:tcPr>
                  <w:p>
                    <w:pPr>
                      <w:jc w:val="center"/>
                      <w:rPr>
                        <w:bCs/>
                        <w:color w:val="000000"/>
                        <w:sz w:val="20"/>
                      </w:rPr>
                    </w:pPr>
                    <w:r>
                      <w:rPr>
                        <w:bCs/>
                        <w:color w:val="000000"/>
                        <w:sz w:val="20"/>
                      </w:rPr>
                      <w:t>5</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2.2. Tikslas: Galimybės mokytis užtikrinimas 2.2.</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2.2.1. Uždavinys: Gerinti švietimo paslaugų kokybę, pakankamumą ir pasiekiamumą </w:t>
                    </w:r>
                  </w:p>
                </w:tc>
                <w:tc>
                  <w:tcPr>
                    <w:tcW w:w="1415" w:type="dxa"/>
                    <w:hideMark/>
                  </w:tcPr>
                  <w:p>
                    <w:pPr>
                      <w:rPr>
                        <w:sz w:val="20"/>
                      </w:rPr>
                    </w:pPr>
                    <w:r>
                      <w:rPr>
                        <w:sz w:val="20"/>
                      </w:rPr>
                      <w:t>Inicijuotų ir įgyvendintų priemonių</w:t>
                    </w:r>
                  </w:p>
                  <w:p>
                    <w:pPr>
                      <w:rPr>
                        <w:sz w:val="20"/>
                      </w:rPr>
                    </w:pPr>
                    <w:r>
                      <w:rPr>
                        <w:sz w:val="20"/>
                      </w:rPr>
                      <w:t>skaičius, vnt.</w:t>
                    </w:r>
                  </w:p>
                </w:tc>
                <w:tc>
                  <w:tcPr>
                    <w:tcW w:w="1271" w:type="dxa"/>
                    <w:hideMark/>
                  </w:tcPr>
                  <w:p>
                    <w:pPr>
                      <w:jc w:val="center"/>
                      <w:rPr>
                        <w:sz w:val="20"/>
                      </w:rPr>
                    </w:pPr>
                    <w:r>
                      <w:rPr>
                        <w:sz w:val="20"/>
                      </w:rPr>
                      <w:t>6</w:t>
                    </w:r>
                  </w:p>
                  <w:p>
                    <w:pPr>
                      <w:jc w:val="center"/>
                      <w:rPr>
                        <w:sz w:val="20"/>
                      </w:rPr>
                    </w:pPr>
                  </w:p>
                  <w:p>
                    <w:pPr>
                      <w:jc w:val="center"/>
                      <w:rPr>
                        <w:sz w:val="20"/>
                      </w:rPr>
                    </w:pPr>
                  </w:p>
                </w:tc>
                <w:tc>
                  <w:tcPr>
                    <w:tcW w:w="1126" w:type="dxa"/>
                  </w:tcPr>
                  <w:p>
                    <w:pPr>
                      <w:jc w:val="center"/>
                      <w:rPr>
                        <w:sz w:val="20"/>
                      </w:rPr>
                    </w:pPr>
                    <w:r>
                      <w:rPr>
                        <w:sz w:val="20"/>
                      </w:rPr>
                      <w:t>10</w:t>
                    </w:r>
                  </w:p>
                </w:tc>
                <w:tc>
                  <w:tcPr>
                    <w:tcW w:w="986" w:type="dxa"/>
                    <w:hideMark/>
                  </w:tcPr>
                  <w:p>
                    <w:pPr>
                      <w:jc w:val="center"/>
                      <w:rPr>
                        <w:sz w:val="20"/>
                      </w:rPr>
                    </w:pPr>
                    <w:r>
                      <w:rPr>
                        <w:color w:val="000000"/>
                        <w:sz w:val="20"/>
                      </w:rPr>
                      <w:t>11</w:t>
                    </w:r>
                  </w:p>
                </w:tc>
                <w:tc>
                  <w:tcPr>
                    <w:tcW w:w="1123" w:type="dxa"/>
                    <w:hideMark/>
                  </w:tcPr>
                  <w:p>
                    <w:pPr>
                      <w:jc w:val="center"/>
                      <w:rPr>
                        <w:sz w:val="20"/>
                      </w:rPr>
                    </w:pPr>
                    <w:r>
                      <w:rPr>
                        <w:color w:val="000000"/>
                        <w:sz w:val="20"/>
                      </w:rPr>
                      <w:t>13</w:t>
                    </w:r>
                  </w:p>
                </w:tc>
                <w:tc>
                  <w:tcPr>
                    <w:tcW w:w="1133" w:type="dxa"/>
                  </w:tcPr>
                  <w:p>
                    <w:pPr>
                      <w:jc w:val="center"/>
                      <w:rPr>
                        <w:bCs/>
                        <w:color w:val="000000"/>
                        <w:sz w:val="20"/>
                      </w:rPr>
                    </w:pPr>
                    <w:r>
                      <w:rPr>
                        <w:bCs/>
                        <w:color w:val="000000"/>
                        <w:sz w:val="20"/>
                      </w:rPr>
                      <w:t>15</w:t>
                    </w:r>
                  </w:p>
                  <w:p>
                    <w:pPr>
                      <w:jc w:val="center"/>
                      <w:rPr>
                        <w:sz w:val="20"/>
                      </w:rPr>
                    </w:pPr>
                  </w:p>
                </w:tc>
                <w:tc>
                  <w:tcPr>
                    <w:tcW w:w="1271" w:type="dxa"/>
                  </w:tcPr>
                  <w:p>
                    <w:pPr>
                      <w:rPr>
                        <w:sz w:val="20"/>
                      </w:rPr>
                    </w:pPr>
                    <w:r>
                      <w:rPr>
                        <w:sz w:val="20"/>
                      </w:rPr>
                      <w:t>12</w:t>
                    </w:r>
                  </w:p>
                </w:tc>
              </w:tr>
              <w:tr>
                <w:trPr>
                  <w:jc w:val="center"/>
                </w:trPr>
                <w:tc>
                  <w:tcPr>
                    <w:tcW w:w="1875" w:type="dxa"/>
                  </w:tcPr>
                  <w:p>
                    <w:pPr>
                      <w:rPr>
                        <w:sz w:val="20"/>
                      </w:rPr>
                    </w:pPr>
                    <w:r>
                      <w:rPr>
                        <w:sz w:val="20"/>
                      </w:rPr>
                      <w:t>2.2.2. Užavinys: Didinti švietimo paslaugų prieinamumą sudarant sąlygas gauti kokybiškas mokymo paslaugas</w:t>
                    </w:r>
                  </w:p>
                </w:tc>
                <w:tc>
                  <w:tcPr>
                    <w:tcW w:w="1415" w:type="dxa"/>
                  </w:tcPr>
                  <w:p>
                    <w:pPr>
                      <w:rPr>
                        <w:sz w:val="20"/>
                        <w:lang w:val="en-US"/>
                      </w:rPr>
                    </w:pPr>
                    <w:r>
                      <w:rPr>
                        <w:sz w:val="20"/>
                        <w:lang w:val="en-US"/>
                      </w:rPr>
                      <w:t>Mokinių, baigusių 12 bendrojo</w:t>
                    </w:r>
                  </w:p>
                  <w:p>
                    <w:pPr>
                      <w:rPr>
                        <w:sz w:val="20"/>
                        <w:lang w:val="en-US"/>
                      </w:rPr>
                    </w:pPr>
                    <w:r>
                      <w:rPr>
                        <w:sz w:val="20"/>
                        <w:lang w:val="en-US"/>
                      </w:rPr>
                      <w:t>ugdymo programos klasių ir tais</w:t>
                    </w:r>
                  </w:p>
                  <w:p>
                    <w:pPr>
                      <w:rPr>
                        <w:sz w:val="20"/>
                        <w:lang w:val="en-US"/>
                      </w:rPr>
                    </w:pPr>
                    <w:r>
                      <w:rPr>
                        <w:sz w:val="20"/>
                        <w:lang w:val="en-US"/>
                      </w:rPr>
                      <w:t>pačiais metais tęsiančių mokslą</w:t>
                    </w:r>
                  </w:p>
                  <w:p>
                    <w:pPr>
                      <w:rPr>
                        <w:sz w:val="20"/>
                        <w:lang w:val="en-US"/>
                      </w:rPr>
                    </w:pPr>
                    <w:r>
                      <w:rPr>
                        <w:sz w:val="20"/>
                        <w:lang w:val="en-US"/>
                      </w:rPr>
                      <w:t>universitete ar kolegijoje, dalis (%)</w:t>
                    </w:r>
                  </w:p>
                  <w:p>
                    <w:pPr>
                      <w:rPr>
                        <w:sz w:val="20"/>
                        <w:lang w:val="en-US"/>
                      </w:rPr>
                    </w:pPr>
                    <w:r>
                      <w:rPr>
                        <w:sz w:val="20"/>
                        <w:lang w:val="en-US"/>
                      </w:rPr>
                      <w:t>Inicijuotų ir įgyvendintų priemonių</w:t>
                    </w:r>
                  </w:p>
                  <w:p>
                    <w:pPr>
                      <w:rPr>
                        <w:sz w:val="20"/>
                        <w:lang w:val="en-US"/>
                      </w:rPr>
                    </w:pPr>
                    <w:r>
                      <w:rPr>
                        <w:sz w:val="20"/>
                        <w:lang w:val="en-US"/>
                      </w:rPr>
                      <w:t>skaičius, vnt.</w:t>
                    </w:r>
                  </w:p>
                  <w:p>
                    <w:pPr>
                      <w:rPr>
                        <w:sz w:val="20"/>
                      </w:rPr>
                    </w:pPr>
                  </w:p>
                </w:tc>
                <w:tc>
                  <w:tcPr>
                    <w:tcW w:w="1271" w:type="dxa"/>
                  </w:tcPr>
                  <w:p>
                    <w:pPr>
                      <w:jc w:val="center"/>
                      <w:rPr>
                        <w:iCs/>
                        <w:sz w:val="20"/>
                      </w:rPr>
                    </w:pPr>
                    <w:r>
                      <w:rPr>
                        <w:rFonts w:eastAsia="Calibri"/>
                        <w:iCs/>
                        <w:sz w:val="20"/>
                        <w:szCs w:val="22"/>
                      </w:rPr>
                      <w:t>55</w:t>
                    </w:r>
                  </w:p>
                </w:tc>
                <w:tc>
                  <w:tcPr>
                    <w:tcW w:w="1126" w:type="dxa"/>
                  </w:tcPr>
                  <w:p>
                    <w:pPr>
                      <w:jc w:val="center"/>
                      <w:rPr>
                        <w:iCs/>
                        <w:sz w:val="20"/>
                      </w:rPr>
                    </w:pPr>
                    <w:r>
                      <w:rPr>
                        <w:rFonts w:eastAsia="Calibri"/>
                        <w:iCs/>
                        <w:sz w:val="20"/>
                        <w:szCs w:val="22"/>
                      </w:rPr>
                      <w:t>60</w:t>
                    </w:r>
                  </w:p>
                </w:tc>
                <w:tc>
                  <w:tcPr>
                    <w:tcW w:w="986" w:type="dxa"/>
                  </w:tcPr>
                  <w:p>
                    <w:pPr>
                      <w:jc w:val="center"/>
                      <w:rPr>
                        <w:iCs/>
                        <w:sz w:val="20"/>
                      </w:rPr>
                    </w:pPr>
                    <w:r>
                      <w:rPr>
                        <w:rFonts w:eastAsia="Calibri"/>
                        <w:iCs/>
                        <w:sz w:val="20"/>
                        <w:szCs w:val="22"/>
                      </w:rPr>
                      <w:t>60</w:t>
                    </w:r>
                  </w:p>
                </w:tc>
                <w:tc>
                  <w:tcPr>
                    <w:tcW w:w="1123" w:type="dxa"/>
                  </w:tcPr>
                  <w:p>
                    <w:pPr>
                      <w:jc w:val="center"/>
                      <w:rPr>
                        <w:iCs/>
                        <w:sz w:val="20"/>
                      </w:rPr>
                    </w:pPr>
                    <w:r>
                      <w:rPr>
                        <w:rFonts w:eastAsia="Calibri"/>
                        <w:iCs/>
                        <w:sz w:val="20"/>
                        <w:szCs w:val="22"/>
                      </w:rPr>
                      <w:t>60</w:t>
                    </w:r>
                  </w:p>
                </w:tc>
                <w:tc>
                  <w:tcPr>
                    <w:tcW w:w="1133" w:type="dxa"/>
                  </w:tcPr>
                  <w:p>
                    <w:pPr>
                      <w:jc w:val="center"/>
                      <w:rPr>
                        <w:iCs/>
                        <w:sz w:val="20"/>
                      </w:rPr>
                    </w:pPr>
                    <w:r>
                      <w:rPr>
                        <w:rFonts w:eastAsia="Calibri"/>
                        <w:iCs/>
                        <w:sz w:val="20"/>
                        <w:szCs w:val="22"/>
                      </w:rPr>
                      <w:t>60</w:t>
                    </w:r>
                  </w:p>
                </w:tc>
                <w:tc>
                  <w:tcPr>
                    <w:tcW w:w="1271" w:type="dxa"/>
                  </w:tcPr>
                  <w:p>
                    <w:pPr>
                      <w:rPr>
                        <w:iCs/>
                        <w:sz w:val="20"/>
                      </w:rPr>
                    </w:pPr>
                    <w:r>
                      <w:rPr>
                        <w:rFonts w:eastAsia="Calibri"/>
                        <w:iCs/>
                        <w:sz w:val="20"/>
                        <w:szCs w:val="22"/>
                      </w:rPr>
                      <w:t>60</w:t>
                    </w:r>
                  </w:p>
                </w:tc>
              </w:tr>
              <w:tr>
                <w:trPr>
                  <w:jc w:val="center"/>
                </w:trPr>
                <w:tc>
                  <w:tcPr>
                    <w:tcW w:w="1875" w:type="dxa"/>
                    <w:hideMark/>
                  </w:tcPr>
                  <w:p>
                    <w:pPr>
                      <w:rPr>
                        <w:sz w:val="20"/>
                      </w:rPr>
                    </w:pPr>
                    <w:r>
                      <w:rPr>
                        <w:sz w:val="20"/>
                      </w:rPr>
                      <w:t xml:space="preserve">2.3. Tikslas: Gyventojų sveikatos gerinimas, psichinės ir fizinės sveikatas stiprinimas </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sz w:val="20"/>
                      </w:rPr>
                    </w:pPr>
                    <w:r>
                      <w:rPr>
                        <w:sz w:val="20"/>
                      </w:rPr>
                      <w:t xml:space="preserve">2.3.1. Uždavinys: Gerinti sveikatos priežiūros sistemų ir ilgalaikės priežiūros paslaugų prieinamumą, rezultatyvumą ir tvarumą </w:t>
                    </w:r>
                  </w:p>
                </w:tc>
                <w:tc>
                  <w:tcPr>
                    <w:tcW w:w="1415" w:type="dxa"/>
                    <w:hideMark/>
                  </w:tcPr>
                  <w:p>
                    <w:pPr>
                      <w:rPr>
                        <w:sz w:val="20"/>
                      </w:rPr>
                    </w:pPr>
                    <w:r>
                      <w:rPr>
                        <w:sz w:val="20"/>
                      </w:rPr>
                      <w:t>Inicijuotų ir įgyvendintų priemonių</w:t>
                    </w:r>
                  </w:p>
                  <w:p>
                    <w:pPr>
                      <w:rPr>
                        <w:sz w:val="20"/>
                      </w:rPr>
                    </w:pPr>
                    <w:r>
                      <w:rPr>
                        <w:sz w:val="20"/>
                      </w:rPr>
                      <w:t>skaičius, vnt.</w:t>
                    </w:r>
                  </w:p>
                </w:tc>
                <w:tc>
                  <w:tcPr>
                    <w:tcW w:w="1271" w:type="dxa"/>
                  </w:tcPr>
                  <w:p>
                    <w:pPr>
                      <w:jc w:val="center"/>
                      <w:rPr>
                        <w:sz w:val="20"/>
                      </w:rPr>
                    </w:pPr>
                  </w:p>
                  <w:p>
                    <w:pPr>
                      <w:jc w:val="center"/>
                      <w:rPr>
                        <w:sz w:val="20"/>
                      </w:rPr>
                    </w:pPr>
                  </w:p>
                </w:tc>
                <w:tc>
                  <w:tcPr>
                    <w:tcW w:w="1126" w:type="dxa"/>
                    <w:hideMark/>
                  </w:tcPr>
                  <w:p>
                    <w:pPr>
                      <w:jc w:val="center"/>
                      <w:rPr>
                        <w:sz w:val="20"/>
                      </w:rPr>
                    </w:pPr>
                    <w:r>
                      <w:rPr>
                        <w:color w:val="000000"/>
                        <w:sz w:val="20"/>
                      </w:rPr>
                      <w:t>1</w:t>
                    </w:r>
                  </w:p>
                </w:tc>
                <w:tc>
                  <w:tcPr>
                    <w:tcW w:w="986" w:type="dxa"/>
                    <w:hideMark/>
                  </w:tcPr>
                  <w:p>
                    <w:pPr>
                      <w:jc w:val="center"/>
                      <w:rPr>
                        <w:sz w:val="20"/>
                      </w:rPr>
                    </w:pPr>
                    <w:r>
                      <w:rPr>
                        <w:color w:val="000000"/>
                        <w:sz w:val="20"/>
                      </w:rPr>
                      <w:t>0</w:t>
                    </w:r>
                  </w:p>
                </w:tc>
                <w:tc>
                  <w:tcPr>
                    <w:tcW w:w="1123" w:type="dxa"/>
                    <w:hideMark/>
                  </w:tcPr>
                  <w:p>
                    <w:pPr>
                      <w:jc w:val="center"/>
                      <w:rPr>
                        <w:sz w:val="20"/>
                      </w:rPr>
                    </w:pPr>
                    <w:r>
                      <w:rPr>
                        <w:color w:val="000000"/>
                        <w:sz w:val="20"/>
                      </w:rPr>
                      <w:t>2</w:t>
                    </w:r>
                  </w:p>
                </w:tc>
                <w:tc>
                  <w:tcPr>
                    <w:tcW w:w="1133" w:type="dxa"/>
                  </w:tcPr>
                  <w:p>
                    <w:pPr>
                      <w:jc w:val="center"/>
                      <w:rPr>
                        <w:bCs/>
                        <w:color w:val="000000"/>
                        <w:sz w:val="20"/>
                      </w:rPr>
                    </w:pPr>
                    <w:r>
                      <w:rPr>
                        <w:bCs/>
                        <w:color w:val="000000"/>
                        <w:sz w:val="20"/>
                      </w:rPr>
                      <w:t>4</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2.3.2. Uždavinys: Užtikrinti vienodas galimybes naudotis sveikatos priežiūros paslaugomis</w:t>
                    </w:r>
                  </w:p>
                </w:tc>
                <w:tc>
                  <w:tcPr>
                    <w:tcW w:w="1415" w:type="dxa"/>
                    <w:hideMark/>
                  </w:tcPr>
                  <w:p>
                    <w:pPr>
                      <w:rPr>
                        <w:sz w:val="20"/>
                      </w:rPr>
                    </w:pPr>
                    <w:r>
                      <w:rPr>
                        <w:sz w:val="20"/>
                      </w:rPr>
                      <w:t>Gyventojų, dalyvavusių sveikatinimo programose, skaičius, vnt.</w:t>
                    </w:r>
                  </w:p>
                </w:tc>
                <w:tc>
                  <w:tcPr>
                    <w:tcW w:w="1271" w:type="dxa"/>
                    <w:hideMark/>
                  </w:tcPr>
                  <w:p>
                    <w:pPr>
                      <w:jc w:val="center"/>
                      <w:rPr>
                        <w:sz w:val="20"/>
                      </w:rPr>
                    </w:pPr>
                  </w:p>
                </w:tc>
                <w:tc>
                  <w:tcPr>
                    <w:tcW w:w="1126" w:type="dxa"/>
                    <w:hideMark/>
                  </w:tcPr>
                  <w:p>
                    <w:pPr>
                      <w:jc w:val="center"/>
                      <w:rPr>
                        <w:sz w:val="20"/>
                      </w:rPr>
                    </w:pPr>
                    <w:r>
                      <w:rPr>
                        <w:sz w:val="20"/>
                      </w:rPr>
                      <w:t>0</w:t>
                    </w:r>
                  </w:p>
                </w:tc>
                <w:tc>
                  <w:tcPr>
                    <w:tcW w:w="986" w:type="dxa"/>
                    <w:hideMark/>
                  </w:tcPr>
                  <w:p>
                    <w:pPr>
                      <w:jc w:val="center"/>
                      <w:rPr>
                        <w:sz w:val="20"/>
                      </w:rPr>
                    </w:pPr>
                    <w:r>
                      <w:rPr>
                        <w:sz w:val="20"/>
                      </w:rPr>
                      <w:t>0</w:t>
                    </w:r>
                  </w:p>
                </w:tc>
                <w:tc>
                  <w:tcPr>
                    <w:tcW w:w="1123" w:type="dxa"/>
                    <w:hideMark/>
                  </w:tcPr>
                  <w:p>
                    <w:pPr>
                      <w:jc w:val="center"/>
                      <w:rPr>
                        <w:sz w:val="20"/>
                      </w:rPr>
                    </w:pPr>
                    <w:r>
                      <w:rPr>
                        <w:sz w:val="20"/>
                      </w:rPr>
                      <w:t>2362</w:t>
                    </w:r>
                  </w:p>
                </w:tc>
                <w:tc>
                  <w:tcPr>
                    <w:tcW w:w="1133" w:type="dxa"/>
                    <w:hideMark/>
                  </w:tcPr>
                  <w:p>
                    <w:pPr>
                      <w:jc w:val="center"/>
                      <w:rPr>
                        <w:sz w:val="20"/>
                      </w:rPr>
                    </w:pPr>
                    <w:r>
                      <w:rPr>
                        <w:sz w:val="20"/>
                      </w:rPr>
                      <w:t>0</w:t>
                    </w:r>
                  </w:p>
                </w:tc>
                <w:tc>
                  <w:tcPr>
                    <w:tcW w:w="1271" w:type="dxa"/>
                  </w:tcPr>
                  <w:p>
                    <w:pPr>
                      <w:rPr>
                        <w:sz w:val="20"/>
                      </w:rPr>
                    </w:pPr>
                  </w:p>
                </w:tc>
              </w:tr>
              <w:tr>
                <w:trPr>
                  <w:jc w:val="center"/>
                </w:trPr>
                <w:tc>
                  <w:tcPr>
                    <w:tcW w:w="1875" w:type="dxa"/>
                    <w:hideMark/>
                  </w:tcPr>
                  <w:p>
                    <w:pPr>
                      <w:rPr>
                        <w:sz w:val="20"/>
                      </w:rPr>
                    </w:pPr>
                    <w:r>
                      <w:rPr>
                        <w:sz w:val="20"/>
                      </w:rPr>
                      <w:t xml:space="preserve">2.3.4. Uždavinys: Skatinti gyventojų fizinį aktyvumą, ugdyti sportuojančią visuomenę </w:t>
                    </w:r>
                  </w:p>
                </w:tc>
                <w:tc>
                  <w:tcPr>
                    <w:tcW w:w="1415" w:type="dxa"/>
                    <w:hideMark/>
                  </w:tcPr>
                  <w:p>
                    <w:pPr>
                      <w:rPr>
                        <w:sz w:val="20"/>
                      </w:rPr>
                    </w:pPr>
                    <w:r>
                      <w:rPr>
                        <w:sz w:val="20"/>
                      </w:rPr>
                      <w:t>Inicijuotų ir įgyvendintų priemonių, projektų skaičius, vnt.</w:t>
                    </w:r>
                  </w:p>
                </w:tc>
                <w:tc>
                  <w:tcPr>
                    <w:tcW w:w="1271" w:type="dxa"/>
                    <w:hideMark/>
                  </w:tcPr>
                  <w:p>
                    <w:pPr>
                      <w:jc w:val="center"/>
                      <w:rPr>
                        <w:sz w:val="20"/>
                      </w:rPr>
                    </w:pPr>
                  </w:p>
                </w:tc>
                <w:tc>
                  <w:tcPr>
                    <w:tcW w:w="1126" w:type="dxa"/>
                    <w:hideMark/>
                  </w:tcPr>
                  <w:p>
                    <w:pPr>
                      <w:jc w:val="center"/>
                      <w:rPr>
                        <w:sz w:val="20"/>
                      </w:rPr>
                    </w:pPr>
                    <w:r>
                      <w:rPr>
                        <w:color w:val="000000"/>
                        <w:sz w:val="20"/>
                      </w:rPr>
                      <w:t>0</w:t>
                    </w:r>
                  </w:p>
                </w:tc>
                <w:tc>
                  <w:tcPr>
                    <w:tcW w:w="986" w:type="dxa"/>
                    <w:hideMark/>
                  </w:tcPr>
                  <w:p>
                    <w:pPr>
                      <w:jc w:val="center"/>
                      <w:rPr>
                        <w:sz w:val="20"/>
                      </w:rPr>
                    </w:pPr>
                    <w:r>
                      <w:rPr>
                        <w:color w:val="000000"/>
                        <w:sz w:val="20"/>
                      </w:rPr>
                      <w:t>1</w:t>
                    </w:r>
                  </w:p>
                </w:tc>
                <w:tc>
                  <w:tcPr>
                    <w:tcW w:w="1123" w:type="dxa"/>
                    <w:hideMark/>
                  </w:tcPr>
                  <w:p>
                    <w:pPr>
                      <w:jc w:val="center"/>
                      <w:rPr>
                        <w:sz w:val="20"/>
                      </w:rPr>
                    </w:pPr>
                    <w:r>
                      <w:rPr>
                        <w:color w:val="000000"/>
                        <w:sz w:val="20"/>
                      </w:rPr>
                      <w:t>0</w:t>
                    </w:r>
                  </w:p>
                </w:tc>
                <w:tc>
                  <w:tcPr>
                    <w:tcW w:w="1133" w:type="dxa"/>
                  </w:tcPr>
                  <w:p>
                    <w:pPr>
                      <w:jc w:val="center"/>
                      <w:rPr>
                        <w:bCs/>
                        <w:color w:val="000000"/>
                        <w:sz w:val="20"/>
                      </w:rPr>
                    </w:pPr>
                    <w:r>
                      <w:rPr>
                        <w:bCs/>
                        <w:color w:val="000000"/>
                        <w:sz w:val="20"/>
                      </w:rPr>
                      <w:t>4</w:t>
                    </w:r>
                  </w:p>
                  <w:p>
                    <w:pPr>
                      <w:jc w:val="center"/>
                      <w:rPr>
                        <w:sz w:val="20"/>
                      </w:rPr>
                    </w:pPr>
                  </w:p>
                </w:tc>
                <w:tc>
                  <w:tcPr>
                    <w:tcW w:w="1271" w:type="dxa"/>
                  </w:tcPr>
                  <w:p>
                    <w:pPr>
                      <w:rPr>
                        <w:sz w:val="20"/>
                      </w:rPr>
                    </w:pPr>
                  </w:p>
                </w:tc>
              </w:tr>
              <w:tr>
                <w:trPr>
                  <w:jc w:val="center"/>
                </w:trPr>
                <w:tc>
                  <w:tcPr>
                    <w:tcW w:w="1875" w:type="dxa"/>
                  </w:tcPr>
                  <w:p>
                    <w:pPr>
                      <w:spacing w:line="252" w:lineRule="auto"/>
                      <w:rPr>
                        <w:sz w:val="20"/>
                      </w:rPr>
                    </w:pPr>
                    <w:r>
                      <w:rPr>
                        <w:sz w:val="20"/>
                      </w:rPr>
                      <w:t>2.4. Tikslas: Kultūros paslaugų prieinamumo didinimas</w:t>
                    </w:r>
                  </w:p>
                  <w:p>
                    <w:pPr>
                      <w:rPr>
                        <w:sz w:val="20"/>
                      </w:rPr>
                    </w:pP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tcPr>
                  <w:p>
                    <w:pPr>
                      <w:spacing w:line="252" w:lineRule="auto"/>
                      <w:rPr>
                        <w:sz w:val="20"/>
                      </w:rPr>
                    </w:pPr>
                    <w:r>
                      <w:rPr>
                        <w:sz w:val="20"/>
                      </w:rPr>
                      <w:t>2.4.1.Uždavinys:</w:t>
                    </w:r>
                  </w:p>
                  <w:p>
                    <w:pPr>
                      <w:spacing w:line="252" w:lineRule="auto"/>
                      <w:rPr>
                        <w:sz w:val="20"/>
                      </w:rPr>
                    </w:pPr>
                    <w:r>
                      <w:rPr>
                        <w:sz w:val="20"/>
                      </w:rPr>
                      <w:t>Gerinti kultūros paslaugų kokybę, pakankamumą ir pasiekiamumą</w:t>
                    </w:r>
                  </w:p>
                  <w:p>
                    <w:pPr>
                      <w:rPr>
                        <w:sz w:val="20"/>
                      </w:rPr>
                    </w:pPr>
                  </w:p>
                </w:tc>
                <w:tc>
                  <w:tcPr>
                    <w:tcW w:w="1415" w:type="dxa"/>
                  </w:tcPr>
                  <w:p>
                    <w:pPr>
                      <w:spacing w:line="252" w:lineRule="auto"/>
                      <w:rPr>
                        <w:sz w:val="20"/>
                      </w:rPr>
                    </w:pPr>
                    <w:r>
                      <w:rPr>
                        <w:sz w:val="20"/>
                      </w:rPr>
                      <w:t>Aktyvių/</w:t>
                    </w:r>
                  </w:p>
                  <w:p>
                    <w:pPr>
                      <w:rPr>
                        <w:sz w:val="20"/>
                      </w:rPr>
                    </w:pPr>
                    <w:r>
                      <w:rPr>
                        <w:sz w:val="20"/>
                      </w:rPr>
                      <w:t>įgyvendintų kultūrinių, edukacinių ir meno programų projektų skaičius, vnt.</w:t>
                    </w:r>
                  </w:p>
                </w:tc>
                <w:tc>
                  <w:tcPr>
                    <w:tcW w:w="1271" w:type="dxa"/>
                  </w:tcPr>
                  <w:p>
                    <w:pPr>
                      <w:jc w:val="center"/>
                      <w:rPr>
                        <w:sz w:val="20"/>
                      </w:rPr>
                    </w:pPr>
                    <w:r>
                      <w:rPr>
                        <w:sz w:val="20"/>
                      </w:rPr>
                      <w:t>800</w:t>
                    </w:r>
                  </w:p>
                </w:tc>
                <w:tc>
                  <w:tcPr>
                    <w:tcW w:w="1126" w:type="dxa"/>
                  </w:tcPr>
                  <w:p>
                    <w:pPr>
                      <w:jc w:val="center"/>
                      <w:rPr>
                        <w:sz w:val="20"/>
                      </w:rPr>
                    </w:pPr>
                    <w:r>
                      <w:rPr>
                        <w:sz w:val="20"/>
                      </w:rPr>
                      <w:t>968</w:t>
                    </w:r>
                  </w:p>
                </w:tc>
                <w:tc>
                  <w:tcPr>
                    <w:tcW w:w="986" w:type="dxa"/>
                  </w:tcPr>
                  <w:p>
                    <w:pPr>
                      <w:jc w:val="center"/>
                      <w:rPr>
                        <w:sz w:val="20"/>
                      </w:rPr>
                    </w:pPr>
                    <w:r>
                      <w:rPr>
                        <w:sz w:val="20"/>
                      </w:rPr>
                      <w:t>1064</w:t>
                    </w:r>
                  </w:p>
                </w:tc>
                <w:tc>
                  <w:tcPr>
                    <w:tcW w:w="1123" w:type="dxa"/>
                  </w:tcPr>
                  <w:p>
                    <w:pPr>
                      <w:jc w:val="center"/>
                      <w:rPr>
                        <w:sz w:val="20"/>
                      </w:rPr>
                    </w:pPr>
                    <w:r>
                      <w:rPr>
                        <w:sz w:val="20"/>
                      </w:rPr>
                      <w:t>1171</w:t>
                    </w:r>
                  </w:p>
                </w:tc>
                <w:tc>
                  <w:tcPr>
                    <w:tcW w:w="1133" w:type="dxa"/>
                  </w:tcPr>
                  <w:p>
                    <w:pPr>
                      <w:jc w:val="center"/>
                      <w:rPr>
                        <w:sz w:val="20"/>
                      </w:rPr>
                    </w:pPr>
                    <w:r>
                      <w:rPr>
                        <w:sz w:val="20"/>
                      </w:rPr>
                      <w:t>880</w:t>
                    </w:r>
                  </w:p>
                </w:tc>
                <w:tc>
                  <w:tcPr>
                    <w:tcW w:w="1271" w:type="dxa"/>
                  </w:tcPr>
                  <w:p>
                    <w:pPr>
                      <w:jc w:val="center"/>
                      <w:rPr>
                        <w:sz w:val="20"/>
                      </w:rPr>
                    </w:pPr>
                    <w:r>
                      <w:rPr>
                        <w:sz w:val="20"/>
                      </w:rPr>
                      <w:t>1411</w:t>
                    </w:r>
                  </w:p>
                </w:tc>
              </w:tr>
              <w:tr>
                <w:trPr>
                  <w:jc w:val="center"/>
                </w:trPr>
                <w:tc>
                  <w:tcPr>
                    <w:tcW w:w="1875" w:type="dxa"/>
                    <w:hideMark/>
                  </w:tcPr>
                  <w:p>
                    <w:pPr>
                      <w:rPr>
                        <w:sz w:val="20"/>
                      </w:rPr>
                    </w:pPr>
                    <w:r>
                      <w:rPr>
                        <w:sz w:val="20"/>
                      </w:rPr>
                      <w:t>2.5. Tikslas: Viešojo saugumo didinimas</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hideMark/>
                  </w:tcPr>
                  <w:p>
                    <w:pPr>
                      <w:rPr>
                        <w:sz w:val="20"/>
                      </w:rPr>
                    </w:pPr>
                    <w:r>
                      <w:rPr>
                        <w:sz w:val="20"/>
                      </w:rPr>
                      <w:t>2.5.1. Uždavinys: Užtikrinti viešąją tvarką ir viešąjį saugumą</w:t>
                    </w:r>
                  </w:p>
                </w:tc>
                <w:tc>
                  <w:tcPr>
                    <w:tcW w:w="1415" w:type="dxa"/>
                    <w:hideMark/>
                  </w:tcPr>
                  <w:p>
                    <w:pPr>
                      <w:rPr>
                        <w:sz w:val="20"/>
                      </w:rPr>
                    </w:pPr>
                    <w:r>
                      <w:rPr>
                        <w:sz w:val="20"/>
                      </w:rPr>
                      <w:t>Inicijuotų ir įgyvendintų priemonių skaičius, vnt.</w:t>
                    </w:r>
                  </w:p>
                </w:tc>
                <w:tc>
                  <w:tcPr>
                    <w:tcW w:w="1271" w:type="dxa"/>
                    <w:hideMark/>
                  </w:tcPr>
                  <w:p>
                    <w:pPr>
                      <w:jc w:val="center"/>
                      <w:rPr>
                        <w:sz w:val="20"/>
                      </w:rPr>
                    </w:pPr>
                  </w:p>
                </w:tc>
                <w:tc>
                  <w:tcPr>
                    <w:tcW w:w="1126" w:type="dxa"/>
                    <w:hideMark/>
                  </w:tcPr>
                  <w:p>
                    <w:pPr>
                      <w:jc w:val="center"/>
                      <w:rPr>
                        <w:sz w:val="20"/>
                      </w:rPr>
                    </w:pPr>
                    <w:r>
                      <w:rPr>
                        <w:sz w:val="20"/>
                      </w:rPr>
                      <w:t>0</w:t>
                    </w:r>
                  </w:p>
                </w:tc>
                <w:tc>
                  <w:tcPr>
                    <w:tcW w:w="986" w:type="dxa"/>
                    <w:hideMark/>
                  </w:tcPr>
                  <w:p>
                    <w:pPr>
                      <w:jc w:val="center"/>
                      <w:rPr>
                        <w:sz w:val="20"/>
                      </w:rPr>
                    </w:pPr>
                    <w:r>
                      <w:rPr>
                        <w:sz w:val="20"/>
                      </w:rPr>
                      <w:t>0</w:t>
                    </w:r>
                  </w:p>
                </w:tc>
                <w:tc>
                  <w:tcPr>
                    <w:tcW w:w="1123" w:type="dxa"/>
                    <w:hideMark/>
                  </w:tcPr>
                  <w:p>
                    <w:pPr>
                      <w:jc w:val="center"/>
                      <w:rPr>
                        <w:sz w:val="20"/>
                      </w:rPr>
                    </w:pPr>
                    <w:r>
                      <w:rPr>
                        <w:sz w:val="20"/>
                      </w:rPr>
                      <w:t>0</w:t>
                    </w:r>
                  </w:p>
                </w:tc>
                <w:tc>
                  <w:tcPr>
                    <w:tcW w:w="1133" w:type="dxa"/>
                  </w:tcPr>
                  <w:p>
                    <w:pPr>
                      <w:jc w:val="center"/>
                      <w:rPr>
                        <w:bCs/>
                        <w:color w:val="000000"/>
                        <w:sz w:val="20"/>
                      </w:rPr>
                    </w:pPr>
                    <w:r>
                      <w:rPr>
                        <w:bCs/>
                        <w:color w:val="000000"/>
                        <w:sz w:val="20"/>
                      </w:rPr>
                      <w:t>1</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3.1. Tikslas: Pasiekiamumo gerinimas </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3.1.1. Uždavinys: Modernizuoti susisiekimo infrastruktūrą </w:t>
                    </w:r>
                  </w:p>
                </w:tc>
                <w:tc>
                  <w:tcPr>
                    <w:tcW w:w="1415" w:type="dxa"/>
                    <w:hideMark/>
                  </w:tcPr>
                  <w:p>
                    <w:pPr>
                      <w:rPr>
                        <w:color w:val="000000"/>
                        <w:sz w:val="20"/>
                        <w:highlight w:val="red"/>
                        <w:lang w:val="en-US"/>
                      </w:rPr>
                    </w:pPr>
                    <w:r>
                      <w:rPr>
                        <w:color w:val="000000"/>
                        <w:sz w:val="20"/>
                        <w:lang w:val="en-US"/>
                      </w:rPr>
                      <w:t xml:space="preserve">Įdiegtų išmanių eismo saugumo sistemų skaičius, vnt. </w:t>
                    </w:r>
                  </w:p>
                </w:tc>
                <w:tc>
                  <w:tcPr>
                    <w:tcW w:w="1271" w:type="dxa"/>
                    <w:hideMark/>
                  </w:tcPr>
                  <w:p>
                    <w:pPr>
                      <w:jc w:val="center"/>
                      <w:rPr>
                        <w:sz w:val="20"/>
                      </w:rPr>
                    </w:pPr>
                  </w:p>
                </w:tc>
                <w:tc>
                  <w:tcPr>
                    <w:tcW w:w="1126" w:type="dxa"/>
                    <w:hideMark/>
                  </w:tcPr>
                  <w:p>
                    <w:pPr>
                      <w:jc w:val="center"/>
                      <w:rPr>
                        <w:sz w:val="20"/>
                      </w:rPr>
                    </w:pPr>
                    <w:r>
                      <w:rPr>
                        <w:color w:val="000000"/>
                        <w:sz w:val="20"/>
                      </w:rPr>
                      <w:t>0</w:t>
                    </w:r>
                  </w:p>
                </w:tc>
                <w:tc>
                  <w:tcPr>
                    <w:tcW w:w="986" w:type="dxa"/>
                    <w:hideMark/>
                  </w:tcPr>
                  <w:p>
                    <w:pPr>
                      <w:jc w:val="center"/>
                      <w:rPr>
                        <w:sz w:val="20"/>
                      </w:rPr>
                    </w:pPr>
                    <w:r>
                      <w:rPr>
                        <w:color w:val="000000"/>
                        <w:sz w:val="20"/>
                      </w:rPr>
                      <w:t>0</w:t>
                    </w:r>
                  </w:p>
                </w:tc>
                <w:tc>
                  <w:tcPr>
                    <w:tcW w:w="1123" w:type="dxa"/>
                    <w:hideMark/>
                  </w:tcPr>
                  <w:p>
                    <w:pPr>
                      <w:jc w:val="center"/>
                      <w:rPr>
                        <w:sz w:val="20"/>
                      </w:rPr>
                    </w:pPr>
                    <w:r>
                      <w:rPr>
                        <w:color w:val="000000"/>
                        <w:sz w:val="20"/>
                      </w:rPr>
                      <w:t>1</w:t>
                    </w:r>
                  </w:p>
                </w:tc>
                <w:tc>
                  <w:tcPr>
                    <w:tcW w:w="1133" w:type="dxa"/>
                    <w:hideMark/>
                  </w:tcPr>
                  <w:p>
                    <w:pPr>
                      <w:jc w:val="center"/>
                      <w:rPr>
                        <w:sz w:val="20"/>
                      </w:rPr>
                    </w:pPr>
                    <w:r>
                      <w:rPr>
                        <w:sz w:val="20"/>
                      </w:rPr>
                      <w:t>0</w:t>
                    </w:r>
                  </w:p>
                </w:tc>
                <w:tc>
                  <w:tcPr>
                    <w:tcW w:w="1271" w:type="dxa"/>
                  </w:tcPr>
                  <w:p>
                    <w:pPr>
                      <w:rPr>
                        <w:sz w:val="20"/>
                      </w:rPr>
                    </w:pPr>
                  </w:p>
                </w:tc>
              </w:tr>
              <w:tr>
                <w:trPr>
                  <w:jc w:val="center"/>
                </w:trPr>
                <w:tc>
                  <w:tcPr>
                    <w:tcW w:w="1875" w:type="dxa"/>
                    <w:hideMark/>
                  </w:tcPr>
                  <w:p>
                    <w:pPr>
                      <w:rPr>
                        <w:sz w:val="20"/>
                      </w:rPr>
                    </w:pPr>
                    <w:r>
                      <w:rPr>
                        <w:sz w:val="20"/>
                      </w:rPr>
                      <w:t xml:space="preserve">3.1.2. Uždavinys: Mažinti transporto neigiamą poveikį aplinkai, skatinti darnų judumą </w:t>
                    </w:r>
                  </w:p>
                </w:tc>
                <w:tc>
                  <w:tcPr>
                    <w:tcW w:w="1415" w:type="dxa"/>
                    <w:hideMark/>
                  </w:tcPr>
                  <w:p>
                    <w:pPr>
                      <w:rPr>
                        <w:sz w:val="20"/>
                      </w:rPr>
                    </w:pPr>
                    <w:r>
                      <w:rPr>
                        <w:sz w:val="20"/>
                      </w:rPr>
                      <w:t>Nutiestų dviračių ar pėsčiųjų takų ilgis, km</w:t>
                    </w:r>
                  </w:p>
                </w:tc>
                <w:tc>
                  <w:tcPr>
                    <w:tcW w:w="1271" w:type="dxa"/>
                    <w:hideMark/>
                  </w:tcPr>
                  <w:p>
                    <w:pPr>
                      <w:jc w:val="center"/>
                      <w:rPr>
                        <w:sz w:val="20"/>
                      </w:rPr>
                    </w:pPr>
                    <w:r>
                      <w:rPr>
                        <w:sz w:val="20"/>
                      </w:rPr>
                      <w:t>10,6</w:t>
                    </w:r>
                  </w:p>
                </w:tc>
                <w:tc>
                  <w:tcPr>
                    <w:tcW w:w="1126" w:type="dxa"/>
                    <w:hideMark/>
                  </w:tcPr>
                  <w:p>
                    <w:pPr>
                      <w:jc w:val="center"/>
                      <w:rPr>
                        <w:sz w:val="20"/>
                      </w:rPr>
                    </w:pPr>
                    <w:r>
                      <w:rPr>
                        <w:color w:val="000000"/>
                        <w:sz w:val="20"/>
                      </w:rPr>
                      <w:t>2,3</w:t>
                    </w:r>
                  </w:p>
                </w:tc>
                <w:tc>
                  <w:tcPr>
                    <w:tcW w:w="986" w:type="dxa"/>
                    <w:hideMark/>
                  </w:tcPr>
                  <w:p>
                    <w:pPr>
                      <w:jc w:val="center"/>
                      <w:rPr>
                        <w:sz w:val="20"/>
                      </w:rPr>
                    </w:pPr>
                    <w:r>
                      <w:rPr>
                        <w:color w:val="000000"/>
                        <w:sz w:val="20"/>
                      </w:rPr>
                      <w:t>0,5</w:t>
                    </w:r>
                  </w:p>
                </w:tc>
                <w:tc>
                  <w:tcPr>
                    <w:tcW w:w="1123" w:type="dxa"/>
                    <w:hideMark/>
                  </w:tcPr>
                  <w:p>
                    <w:pPr>
                      <w:jc w:val="center"/>
                      <w:rPr>
                        <w:sz w:val="20"/>
                      </w:rPr>
                    </w:pPr>
                    <w:r>
                      <w:rPr>
                        <w:color w:val="000000"/>
                        <w:sz w:val="20"/>
                      </w:rPr>
                      <w:t>1,0</w:t>
                    </w:r>
                  </w:p>
                </w:tc>
                <w:tc>
                  <w:tcPr>
                    <w:tcW w:w="1133" w:type="dxa"/>
                    <w:hideMark/>
                  </w:tcPr>
                  <w:p>
                    <w:pPr>
                      <w:jc w:val="center"/>
                      <w:rPr>
                        <w:sz w:val="20"/>
                      </w:rPr>
                    </w:pPr>
                    <w:r>
                      <w:rPr>
                        <w:sz w:val="20"/>
                      </w:rPr>
                      <w:t>12,7</w:t>
                    </w:r>
                  </w:p>
                </w:tc>
                <w:tc>
                  <w:tcPr>
                    <w:tcW w:w="1271" w:type="dxa"/>
                  </w:tcPr>
                  <w:p>
                    <w:pPr>
                      <w:rPr>
                        <w:sz w:val="20"/>
                      </w:rPr>
                    </w:pPr>
                  </w:p>
                </w:tc>
              </w:tr>
              <w:tr>
                <w:trPr>
                  <w:jc w:val="center"/>
                </w:trPr>
                <w:tc>
                  <w:tcPr>
                    <w:tcW w:w="1875" w:type="dxa"/>
                    <w:hideMark/>
                  </w:tcPr>
                  <w:p>
                    <w:pPr>
                      <w:rPr>
                        <w:sz w:val="20"/>
                      </w:rPr>
                    </w:pPr>
                    <w:r>
                      <w:rPr>
                        <w:sz w:val="20"/>
                      </w:rPr>
                      <w:t xml:space="preserve">3.2. Tikslas: Vandens prieinamumo ir tvaraus vandens išteklių valdymo skatinimas </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rFonts w:eastAsia="Calibri,Italic"/>
                        <w:sz w:val="20"/>
                      </w:rPr>
                    </w:pPr>
                    <w:r>
                      <w:rPr>
                        <w:rFonts w:eastAsia="Calibri,Italic"/>
                        <w:sz w:val="20"/>
                      </w:rPr>
                      <w:t>3.2.1. Uždavinys: Vandens</w:t>
                    </w:r>
                  </w:p>
                  <w:p>
                    <w:pPr>
                      <w:rPr>
                        <w:rFonts w:eastAsia="Calibri,Italic"/>
                        <w:sz w:val="20"/>
                      </w:rPr>
                    </w:pPr>
                    <w:r>
                      <w:rPr>
                        <w:rFonts w:eastAsia="Calibri,Italic"/>
                        <w:sz w:val="20"/>
                      </w:rPr>
                      <w:t>prieinamumo ir tvaraus vandens</w:t>
                    </w:r>
                  </w:p>
                  <w:p>
                    <w:pPr>
                      <w:rPr>
                        <w:sz w:val="20"/>
                      </w:rPr>
                    </w:pPr>
                    <w:r>
                      <w:rPr>
                        <w:rFonts w:eastAsia="Calibri,Italic"/>
                        <w:sz w:val="20"/>
                      </w:rPr>
                      <w:t xml:space="preserve">išteklių valdymo skatinimas </w:t>
                    </w:r>
                  </w:p>
                </w:tc>
                <w:tc>
                  <w:tcPr>
                    <w:tcW w:w="1415" w:type="dxa"/>
                    <w:hideMark/>
                  </w:tcPr>
                  <w:p>
                    <w:pPr>
                      <w:rPr>
                        <w:sz w:val="20"/>
                      </w:rPr>
                    </w:pPr>
                    <w:r>
                      <w:rPr>
                        <w:sz w:val="20"/>
                      </w:rPr>
                      <w:t>Gyventojų dalis, kuriems sudarytos</w:t>
                    </w:r>
                  </w:p>
                  <w:p>
                    <w:pPr>
                      <w:rPr>
                        <w:sz w:val="20"/>
                      </w:rPr>
                    </w:pPr>
                    <w:r>
                      <w:rPr>
                        <w:sz w:val="20"/>
                      </w:rPr>
                      <w:t>sąlygos naudotis geriamojo vandens</w:t>
                    </w:r>
                  </w:p>
                  <w:p>
                    <w:pPr>
                      <w:rPr>
                        <w:sz w:val="20"/>
                      </w:rPr>
                    </w:pPr>
                    <w:r>
                      <w:rPr>
                        <w:sz w:val="20"/>
                      </w:rPr>
                      <w:t>tiekimo ir nuotekų tvarkymo</w:t>
                    </w:r>
                  </w:p>
                  <w:p>
                    <w:pPr>
                      <w:rPr>
                        <w:sz w:val="20"/>
                      </w:rPr>
                    </w:pPr>
                    <w:r>
                      <w:rPr>
                        <w:sz w:val="20"/>
                      </w:rPr>
                      <w:t>centralizuotomis sistemoms, proc.</w:t>
                    </w:r>
                  </w:p>
                </w:tc>
                <w:tc>
                  <w:tcPr>
                    <w:tcW w:w="1271" w:type="dxa"/>
                    <w:hideMark/>
                  </w:tcPr>
                  <w:p>
                    <w:pPr>
                      <w:jc w:val="center"/>
                      <w:rPr>
                        <w:sz w:val="20"/>
                      </w:rPr>
                    </w:pPr>
                    <w:r>
                      <w:rPr>
                        <w:sz w:val="20"/>
                      </w:rPr>
                      <w:t>72,4/ 68,1</w:t>
                    </w:r>
                  </w:p>
                </w:tc>
                <w:tc>
                  <w:tcPr>
                    <w:tcW w:w="1126" w:type="dxa"/>
                    <w:hideMark/>
                  </w:tcPr>
                  <w:p>
                    <w:pPr>
                      <w:jc w:val="center"/>
                      <w:rPr>
                        <w:sz w:val="20"/>
                      </w:rPr>
                    </w:pPr>
                    <w:r>
                      <w:rPr>
                        <w:color w:val="000000"/>
                        <w:sz w:val="20"/>
                      </w:rPr>
                      <w:t>72,9/ 69,5</w:t>
                    </w:r>
                  </w:p>
                </w:tc>
                <w:tc>
                  <w:tcPr>
                    <w:tcW w:w="986" w:type="dxa"/>
                    <w:hideMark/>
                  </w:tcPr>
                  <w:p>
                    <w:pPr>
                      <w:jc w:val="center"/>
                      <w:rPr>
                        <w:sz w:val="20"/>
                      </w:rPr>
                    </w:pPr>
                    <w:r>
                      <w:rPr>
                        <w:color w:val="000000"/>
                        <w:sz w:val="20"/>
                      </w:rPr>
                      <w:t>73/ 69,7</w:t>
                    </w:r>
                  </w:p>
                </w:tc>
                <w:tc>
                  <w:tcPr>
                    <w:tcW w:w="1123" w:type="dxa"/>
                    <w:hideMark/>
                  </w:tcPr>
                  <w:p>
                    <w:pPr>
                      <w:jc w:val="center"/>
                      <w:rPr>
                        <w:sz w:val="20"/>
                      </w:rPr>
                    </w:pPr>
                    <w:r>
                      <w:rPr>
                        <w:color w:val="000000"/>
                        <w:sz w:val="20"/>
                      </w:rPr>
                      <w:t>73,1/70</w:t>
                    </w:r>
                  </w:p>
                </w:tc>
                <w:tc>
                  <w:tcPr>
                    <w:tcW w:w="1133" w:type="dxa"/>
                    <w:hideMark/>
                  </w:tcPr>
                  <w:p>
                    <w:pPr>
                      <w:jc w:val="center"/>
                      <w:rPr>
                        <w:sz w:val="20"/>
                      </w:rPr>
                    </w:pPr>
                    <w:r>
                      <w:rPr>
                        <w:sz w:val="20"/>
                      </w:rPr>
                      <w:t>72,7/69,5</w:t>
                    </w:r>
                  </w:p>
                </w:tc>
                <w:tc>
                  <w:tcPr>
                    <w:tcW w:w="1271" w:type="dxa"/>
                  </w:tcPr>
                  <w:p>
                    <w:pPr>
                      <w:rPr>
                        <w:sz w:val="20"/>
                      </w:rPr>
                    </w:pPr>
                  </w:p>
                </w:tc>
              </w:tr>
              <w:tr>
                <w:trPr>
                  <w:jc w:val="center"/>
                </w:trPr>
                <w:tc>
                  <w:tcPr>
                    <w:tcW w:w="1875" w:type="dxa"/>
                    <w:hideMark/>
                  </w:tcPr>
                  <w:p>
                    <w:pPr>
                      <w:rPr>
                        <w:sz w:val="20"/>
                      </w:rPr>
                    </w:pPr>
                    <w:r>
                      <w:rPr>
                        <w:sz w:val="20"/>
                      </w:rPr>
                      <w:t>3.2.2. Uždavinys: Skatinti atsinaujinančių išteklių naudojimą</w:t>
                    </w:r>
                  </w:p>
                </w:tc>
                <w:tc>
                  <w:tcPr>
                    <w:tcW w:w="1415" w:type="dxa"/>
                    <w:hideMark/>
                  </w:tcPr>
                  <w:p>
                    <w:pPr>
                      <w:rPr>
                        <w:sz w:val="20"/>
                      </w:rPr>
                    </w:pPr>
                    <w:r>
                      <w:rPr>
                        <w:sz w:val="20"/>
                      </w:rPr>
                      <w:t>Inicijuotų ir įgyvendintų priemonių</w:t>
                    </w:r>
                  </w:p>
                  <w:p>
                    <w:pPr>
                      <w:rPr>
                        <w:sz w:val="20"/>
                      </w:rPr>
                    </w:pPr>
                    <w:r>
                      <w:rPr>
                        <w:sz w:val="20"/>
                      </w:rPr>
                      <w:t>skaičius, vnt.</w:t>
                    </w:r>
                  </w:p>
                </w:tc>
                <w:tc>
                  <w:tcPr>
                    <w:tcW w:w="1271" w:type="dxa"/>
                    <w:hideMark/>
                  </w:tcPr>
                  <w:p>
                    <w:pPr>
                      <w:jc w:val="center"/>
                      <w:rPr>
                        <w:sz w:val="20"/>
                      </w:rPr>
                    </w:pPr>
                  </w:p>
                </w:tc>
                <w:tc>
                  <w:tcPr>
                    <w:tcW w:w="1126" w:type="dxa"/>
                    <w:hideMark/>
                  </w:tcPr>
                  <w:p>
                    <w:pPr>
                      <w:jc w:val="center"/>
                      <w:rPr>
                        <w:sz w:val="20"/>
                      </w:rPr>
                    </w:pPr>
                    <w:r>
                      <w:rPr>
                        <w:color w:val="000000"/>
                        <w:sz w:val="20"/>
                      </w:rPr>
                      <w:t>1</w:t>
                    </w:r>
                  </w:p>
                </w:tc>
                <w:tc>
                  <w:tcPr>
                    <w:tcW w:w="986" w:type="dxa"/>
                    <w:hideMark/>
                  </w:tcPr>
                  <w:p>
                    <w:pPr>
                      <w:jc w:val="center"/>
                      <w:rPr>
                        <w:sz w:val="20"/>
                      </w:rPr>
                    </w:pPr>
                    <w:r>
                      <w:rPr>
                        <w:color w:val="000000"/>
                        <w:sz w:val="20"/>
                      </w:rPr>
                      <w:t>2</w:t>
                    </w:r>
                  </w:p>
                </w:tc>
                <w:tc>
                  <w:tcPr>
                    <w:tcW w:w="1123" w:type="dxa"/>
                    <w:hideMark/>
                  </w:tcPr>
                  <w:p>
                    <w:pPr>
                      <w:jc w:val="center"/>
                      <w:rPr>
                        <w:sz w:val="20"/>
                      </w:rPr>
                    </w:pPr>
                    <w:r>
                      <w:rPr>
                        <w:color w:val="000000"/>
                        <w:sz w:val="20"/>
                      </w:rPr>
                      <w:t>2</w:t>
                    </w:r>
                  </w:p>
                </w:tc>
                <w:tc>
                  <w:tcPr>
                    <w:tcW w:w="1133" w:type="dxa"/>
                  </w:tcPr>
                  <w:p>
                    <w:pPr>
                      <w:jc w:val="center"/>
                      <w:rPr>
                        <w:bCs/>
                        <w:color w:val="000000"/>
                        <w:sz w:val="20"/>
                      </w:rPr>
                    </w:pPr>
                    <w:r>
                      <w:rPr>
                        <w:bCs/>
                        <w:color w:val="000000"/>
                        <w:sz w:val="20"/>
                      </w:rPr>
                      <w:t>2</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3.3. Tikslas: Patrauklios gyvenamosios aplinkos užtikrinimas </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hideMark/>
                  </w:tcPr>
                  <w:p>
                    <w:pPr>
                      <w:rPr>
                        <w:sz w:val="20"/>
                      </w:rPr>
                    </w:pPr>
                    <w:r>
                      <w:rPr>
                        <w:sz w:val="20"/>
                      </w:rPr>
                      <w:t>3.3.1. Uždavinys: Gerinti atliekų tvarkymo sistemą, skatinti gyventojų aplinkosauginį švietimą</w:t>
                    </w:r>
                  </w:p>
                </w:tc>
                <w:tc>
                  <w:tcPr>
                    <w:tcW w:w="1415" w:type="dxa"/>
                    <w:hideMark/>
                  </w:tcPr>
                  <w:p>
                    <w:pPr>
                      <w:rPr>
                        <w:sz w:val="20"/>
                      </w:rPr>
                    </w:pPr>
                    <w:r>
                      <w:rPr>
                        <w:sz w:val="20"/>
                      </w:rPr>
                      <w:t>Inicijuotų ir įgyvendintų priemonių skaičius, vnt.</w:t>
                    </w:r>
                  </w:p>
                </w:tc>
                <w:tc>
                  <w:tcPr>
                    <w:tcW w:w="1271" w:type="dxa"/>
                    <w:hideMark/>
                  </w:tcPr>
                  <w:p>
                    <w:pPr>
                      <w:jc w:val="center"/>
                      <w:rPr>
                        <w:sz w:val="20"/>
                      </w:rPr>
                    </w:pPr>
                  </w:p>
                </w:tc>
                <w:tc>
                  <w:tcPr>
                    <w:tcW w:w="1126" w:type="dxa"/>
                  </w:tcPr>
                  <w:p>
                    <w:pPr>
                      <w:jc w:val="center"/>
                      <w:rPr>
                        <w:color w:val="000000"/>
                        <w:sz w:val="20"/>
                      </w:rPr>
                    </w:pPr>
                  </w:p>
                  <w:p>
                    <w:pPr>
                      <w:jc w:val="center"/>
                      <w:rPr>
                        <w:color w:val="000000"/>
                        <w:sz w:val="20"/>
                      </w:rPr>
                    </w:pPr>
                  </w:p>
                </w:tc>
                <w:tc>
                  <w:tcPr>
                    <w:tcW w:w="986" w:type="dxa"/>
                    <w:hideMark/>
                  </w:tcPr>
                  <w:p>
                    <w:pPr>
                      <w:jc w:val="center"/>
                      <w:rPr>
                        <w:color w:val="000000"/>
                        <w:sz w:val="20"/>
                      </w:rPr>
                    </w:pPr>
                    <w:r>
                      <w:rPr>
                        <w:color w:val="000000"/>
                        <w:sz w:val="20"/>
                      </w:rPr>
                      <w:t>1</w:t>
                    </w:r>
                  </w:p>
                </w:tc>
                <w:tc>
                  <w:tcPr>
                    <w:tcW w:w="1123" w:type="dxa"/>
                  </w:tcPr>
                  <w:p>
                    <w:pPr>
                      <w:jc w:val="center"/>
                      <w:rPr>
                        <w:color w:val="000000"/>
                        <w:sz w:val="20"/>
                      </w:rPr>
                    </w:pPr>
                  </w:p>
                </w:tc>
                <w:tc>
                  <w:tcPr>
                    <w:tcW w:w="1133" w:type="dxa"/>
                  </w:tcPr>
                  <w:p>
                    <w:pPr>
                      <w:jc w:val="center"/>
                      <w:rPr>
                        <w:bCs/>
                        <w:color w:val="000000"/>
                        <w:sz w:val="20"/>
                      </w:rPr>
                    </w:pPr>
                    <w:r>
                      <w:rPr>
                        <w:bCs/>
                        <w:color w:val="000000"/>
                        <w:sz w:val="20"/>
                      </w:rPr>
                      <w:t>5</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3.3.2. Didinti miesto ir kaimo gyvenamųjų erdvių patrauklumą, didinti kraštovaizdžio patrauklumą </w:t>
                    </w:r>
                  </w:p>
                </w:tc>
                <w:tc>
                  <w:tcPr>
                    <w:tcW w:w="1415" w:type="dxa"/>
                    <w:hideMark/>
                  </w:tcPr>
                  <w:p>
                    <w:pPr>
                      <w:rPr>
                        <w:sz w:val="20"/>
                      </w:rPr>
                    </w:pPr>
                    <w:r>
                      <w:rPr>
                        <w:sz w:val="20"/>
                      </w:rPr>
                      <w:t>Inicijuotų ir įgyvendintų priemonių</w:t>
                    </w:r>
                  </w:p>
                  <w:p>
                    <w:pPr>
                      <w:rPr>
                        <w:sz w:val="20"/>
                      </w:rPr>
                    </w:pPr>
                    <w:r>
                      <w:rPr>
                        <w:sz w:val="20"/>
                      </w:rPr>
                      <w:t>skaičius, vnt.</w:t>
                    </w:r>
                  </w:p>
                </w:tc>
                <w:tc>
                  <w:tcPr>
                    <w:tcW w:w="1271" w:type="dxa"/>
                    <w:hideMark/>
                  </w:tcPr>
                  <w:p>
                    <w:pPr>
                      <w:jc w:val="center"/>
                      <w:rPr>
                        <w:sz w:val="20"/>
                      </w:rPr>
                    </w:pPr>
                  </w:p>
                </w:tc>
                <w:tc>
                  <w:tcPr>
                    <w:tcW w:w="1126" w:type="dxa"/>
                    <w:hideMark/>
                  </w:tcPr>
                  <w:p>
                    <w:pPr>
                      <w:jc w:val="center"/>
                      <w:rPr>
                        <w:sz w:val="20"/>
                      </w:rPr>
                    </w:pPr>
                    <w:r>
                      <w:rPr>
                        <w:color w:val="000000"/>
                        <w:sz w:val="20"/>
                      </w:rPr>
                      <w:t>0</w:t>
                    </w:r>
                  </w:p>
                </w:tc>
                <w:tc>
                  <w:tcPr>
                    <w:tcW w:w="986" w:type="dxa"/>
                    <w:hideMark/>
                  </w:tcPr>
                  <w:p>
                    <w:pPr>
                      <w:jc w:val="center"/>
                      <w:rPr>
                        <w:sz w:val="20"/>
                      </w:rPr>
                    </w:pPr>
                    <w:r>
                      <w:rPr>
                        <w:color w:val="000000"/>
                        <w:sz w:val="20"/>
                      </w:rPr>
                      <w:t>1</w:t>
                    </w:r>
                  </w:p>
                </w:tc>
                <w:tc>
                  <w:tcPr>
                    <w:tcW w:w="1123" w:type="dxa"/>
                    <w:hideMark/>
                  </w:tcPr>
                  <w:p>
                    <w:pPr>
                      <w:jc w:val="center"/>
                      <w:rPr>
                        <w:sz w:val="20"/>
                      </w:rPr>
                    </w:pPr>
                    <w:r>
                      <w:rPr>
                        <w:color w:val="000000"/>
                        <w:sz w:val="20"/>
                      </w:rPr>
                      <w:t>0</w:t>
                    </w:r>
                  </w:p>
                </w:tc>
                <w:tc>
                  <w:tcPr>
                    <w:tcW w:w="1133" w:type="dxa"/>
                  </w:tcPr>
                  <w:p>
                    <w:pPr>
                      <w:jc w:val="center"/>
                      <w:rPr>
                        <w:bCs/>
                        <w:color w:val="000000"/>
                        <w:sz w:val="20"/>
                      </w:rPr>
                    </w:pPr>
                    <w:r>
                      <w:rPr>
                        <w:bCs/>
                        <w:color w:val="000000"/>
                        <w:sz w:val="20"/>
                      </w:rPr>
                      <w:t>7</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3.3.4. Uždavinys: Skatinti energijos vartojimo efektyvumą didinančių priemonių naudojimą </w:t>
                    </w:r>
                  </w:p>
                </w:tc>
                <w:tc>
                  <w:tcPr>
                    <w:tcW w:w="1415" w:type="dxa"/>
                    <w:hideMark/>
                  </w:tcPr>
                  <w:p>
                    <w:pPr>
                      <w:rPr>
                        <w:sz w:val="20"/>
                      </w:rPr>
                    </w:pPr>
                    <w:r>
                      <w:rPr>
                        <w:sz w:val="20"/>
                      </w:rPr>
                      <w:t>Įdiegtų priemonių skaičius, vnt.</w:t>
                    </w:r>
                  </w:p>
                </w:tc>
                <w:tc>
                  <w:tcPr>
                    <w:tcW w:w="1271" w:type="dxa"/>
                  </w:tcPr>
                  <w:p>
                    <w:pPr>
                      <w:jc w:val="center"/>
                      <w:rPr>
                        <w:sz w:val="20"/>
                      </w:rPr>
                    </w:pPr>
                  </w:p>
                  <w:p>
                    <w:pPr>
                      <w:jc w:val="center"/>
                      <w:rPr>
                        <w:sz w:val="20"/>
                      </w:rPr>
                    </w:pPr>
                  </w:p>
                </w:tc>
                <w:tc>
                  <w:tcPr>
                    <w:tcW w:w="1126" w:type="dxa"/>
                    <w:hideMark/>
                  </w:tcPr>
                  <w:p>
                    <w:pPr>
                      <w:jc w:val="center"/>
                      <w:rPr>
                        <w:sz w:val="20"/>
                      </w:rPr>
                    </w:pPr>
                    <w:r>
                      <w:rPr>
                        <w:color w:val="000000"/>
                        <w:sz w:val="20"/>
                      </w:rPr>
                      <w:t>1</w:t>
                    </w:r>
                  </w:p>
                </w:tc>
                <w:tc>
                  <w:tcPr>
                    <w:tcW w:w="986" w:type="dxa"/>
                    <w:hideMark/>
                  </w:tcPr>
                  <w:p>
                    <w:pPr>
                      <w:jc w:val="center"/>
                      <w:rPr>
                        <w:sz w:val="20"/>
                      </w:rPr>
                    </w:pPr>
                    <w:r>
                      <w:rPr>
                        <w:color w:val="000000"/>
                        <w:sz w:val="20"/>
                      </w:rPr>
                      <w:t>1</w:t>
                    </w:r>
                  </w:p>
                </w:tc>
                <w:tc>
                  <w:tcPr>
                    <w:tcW w:w="1123" w:type="dxa"/>
                    <w:hideMark/>
                  </w:tcPr>
                  <w:p>
                    <w:pPr>
                      <w:jc w:val="center"/>
                      <w:rPr>
                        <w:sz w:val="20"/>
                      </w:rPr>
                    </w:pPr>
                    <w:r>
                      <w:rPr>
                        <w:color w:val="000000"/>
                        <w:sz w:val="20"/>
                      </w:rPr>
                      <w:t>1</w:t>
                    </w:r>
                  </w:p>
                </w:tc>
                <w:tc>
                  <w:tcPr>
                    <w:tcW w:w="1133" w:type="dxa"/>
                  </w:tcPr>
                  <w:p>
                    <w:pPr>
                      <w:jc w:val="center"/>
                      <w:rPr>
                        <w:bCs/>
                        <w:color w:val="000000"/>
                        <w:sz w:val="20"/>
                      </w:rPr>
                    </w:pPr>
                    <w:r>
                      <w:rPr>
                        <w:bCs/>
                        <w:color w:val="000000"/>
                        <w:sz w:val="20"/>
                      </w:rPr>
                      <w:t>5</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4.1. Tikslas: Užtikrinti vietos bendruomenių plėtrą ir iniciatyvų įgyvendinimą </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sz w:val="20"/>
                      </w:rPr>
                    </w:pPr>
                    <w:r>
                      <w:rPr>
                        <w:sz w:val="20"/>
                      </w:rPr>
                      <w:t xml:space="preserve">4.1.1. Uždavinys: Užtikrinti vietos bendruomenių plėtrą ir iniciatyvų įgyvendinimą </w:t>
                    </w:r>
                  </w:p>
                </w:tc>
                <w:tc>
                  <w:tcPr>
                    <w:tcW w:w="1415" w:type="dxa"/>
                    <w:hideMark/>
                  </w:tcPr>
                  <w:p>
                    <w:pPr>
                      <w:rPr>
                        <w:sz w:val="20"/>
                      </w:rPr>
                    </w:pPr>
                    <w:r>
                      <w:rPr>
                        <w:sz w:val="20"/>
                      </w:rPr>
                      <w:t>Įgyvendintų vietos plėtros strategijų skaičius, vnt.</w:t>
                    </w:r>
                  </w:p>
                </w:tc>
                <w:tc>
                  <w:tcPr>
                    <w:tcW w:w="1271" w:type="dxa"/>
                    <w:hideMark/>
                  </w:tcPr>
                  <w:p>
                    <w:pPr>
                      <w:jc w:val="center"/>
                      <w:rPr>
                        <w:sz w:val="20"/>
                      </w:rPr>
                    </w:pPr>
                  </w:p>
                </w:tc>
                <w:tc>
                  <w:tcPr>
                    <w:tcW w:w="1126" w:type="dxa"/>
                    <w:hideMark/>
                  </w:tcPr>
                  <w:p>
                    <w:pPr>
                      <w:jc w:val="center"/>
                      <w:rPr>
                        <w:sz w:val="20"/>
                      </w:rPr>
                    </w:pPr>
                    <w:r>
                      <w:rPr>
                        <w:color w:val="000000"/>
                        <w:sz w:val="20"/>
                      </w:rPr>
                      <w:t>0</w:t>
                    </w:r>
                  </w:p>
                </w:tc>
                <w:tc>
                  <w:tcPr>
                    <w:tcW w:w="986" w:type="dxa"/>
                    <w:hideMark/>
                  </w:tcPr>
                  <w:p>
                    <w:pPr>
                      <w:jc w:val="center"/>
                      <w:rPr>
                        <w:sz w:val="20"/>
                      </w:rPr>
                    </w:pPr>
                    <w:r>
                      <w:rPr>
                        <w:color w:val="000000"/>
                        <w:sz w:val="20"/>
                      </w:rPr>
                      <w:t>0</w:t>
                    </w:r>
                  </w:p>
                </w:tc>
                <w:tc>
                  <w:tcPr>
                    <w:tcW w:w="1123" w:type="dxa"/>
                    <w:hideMark/>
                  </w:tcPr>
                  <w:p>
                    <w:pPr>
                      <w:jc w:val="center"/>
                      <w:rPr>
                        <w:sz w:val="20"/>
                      </w:rPr>
                    </w:pPr>
                    <w:r>
                      <w:rPr>
                        <w:color w:val="000000"/>
                        <w:sz w:val="20"/>
                      </w:rPr>
                      <w:t>2</w:t>
                    </w:r>
                  </w:p>
                </w:tc>
                <w:tc>
                  <w:tcPr>
                    <w:tcW w:w="1133" w:type="dxa"/>
                  </w:tcPr>
                  <w:p>
                    <w:pPr>
                      <w:jc w:val="center"/>
                      <w:rPr>
                        <w:bCs/>
                        <w:color w:val="000000"/>
                        <w:sz w:val="20"/>
                      </w:rPr>
                    </w:pPr>
                    <w:r>
                      <w:rPr>
                        <w:bCs/>
                        <w:color w:val="000000"/>
                        <w:sz w:val="20"/>
                      </w:rPr>
                      <w:t>1</w:t>
                    </w:r>
                  </w:p>
                  <w:p>
                    <w:pPr>
                      <w:jc w:val="center"/>
                      <w:rPr>
                        <w:sz w:val="20"/>
                      </w:rPr>
                    </w:pPr>
                  </w:p>
                </w:tc>
                <w:tc>
                  <w:tcPr>
                    <w:tcW w:w="1271" w:type="dxa"/>
                  </w:tcPr>
                  <w:p>
                    <w:pPr>
                      <w:rPr>
                        <w:sz w:val="20"/>
                      </w:rPr>
                    </w:pPr>
                  </w:p>
                </w:tc>
              </w:tr>
            </w:tbl>
            <w:p>
              <w:pPr>
                <w:rPr>
                  <w:sz w:val="20"/>
                </w:rPr>
              </w:pPr>
            </w:p>
            <w:p>
              <w:pPr>
                <w:rPr>
                  <w:sz w:val="20"/>
                </w:rPr>
              </w:pPr>
            </w:p>
            <w:p>
              <w:pPr>
                <w:jc w:val="center"/>
                <w:rPr>
                  <w:b/>
                  <w:bCs/>
                  <w:color w:val="000000"/>
                  <w:szCs w:val="24"/>
                </w:rPr>
              </w:pPr>
            </w:p>
          </w:sdtContent>
        </w:sdt>
        <w:sdt>
          <w:sdtPr>
            <w:alias w:val="skyrius"/>
            <w:tag w:val="part_ae108f0c624d4b82b1c0fda9f8d47d93"/>
            <w:lock w:val="sdtLocked"/>
            <w:richText/>
          </w:sdtPr>
          <w:sdtContent>
            <w:p>
              <w:pPr>
                <w:jc w:val="center"/>
                <w:rPr>
                  <w:b/>
                  <w:bCs/>
                  <w:color w:val="000000"/>
                  <w:szCs w:val="24"/>
                </w:rPr>
              </w:pPr>
              <w:sdt>
                <w:sdtPr>
                  <w:alias w:val="Numeris"/>
                  <w:tag w:val="nr_ae108f0c624d4b82b1c0fda9f8d47d93"/>
                  <w:lock w:val="sdtLocked"/>
                  <w:richText/>
                </w:sdtPr>
                <w:sdtContent>
                  <w:r>
                    <w:rPr>
                      <w:b/>
                      <w:bCs/>
                      <w:color w:val="000000"/>
                      <w:szCs w:val="24"/>
                    </w:rPr>
                    <w:t>III</w:t>
                  </w:r>
                </w:sdtContent>
              </w:sdt>
              <w:r>
                <w:rPr>
                  <w:b/>
                  <w:bCs/>
                  <w:color w:val="000000"/>
                  <w:szCs w:val="24"/>
                </w:rPr>
                <w:t xml:space="preserve"> SKYRIUS</w:t>
              </w:r>
            </w:p>
            <w:p>
              <w:pPr>
                <w:jc w:val="center"/>
                <w:rPr>
                  <w:b/>
                  <w:bCs/>
                  <w:color w:val="000000"/>
                  <w:szCs w:val="24"/>
                </w:rPr>
              </w:pPr>
              <w:sdt>
                <w:sdtPr>
                  <w:alias w:val="Pavadinimas"/>
                  <w:tag w:val="title_ae108f0c624d4b82b1c0fda9f8d47d93"/>
                  <w:lock w:val="sdtLocked"/>
                  <w:richText/>
                </w:sdtPr>
                <w:sdtContent>
                  <w:r>
                    <w:rPr>
                      <w:b/>
                      <w:bCs/>
                      <w:color w:val="000000"/>
                      <w:szCs w:val="24"/>
                    </w:rPr>
                    <w:t>PLANUOJAMI PASIEKTI REZULTATAI</w:t>
                  </w:r>
                </w:sdtContent>
              </w:sdt>
            </w:p>
            <w:p>
              <w:pPr>
                <w:rPr>
                  <w:sz w:val="20"/>
                </w:rPr>
              </w:pPr>
            </w:p>
            <w:p>
              <w:pPr>
                <w:tabs>
                  <w:tab w:val="left" w:pos="1080"/>
                </w:tabs>
                <w:jc w:val="both"/>
                <w:rPr>
                  <w:sz w:val="20"/>
                  <w:szCs w:val="24"/>
                  <w:lang w:eastAsia="lt-LT"/>
                </w:rPr>
              </w:pPr>
              <w:r>
                <w:rPr>
                  <w:szCs w:val="24"/>
                  <w:lang w:eastAsia="lt-LT"/>
                </w:rPr>
                <w:t xml:space="preserve">Įgyvendinant </w:t>
              </w:r>
              <w:r>
                <w:rPr>
                  <w:b/>
                  <w:bCs/>
                  <w:color w:val="BF8F00"/>
                  <w:szCs w:val="24"/>
                  <w:lang w:eastAsia="lt-LT"/>
                </w:rPr>
                <w:t>Radviliškio rajono savivaldybės 2021–2030 metų strateginio plėtros plano</w:t>
              </w:r>
              <w:r>
                <w:rPr>
                  <w:b/>
                  <w:bCs/>
                  <w:color w:val="C45911"/>
                  <w:szCs w:val="24"/>
                  <w:lang w:eastAsia="lt-LT"/>
                </w:rPr>
                <w:t xml:space="preserve"> </w:t>
              </w:r>
              <w:r>
                <w:rPr>
                  <w:szCs w:val="24"/>
                  <w:lang w:eastAsia="lt-LT"/>
                </w:rPr>
                <w:t>prioritetus, bus siekiama pažangios ekonomikos bei gyventojams atviros savivaldos, bus ugdoma išsilavinusi, socialiai atsakinga, sveika ir saugi visuomenė bei kuriama išvystytos, modernios infrastruktūros žalioji savivaldybė. Kiekvieną suformuluotą prioritetą išsamiai apibūdina strateginio vystymo ir plėtros tikslai bei uždaviniai ir priemonės.</w:t>
              </w:r>
            </w:p>
            <w:p>
              <w:pPr>
                <w:rPr>
                  <w:sz w:val="10"/>
                  <w:szCs w:val="10"/>
                </w:rPr>
              </w:pPr>
            </w:p>
          </w:sdtContent>
        </w:sdt>
        <w:sdt>
          <w:sdtPr>
            <w:alias w:val="skyrius"/>
            <w:tag w:val="part_697b50d4075f43008e3a65a8bbae3380"/>
            <w:lock w:val="sdtLocked"/>
            <w:richText/>
          </w:sdtPr>
          <w:sdtContent>
            <w:p>
              <w:pPr>
                <w:jc w:val="center"/>
                <w:rPr>
                  <w:b/>
                  <w:bCs/>
                  <w:color w:val="000000"/>
                  <w:szCs w:val="24"/>
                </w:rPr>
              </w:pPr>
              <w:sdt>
                <w:sdtPr>
                  <w:alias w:val="Numeris"/>
                  <w:tag w:val="nr_697b50d4075f43008e3a65a8bbae3380"/>
                  <w:lock w:val="sdtLocked"/>
                  <w:richText/>
                </w:sdtPr>
                <w:sdtContent>
                  <w:r>
                    <w:rPr>
                      <w:b/>
                      <w:bCs/>
                      <w:color w:val="000000"/>
                      <w:szCs w:val="24"/>
                    </w:rPr>
                    <w:t>IV</w:t>
                  </w:r>
                </w:sdtContent>
              </w:sdt>
              <w:r>
                <w:rPr>
                  <w:b/>
                  <w:bCs/>
                  <w:color w:val="000000"/>
                  <w:szCs w:val="24"/>
                </w:rPr>
                <w:t xml:space="preserve"> SKYRIUS</w:t>
              </w:r>
            </w:p>
            <w:p>
              <w:pPr>
                <w:jc w:val="center"/>
                <w:rPr>
                  <w:b/>
                  <w:bCs/>
                  <w:color w:val="000000"/>
                  <w:szCs w:val="24"/>
                </w:rPr>
              </w:pPr>
              <w:sdt>
                <w:sdtPr>
                  <w:alias w:val="Pavadinimas"/>
                  <w:tag w:val="title_697b50d4075f43008e3a65a8bbae3380"/>
                  <w:lock w:val="sdtLocked"/>
                  <w:richText/>
                </w:sdtPr>
                <w:sdtContent>
                  <w:r>
                    <w:rPr>
                      <w:b/>
                      <w:bCs/>
                      <w:color w:val="000000"/>
                      <w:szCs w:val="24"/>
                    </w:rPr>
                    <w:t>PROGRAMOS</w:t>
                  </w:r>
                </w:sdtContent>
              </w:sdt>
            </w:p>
            <w:p>
              <w:pPr>
                <w:jc w:val="center"/>
                <w:rPr>
                  <w:b/>
                  <w:bCs/>
                  <w:color w:val="000000"/>
                  <w:szCs w:val="24"/>
                </w:rPr>
              </w:pPr>
            </w:p>
            <w:p>
              <w:pPr>
                <w:ind w:firstLine="186"/>
                <w:jc w:val="both"/>
                <w:rPr>
                  <w:i/>
                  <w:color w:val="808080"/>
                  <w:szCs w:val="24"/>
                </w:rPr>
              </w:pPr>
              <w:r>
                <w:rPr>
                  <w:szCs w:val="24"/>
                </w:rPr>
                <w:t xml:space="preserve">2025–2027 metų asignavimų ir kitų lėšų pasiskirstymas pagal programas (tūkst. eurų) </w:t>
              </w:r>
            </w:p>
            <w:tbl>
              <w:tblPr>
                <w:tblW w:w="10319" w:type="dxa"/>
                <w:tblInd w:w="137"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4A0" w:firstRow="1" w:lastRow="0" w:firstColumn="1" w:lastColumn="0" w:noHBand="0" w:noVBand="1"/>
              </w:tblPr>
              <w:tblGrid>
                <w:gridCol w:w="709"/>
                <w:gridCol w:w="10"/>
                <w:gridCol w:w="4809"/>
                <w:gridCol w:w="1560"/>
                <w:gridCol w:w="1701"/>
                <w:gridCol w:w="1530"/>
              </w:tblGrid>
              <w:tr>
                <w:trPr>
                  <w:cantSplit/>
                  <w:trHeight w:val="252"/>
                  <w:tblHeader/>
                </w:trPr>
                <w:tc>
                  <w:tcPr>
                    <w:tcW w:w="719" w:type="dxa"/>
                    <w:gridSpan w:val="2"/>
                    <w:shd w:val="clear" w:color="auto" w:fill="FFE8CB"/>
                    <w:vAlign w:val="center"/>
                    <w:hideMark/>
                  </w:tcPr>
                  <w:p>
                    <w:pPr>
                      <w:jc w:val="center"/>
                      <w:rPr>
                        <w:b/>
                        <w:bCs/>
                        <w:color w:val="000000"/>
                        <w:sz w:val="18"/>
                        <w:szCs w:val="16"/>
                      </w:rPr>
                    </w:pPr>
                    <w:r>
                      <w:rPr>
                        <w:b/>
                        <w:bCs/>
                        <w:color w:val="000000"/>
                        <w:sz w:val="18"/>
                        <w:szCs w:val="16"/>
                      </w:rPr>
                      <w:t>Eil. Nr.</w:t>
                    </w:r>
                  </w:p>
                </w:tc>
                <w:tc>
                  <w:tcPr>
                    <w:tcW w:w="4809" w:type="dxa"/>
                    <w:shd w:val="clear" w:color="auto" w:fill="FFE8CB"/>
                    <w:vAlign w:val="center"/>
                    <w:hideMark/>
                  </w:tcPr>
                  <w:p>
                    <w:pPr>
                      <w:jc w:val="center"/>
                      <w:rPr>
                        <w:b/>
                        <w:bCs/>
                        <w:color w:val="000000"/>
                        <w:sz w:val="18"/>
                        <w:szCs w:val="16"/>
                      </w:rPr>
                    </w:pPr>
                    <w:r>
                      <w:rPr>
                        <w:b/>
                        <w:bCs/>
                        <w:color w:val="000000"/>
                        <w:sz w:val="18"/>
                        <w:szCs w:val="16"/>
                      </w:rPr>
                      <w:t>Programos kodas ir pavadinimas</w:t>
                    </w:r>
                  </w:p>
                </w:tc>
                <w:tc>
                  <w:tcPr>
                    <w:tcW w:w="1560" w:type="dxa"/>
                    <w:shd w:val="clear" w:color="auto" w:fill="FFE8CB"/>
                    <w:vAlign w:val="center"/>
                    <w:hideMark/>
                  </w:tcPr>
                  <w:p>
                    <w:pPr>
                      <w:jc w:val="center"/>
                      <w:rPr>
                        <w:b/>
                        <w:bCs/>
                        <w:color w:val="000000"/>
                        <w:sz w:val="18"/>
                        <w:szCs w:val="16"/>
                      </w:rPr>
                    </w:pPr>
                    <w:r>
                      <w:rPr>
                        <w:b/>
                        <w:bCs/>
                        <w:i/>
                        <w:color w:val="000000"/>
                        <w:sz w:val="18"/>
                        <w:szCs w:val="16"/>
                      </w:rPr>
                      <w:t>2025</w:t>
                    </w:r>
                    <w:r>
                      <w:rPr>
                        <w:b/>
                        <w:bCs/>
                        <w:color w:val="000000"/>
                        <w:sz w:val="18"/>
                        <w:szCs w:val="16"/>
                      </w:rPr>
                      <w:t xml:space="preserve"> metų asignavimai ir kitos lėšos</w:t>
                    </w:r>
                  </w:p>
                </w:tc>
                <w:tc>
                  <w:tcPr>
                    <w:tcW w:w="1701" w:type="dxa"/>
                    <w:shd w:val="clear" w:color="auto" w:fill="FFE8CB"/>
                    <w:vAlign w:val="center"/>
                    <w:hideMark/>
                  </w:tcPr>
                  <w:p>
                    <w:pPr>
                      <w:jc w:val="center"/>
                      <w:rPr>
                        <w:b/>
                        <w:bCs/>
                        <w:color w:val="000000"/>
                        <w:sz w:val="18"/>
                        <w:szCs w:val="16"/>
                      </w:rPr>
                    </w:pPr>
                    <w:r>
                      <w:rPr>
                        <w:b/>
                        <w:bCs/>
                        <w:i/>
                        <w:color w:val="000000"/>
                        <w:sz w:val="18"/>
                        <w:szCs w:val="16"/>
                      </w:rPr>
                      <w:t>2026</w:t>
                    </w:r>
                    <w:r>
                      <w:rPr>
                        <w:b/>
                        <w:bCs/>
                        <w:color w:val="000000"/>
                        <w:sz w:val="18"/>
                        <w:szCs w:val="16"/>
                      </w:rPr>
                      <w:t xml:space="preserve"> metų asignavimai ir kitos lėšos</w:t>
                    </w:r>
                  </w:p>
                </w:tc>
                <w:tc>
                  <w:tcPr>
                    <w:tcW w:w="1530" w:type="dxa"/>
                    <w:shd w:val="clear" w:color="auto" w:fill="FFE8CB"/>
                    <w:vAlign w:val="center"/>
                    <w:hideMark/>
                  </w:tcPr>
                  <w:p>
                    <w:pPr>
                      <w:jc w:val="center"/>
                      <w:rPr>
                        <w:b/>
                        <w:bCs/>
                        <w:color w:val="000000"/>
                        <w:sz w:val="18"/>
                        <w:szCs w:val="16"/>
                      </w:rPr>
                    </w:pPr>
                    <w:r>
                      <w:rPr>
                        <w:b/>
                        <w:bCs/>
                        <w:i/>
                        <w:color w:val="000000"/>
                        <w:sz w:val="18"/>
                        <w:szCs w:val="16"/>
                      </w:rPr>
                      <w:t>2027</w:t>
                    </w:r>
                    <w:r>
                      <w:rPr>
                        <w:b/>
                        <w:bCs/>
                        <w:color w:val="000000"/>
                        <w:sz w:val="18"/>
                        <w:szCs w:val="16"/>
                      </w:rPr>
                      <w:t xml:space="preserve"> metų asignavimai ir kitos lėšos</w:t>
                    </w:r>
                  </w:p>
                </w:tc>
              </w:tr>
              <w:tr>
                <w:trPr>
                  <w:cantSplit/>
                  <w:trHeight w:val="90"/>
                  <w:tblHeader/>
                </w:trPr>
                <w:tc>
                  <w:tcPr>
                    <w:tcW w:w="719" w:type="dxa"/>
                    <w:gridSpan w:val="2"/>
                    <w:shd w:val="clear" w:color="auto" w:fill="FFE8CB"/>
                    <w:vAlign w:val="center"/>
                    <w:hideMark/>
                  </w:tcPr>
                  <w:p>
                    <w:pPr>
                      <w:jc w:val="center"/>
                      <w:rPr>
                        <w:color w:val="000000"/>
                        <w:sz w:val="18"/>
                        <w:szCs w:val="16"/>
                      </w:rPr>
                    </w:pPr>
                    <w:r>
                      <w:rPr>
                        <w:color w:val="000000"/>
                        <w:sz w:val="18"/>
                        <w:szCs w:val="16"/>
                      </w:rPr>
                      <w:t>1</w:t>
                    </w:r>
                  </w:p>
                </w:tc>
                <w:tc>
                  <w:tcPr>
                    <w:tcW w:w="4809" w:type="dxa"/>
                    <w:shd w:val="clear" w:color="auto" w:fill="FFE8CB"/>
                    <w:vAlign w:val="center"/>
                    <w:hideMark/>
                  </w:tcPr>
                  <w:p>
                    <w:pPr>
                      <w:jc w:val="center"/>
                      <w:rPr>
                        <w:color w:val="000000"/>
                        <w:sz w:val="18"/>
                        <w:szCs w:val="16"/>
                      </w:rPr>
                    </w:pPr>
                    <w:r>
                      <w:rPr>
                        <w:color w:val="000000"/>
                        <w:sz w:val="18"/>
                        <w:szCs w:val="16"/>
                      </w:rPr>
                      <w:t>2</w:t>
                    </w:r>
                  </w:p>
                </w:tc>
                <w:tc>
                  <w:tcPr>
                    <w:tcW w:w="1560" w:type="dxa"/>
                    <w:shd w:val="clear" w:color="auto" w:fill="FFE8CB"/>
                    <w:vAlign w:val="center"/>
                    <w:hideMark/>
                  </w:tcPr>
                  <w:p>
                    <w:pPr>
                      <w:jc w:val="center"/>
                      <w:rPr>
                        <w:color w:val="000000"/>
                        <w:sz w:val="18"/>
                        <w:szCs w:val="16"/>
                      </w:rPr>
                    </w:pPr>
                    <w:r>
                      <w:rPr>
                        <w:color w:val="000000"/>
                        <w:sz w:val="18"/>
                        <w:szCs w:val="16"/>
                      </w:rPr>
                      <w:t>3</w:t>
                    </w:r>
                  </w:p>
                </w:tc>
                <w:tc>
                  <w:tcPr>
                    <w:tcW w:w="1701" w:type="dxa"/>
                    <w:shd w:val="clear" w:color="auto" w:fill="FFE8CB"/>
                    <w:vAlign w:val="center"/>
                    <w:hideMark/>
                  </w:tcPr>
                  <w:p>
                    <w:pPr>
                      <w:jc w:val="center"/>
                      <w:rPr>
                        <w:color w:val="000000"/>
                        <w:sz w:val="18"/>
                        <w:szCs w:val="16"/>
                      </w:rPr>
                    </w:pPr>
                    <w:r>
                      <w:rPr>
                        <w:color w:val="000000"/>
                        <w:sz w:val="18"/>
                        <w:szCs w:val="16"/>
                      </w:rPr>
                      <w:t>4</w:t>
                    </w:r>
                  </w:p>
                </w:tc>
                <w:tc>
                  <w:tcPr>
                    <w:tcW w:w="1530" w:type="dxa"/>
                    <w:shd w:val="clear" w:color="auto" w:fill="FFE8CB"/>
                    <w:vAlign w:val="center"/>
                    <w:hideMark/>
                  </w:tcPr>
                  <w:p>
                    <w:pPr>
                      <w:jc w:val="center"/>
                      <w:rPr>
                        <w:color w:val="000000"/>
                        <w:sz w:val="18"/>
                        <w:szCs w:val="16"/>
                      </w:rPr>
                    </w:pPr>
                    <w:r>
                      <w:rPr>
                        <w:color w:val="000000"/>
                        <w:sz w:val="18"/>
                        <w:szCs w:val="16"/>
                      </w:rPr>
                      <w:t>5</w:t>
                    </w:r>
                  </w:p>
                </w:tc>
              </w:tr>
              <w:tr>
                <w:trPr>
                  <w:trHeight w:val="324"/>
                </w:trPr>
                <w:tc>
                  <w:tcPr>
                    <w:tcW w:w="719" w:type="dxa"/>
                    <w:gridSpan w:val="2"/>
                    <w:vAlign w:val="center"/>
                  </w:tcPr>
                  <w:p>
                    <w:pPr>
                      <w:jc w:val="center"/>
                      <w:rPr>
                        <w:b/>
                        <w:bCs/>
                        <w:color w:val="000000"/>
                        <w:sz w:val="18"/>
                        <w:szCs w:val="18"/>
                      </w:rPr>
                    </w:pPr>
                    <w:r>
                      <w:rPr>
                        <w:b/>
                        <w:bCs/>
                        <w:color w:val="000000"/>
                        <w:sz w:val="18"/>
                        <w:szCs w:val="16"/>
                      </w:rPr>
                      <w:t>1.</w:t>
                    </w:r>
                  </w:p>
                </w:tc>
                <w:tc>
                  <w:tcPr>
                    <w:tcW w:w="4809" w:type="dxa"/>
                    <w:vAlign w:val="center"/>
                  </w:tcPr>
                  <w:p>
                    <w:pPr>
                      <w:rPr>
                        <w:b/>
                        <w:bCs/>
                        <w:color w:val="000000"/>
                        <w:sz w:val="18"/>
                        <w:szCs w:val="18"/>
                      </w:rPr>
                    </w:pPr>
                    <w:r>
                      <w:rPr>
                        <w:b/>
                        <w:bCs/>
                        <w:color w:val="000000"/>
                        <w:sz w:val="18"/>
                        <w:szCs w:val="18"/>
                      </w:rPr>
                      <w:t xml:space="preserve">01  Radviliškio rajono savivaldybės valdymo programa</w:t>
                    </w:r>
                  </w:p>
                </w:tc>
                <w:tc>
                  <w:tcPr>
                    <w:tcW w:w="1560" w:type="dxa"/>
                    <w:vAlign w:val="center"/>
                  </w:tcPr>
                  <w:p>
                    <w:pPr>
                      <w:jc w:val="right"/>
                      <w:rPr>
                        <w:color w:val="000000"/>
                        <w:sz w:val="18"/>
                        <w:szCs w:val="16"/>
                      </w:rPr>
                    </w:pPr>
                  </w:p>
                </w:tc>
                <w:tc>
                  <w:tcPr>
                    <w:tcW w:w="1701" w:type="dxa"/>
                    <w:vAlign w:val="center"/>
                  </w:tcPr>
                  <w:p>
                    <w:pPr>
                      <w:jc w:val="right"/>
                      <w:rPr>
                        <w:color w:val="000000"/>
                        <w:sz w:val="18"/>
                        <w:szCs w:val="16"/>
                      </w:rPr>
                    </w:pPr>
                  </w:p>
                </w:tc>
                <w:tc>
                  <w:tcPr>
                    <w:tcW w:w="1530" w:type="dxa"/>
                    <w:vAlign w:val="center"/>
                  </w:tcPr>
                  <w:p>
                    <w:pPr>
                      <w:jc w:val="right"/>
                      <w:rPr>
                        <w:color w:val="000000"/>
                        <w:sz w:val="18"/>
                        <w:szCs w:val="16"/>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7 939,6</w:t>
                    </w:r>
                  </w:p>
                </w:tc>
                <w:tc>
                  <w:tcPr>
                    <w:tcW w:w="1701" w:type="dxa"/>
                  </w:tcPr>
                  <w:p>
                    <w:pPr>
                      <w:jc w:val="center"/>
                      <w:rPr>
                        <w:color w:val="000000"/>
                        <w:sz w:val="18"/>
                        <w:szCs w:val="18"/>
                      </w:rPr>
                    </w:pPr>
                    <w:r>
                      <w:rPr>
                        <w:sz w:val="18"/>
                        <w:szCs w:val="18"/>
                      </w:rPr>
                      <w:t xml:space="preserve">7  913,7</w:t>
                    </w:r>
                  </w:p>
                </w:tc>
                <w:tc>
                  <w:tcPr>
                    <w:tcW w:w="1530" w:type="dxa"/>
                  </w:tcPr>
                  <w:p>
                    <w:pPr>
                      <w:jc w:val="center"/>
                      <w:rPr>
                        <w:color w:val="000000"/>
                        <w:sz w:val="18"/>
                        <w:szCs w:val="18"/>
                      </w:rPr>
                    </w:pPr>
                    <w:r>
                      <w:rPr>
                        <w:sz w:val="18"/>
                        <w:szCs w:val="18"/>
                      </w:rPr>
                      <w:t>8 114,2</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7 084,7</w:t>
                    </w:r>
                  </w:p>
                </w:tc>
                <w:tc>
                  <w:tcPr>
                    <w:tcW w:w="1701" w:type="dxa"/>
                  </w:tcPr>
                  <w:p>
                    <w:pPr>
                      <w:jc w:val="center"/>
                      <w:rPr>
                        <w:color w:val="000000"/>
                        <w:sz w:val="18"/>
                        <w:szCs w:val="18"/>
                      </w:rPr>
                    </w:pPr>
                    <w:r>
                      <w:rPr>
                        <w:sz w:val="18"/>
                        <w:szCs w:val="18"/>
                      </w:rPr>
                      <w:t>7 105,4</w:t>
                    </w:r>
                  </w:p>
                </w:tc>
                <w:tc>
                  <w:tcPr>
                    <w:tcW w:w="1530" w:type="dxa"/>
                  </w:tcPr>
                  <w:p>
                    <w:pPr>
                      <w:jc w:val="center"/>
                      <w:rPr>
                        <w:color w:val="000000"/>
                        <w:sz w:val="18"/>
                        <w:szCs w:val="18"/>
                      </w:rPr>
                    </w:pPr>
                    <w:r>
                      <w:rPr>
                        <w:sz w:val="18"/>
                        <w:szCs w:val="18"/>
                      </w:rPr>
                      <w:t>7 290,2</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652,7</w:t>
                    </w:r>
                  </w:p>
                </w:tc>
                <w:tc>
                  <w:tcPr>
                    <w:tcW w:w="1701" w:type="dxa"/>
                  </w:tcPr>
                  <w:p>
                    <w:pPr>
                      <w:jc w:val="center"/>
                      <w:rPr>
                        <w:color w:val="000000"/>
                        <w:sz w:val="18"/>
                        <w:szCs w:val="18"/>
                      </w:rPr>
                    </w:pPr>
                    <w:r>
                      <w:rPr>
                        <w:sz w:val="18"/>
                        <w:szCs w:val="18"/>
                      </w:rPr>
                      <w:t>606,0</w:t>
                    </w:r>
                  </w:p>
                </w:tc>
                <w:tc>
                  <w:tcPr>
                    <w:tcW w:w="1530" w:type="dxa"/>
                  </w:tcPr>
                  <w:p>
                    <w:pPr>
                      <w:jc w:val="center"/>
                      <w:rPr>
                        <w:color w:val="000000"/>
                        <w:sz w:val="18"/>
                        <w:szCs w:val="18"/>
                      </w:rPr>
                    </w:pPr>
                    <w:r>
                      <w:rPr>
                        <w:sz w:val="18"/>
                        <w:szCs w:val="18"/>
                      </w:rPr>
                      <w:t>621,7</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202,3</w:t>
                    </w:r>
                  </w:p>
                </w:tc>
                <w:tc>
                  <w:tcPr>
                    <w:tcW w:w="1701" w:type="dxa"/>
                  </w:tcPr>
                  <w:p>
                    <w:pPr>
                      <w:jc w:val="center"/>
                      <w:rPr>
                        <w:color w:val="000000"/>
                        <w:sz w:val="18"/>
                        <w:szCs w:val="18"/>
                      </w:rPr>
                    </w:pPr>
                    <w:r>
                      <w:rPr>
                        <w:sz w:val="18"/>
                        <w:szCs w:val="18"/>
                      </w:rPr>
                      <w:t>202,3</w:t>
                    </w:r>
                  </w:p>
                </w:tc>
                <w:tc>
                  <w:tcPr>
                    <w:tcW w:w="1530" w:type="dxa"/>
                  </w:tcPr>
                  <w:p>
                    <w:pPr>
                      <w:jc w:val="center"/>
                      <w:rPr>
                        <w:color w:val="000000"/>
                        <w:sz w:val="18"/>
                        <w:szCs w:val="18"/>
                      </w:rPr>
                    </w:pPr>
                    <w:r>
                      <w:rPr>
                        <w:sz w:val="18"/>
                        <w:szCs w:val="18"/>
                      </w:rPr>
                      <w:t>202,3</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tcPr>
                  <w:p>
                    <w:pPr>
                      <w:jc w:val="center"/>
                      <w:rPr>
                        <w:color w:val="000000"/>
                        <w:sz w:val="18"/>
                        <w:szCs w:val="18"/>
                      </w:rPr>
                    </w:pPr>
                    <w:r>
                      <w:rPr>
                        <w:sz w:val="18"/>
                        <w:szCs w:val="18"/>
                      </w:rPr>
                      <w:t>304,4</w:t>
                    </w:r>
                  </w:p>
                </w:tc>
                <w:tc>
                  <w:tcPr>
                    <w:tcW w:w="1701" w:type="dxa"/>
                  </w:tcPr>
                  <w:p>
                    <w:pPr>
                      <w:jc w:val="center"/>
                      <w:rPr>
                        <w:color w:val="000000"/>
                        <w:sz w:val="18"/>
                        <w:szCs w:val="18"/>
                      </w:rPr>
                    </w:pPr>
                    <w:r>
                      <w:rPr>
                        <w:sz w:val="18"/>
                        <w:szCs w:val="18"/>
                      </w:rPr>
                      <w:t>312,4</w:t>
                    </w:r>
                  </w:p>
                </w:tc>
                <w:tc>
                  <w:tcPr>
                    <w:tcW w:w="1530" w:type="dxa"/>
                  </w:tcPr>
                  <w:p>
                    <w:pPr>
                      <w:jc w:val="center"/>
                      <w:rPr>
                        <w:color w:val="000000"/>
                        <w:sz w:val="18"/>
                        <w:szCs w:val="18"/>
                      </w:rPr>
                    </w:pPr>
                    <w:r>
                      <w:rPr>
                        <w:sz w:val="18"/>
                        <w:szCs w:val="18"/>
                      </w:rPr>
                      <w:t>320,5</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8 244,1</w:t>
                    </w:r>
                  </w:p>
                </w:tc>
                <w:tc>
                  <w:tcPr>
                    <w:tcW w:w="1701" w:type="dxa"/>
                  </w:tcPr>
                  <w:p>
                    <w:pPr>
                      <w:jc w:val="center"/>
                      <w:rPr>
                        <w:color w:val="000000"/>
                        <w:sz w:val="18"/>
                        <w:szCs w:val="18"/>
                      </w:rPr>
                    </w:pPr>
                    <w:r>
                      <w:rPr>
                        <w:sz w:val="18"/>
                        <w:szCs w:val="18"/>
                      </w:rPr>
                      <w:t>8 226,1</w:t>
                    </w:r>
                  </w:p>
                </w:tc>
                <w:tc>
                  <w:tcPr>
                    <w:tcW w:w="1530" w:type="dxa"/>
                  </w:tcPr>
                  <w:p>
                    <w:pPr>
                      <w:jc w:val="center"/>
                      <w:rPr>
                        <w:color w:val="000000"/>
                        <w:sz w:val="18"/>
                        <w:szCs w:val="18"/>
                      </w:rPr>
                    </w:pPr>
                    <w:r>
                      <w:rPr>
                        <w:sz w:val="18"/>
                        <w:szCs w:val="18"/>
                      </w:rPr>
                      <w:t>8 434,7</w:t>
                    </w:r>
                  </w:p>
                </w:tc>
              </w:tr>
              <w:tr>
                <w:trPr>
                  <w:trHeight w:val="324"/>
                </w:trPr>
                <w:tc>
                  <w:tcPr>
                    <w:tcW w:w="709" w:type="dxa"/>
                  </w:tcPr>
                  <w:p>
                    <w:pPr>
                      <w:jc w:val="center"/>
                      <w:rPr>
                        <w:b/>
                        <w:bCs/>
                        <w:sz w:val="18"/>
                        <w:szCs w:val="18"/>
                      </w:rPr>
                    </w:pPr>
                    <w:r>
                      <w:rPr>
                        <w:b/>
                        <w:bCs/>
                        <w:sz w:val="18"/>
                        <w:szCs w:val="18"/>
                      </w:rPr>
                      <w:t>2.</w:t>
                    </w:r>
                  </w:p>
                </w:tc>
                <w:tc>
                  <w:tcPr>
                    <w:tcW w:w="4819" w:type="dxa"/>
                    <w:gridSpan w:val="2"/>
                    <w:vAlign w:val="center"/>
                  </w:tcPr>
                  <w:p>
                    <w:pPr>
                      <w:rPr>
                        <w:sz w:val="18"/>
                        <w:szCs w:val="18"/>
                      </w:rPr>
                    </w:pPr>
                    <w:r>
                      <w:rPr>
                        <w:b/>
                        <w:bCs/>
                        <w:color w:val="000000"/>
                        <w:sz w:val="18"/>
                        <w:szCs w:val="18"/>
                      </w:rPr>
                      <w:t xml:space="preserve">02  Radviliškio rajono savivaldybės švietimo paslaugų prieinamumo ir kokybės užtikrinimo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35 600,3</w:t>
                    </w:r>
                  </w:p>
                </w:tc>
                <w:tc>
                  <w:tcPr>
                    <w:tcW w:w="1701" w:type="dxa"/>
                  </w:tcPr>
                  <w:p>
                    <w:pPr>
                      <w:jc w:val="center"/>
                      <w:rPr>
                        <w:color w:val="000000"/>
                        <w:sz w:val="18"/>
                        <w:szCs w:val="18"/>
                      </w:rPr>
                    </w:pPr>
                    <w:r>
                      <w:rPr>
                        <w:sz w:val="18"/>
                        <w:szCs w:val="18"/>
                      </w:rPr>
                      <w:t>35 379,7</w:t>
                    </w:r>
                  </w:p>
                </w:tc>
                <w:tc>
                  <w:tcPr>
                    <w:tcW w:w="1530" w:type="dxa"/>
                  </w:tcPr>
                  <w:p>
                    <w:pPr>
                      <w:jc w:val="center"/>
                      <w:rPr>
                        <w:color w:val="000000"/>
                        <w:sz w:val="18"/>
                        <w:szCs w:val="18"/>
                      </w:rPr>
                    </w:pPr>
                    <w:r>
                      <w:rPr>
                        <w:sz w:val="18"/>
                        <w:szCs w:val="18"/>
                      </w:rPr>
                      <w:t>36 269,2</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14 796,5</w:t>
                    </w:r>
                  </w:p>
                </w:tc>
                <w:tc>
                  <w:tcPr>
                    <w:tcW w:w="1701" w:type="dxa"/>
                  </w:tcPr>
                  <w:p>
                    <w:pPr>
                      <w:jc w:val="center"/>
                      <w:rPr>
                        <w:color w:val="000000"/>
                        <w:sz w:val="18"/>
                        <w:szCs w:val="18"/>
                      </w:rPr>
                    </w:pPr>
                    <w:r>
                      <w:rPr>
                        <w:sz w:val="18"/>
                        <w:szCs w:val="18"/>
                      </w:rPr>
                      <w:t>15 113,9</w:t>
                    </w:r>
                  </w:p>
                </w:tc>
                <w:tc>
                  <w:tcPr>
                    <w:tcW w:w="1530" w:type="dxa"/>
                  </w:tcPr>
                  <w:p>
                    <w:pPr>
                      <w:jc w:val="center"/>
                      <w:rPr>
                        <w:color w:val="000000"/>
                        <w:sz w:val="18"/>
                        <w:szCs w:val="18"/>
                      </w:rPr>
                    </w:pPr>
                    <w:r>
                      <w:rPr>
                        <w:sz w:val="18"/>
                        <w:szCs w:val="18"/>
                      </w:rPr>
                      <w:t>15 506,1</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18 721,2</w:t>
                    </w:r>
                  </w:p>
                </w:tc>
                <w:tc>
                  <w:tcPr>
                    <w:tcW w:w="1701" w:type="dxa"/>
                  </w:tcPr>
                  <w:p>
                    <w:pPr>
                      <w:jc w:val="center"/>
                      <w:rPr>
                        <w:color w:val="000000"/>
                        <w:sz w:val="18"/>
                        <w:szCs w:val="18"/>
                      </w:rPr>
                    </w:pPr>
                    <w:r>
                      <w:rPr>
                        <w:sz w:val="18"/>
                        <w:szCs w:val="18"/>
                      </w:rPr>
                      <w:t>19 125,9</w:t>
                    </w:r>
                  </w:p>
                </w:tc>
                <w:tc>
                  <w:tcPr>
                    <w:tcW w:w="1530" w:type="dxa"/>
                  </w:tcPr>
                  <w:p>
                    <w:pPr>
                      <w:jc w:val="center"/>
                      <w:rPr>
                        <w:color w:val="000000"/>
                        <w:sz w:val="18"/>
                        <w:szCs w:val="18"/>
                      </w:rPr>
                    </w:pPr>
                    <w:r>
                      <w:rPr>
                        <w:sz w:val="18"/>
                        <w:szCs w:val="18"/>
                      </w:rPr>
                      <w:t>19 623,2</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1 139,9</w:t>
                    </w:r>
                  </w:p>
                </w:tc>
                <w:tc>
                  <w:tcPr>
                    <w:tcW w:w="1701" w:type="dxa"/>
                  </w:tcPr>
                  <w:p>
                    <w:pPr>
                      <w:jc w:val="center"/>
                      <w:rPr>
                        <w:color w:val="000000"/>
                        <w:sz w:val="18"/>
                        <w:szCs w:val="18"/>
                      </w:rPr>
                    </w:pPr>
                    <w:r>
                      <w:rPr>
                        <w:sz w:val="18"/>
                        <w:szCs w:val="18"/>
                      </w:rPr>
                      <w:t>1 139,9</w:t>
                    </w:r>
                  </w:p>
                </w:tc>
                <w:tc>
                  <w:tcPr>
                    <w:tcW w:w="1530" w:type="dxa"/>
                  </w:tcPr>
                  <w:p>
                    <w:pPr>
                      <w:jc w:val="center"/>
                      <w:rPr>
                        <w:color w:val="000000"/>
                        <w:sz w:val="18"/>
                        <w:szCs w:val="18"/>
                      </w:rPr>
                    </w:pPr>
                    <w:r>
                      <w:rPr>
                        <w:sz w:val="18"/>
                        <w:szCs w:val="18"/>
                      </w:rPr>
                      <w:t>1 139,9</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tcPr>
                  <w:p>
                    <w:pPr>
                      <w:jc w:val="center"/>
                      <w:rPr>
                        <w:color w:val="000000"/>
                        <w:sz w:val="18"/>
                        <w:szCs w:val="18"/>
                      </w:rPr>
                    </w:pPr>
                    <w:r>
                      <w:rPr>
                        <w:sz w:val="18"/>
                        <w:szCs w:val="18"/>
                      </w:rPr>
                      <w:t>942,7</w:t>
                    </w:r>
                  </w:p>
                </w:tc>
                <w:tc>
                  <w:tcPr>
                    <w:tcW w:w="1701" w:type="dxa"/>
                  </w:tcPr>
                  <w:p>
                    <w:pPr>
                      <w:jc w:val="center"/>
                      <w:rPr>
                        <w:color w:val="000000"/>
                        <w:sz w:val="18"/>
                        <w:szCs w:val="18"/>
                      </w:rPr>
                    </w:pPr>
                  </w:p>
                </w:tc>
                <w:tc>
                  <w:tcPr>
                    <w:tcW w:w="1530" w:type="dxa"/>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35 600,3</w:t>
                    </w:r>
                  </w:p>
                </w:tc>
                <w:tc>
                  <w:tcPr>
                    <w:tcW w:w="1701" w:type="dxa"/>
                  </w:tcPr>
                  <w:p>
                    <w:pPr>
                      <w:jc w:val="center"/>
                      <w:rPr>
                        <w:color w:val="000000"/>
                        <w:sz w:val="18"/>
                        <w:szCs w:val="18"/>
                      </w:rPr>
                    </w:pPr>
                    <w:r>
                      <w:rPr>
                        <w:sz w:val="18"/>
                        <w:szCs w:val="18"/>
                      </w:rPr>
                      <w:t>35 379,7</w:t>
                    </w:r>
                  </w:p>
                </w:tc>
                <w:tc>
                  <w:tcPr>
                    <w:tcW w:w="1530" w:type="dxa"/>
                  </w:tcPr>
                  <w:p>
                    <w:pPr>
                      <w:jc w:val="center"/>
                      <w:rPr>
                        <w:color w:val="000000"/>
                        <w:sz w:val="18"/>
                        <w:szCs w:val="18"/>
                      </w:rPr>
                    </w:pPr>
                    <w:r>
                      <w:rPr>
                        <w:sz w:val="18"/>
                        <w:szCs w:val="18"/>
                      </w:rPr>
                      <w:t>36 269,2</w:t>
                    </w:r>
                  </w:p>
                </w:tc>
              </w:tr>
              <w:tr>
                <w:trPr>
                  <w:trHeight w:val="324"/>
                </w:trPr>
                <w:tc>
                  <w:tcPr>
                    <w:tcW w:w="709" w:type="dxa"/>
                  </w:tcPr>
                  <w:p>
                    <w:pPr>
                      <w:jc w:val="center"/>
                      <w:rPr>
                        <w:sz w:val="18"/>
                        <w:szCs w:val="18"/>
                      </w:rPr>
                    </w:pPr>
                    <w:r>
                      <w:rPr>
                        <w:b/>
                        <w:bCs/>
                        <w:color w:val="000000"/>
                        <w:sz w:val="18"/>
                        <w:szCs w:val="16"/>
                      </w:rPr>
                      <w:t>3.</w:t>
                    </w:r>
                  </w:p>
                </w:tc>
                <w:tc>
                  <w:tcPr>
                    <w:tcW w:w="4819" w:type="dxa"/>
                    <w:gridSpan w:val="2"/>
                    <w:vAlign w:val="center"/>
                  </w:tcPr>
                  <w:p>
                    <w:pPr>
                      <w:rPr>
                        <w:sz w:val="18"/>
                        <w:szCs w:val="18"/>
                      </w:rPr>
                    </w:pPr>
                    <w:r>
                      <w:rPr>
                        <w:b/>
                        <w:bCs/>
                        <w:color w:val="000000"/>
                        <w:sz w:val="18"/>
                        <w:szCs w:val="18"/>
                      </w:rPr>
                      <w:t xml:space="preserve">03  Socialinių paslaugų ir socialinės paramos teikimo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16 230,5</w:t>
                    </w:r>
                  </w:p>
                </w:tc>
                <w:tc>
                  <w:tcPr>
                    <w:tcW w:w="1701" w:type="dxa"/>
                  </w:tcPr>
                  <w:p>
                    <w:pPr>
                      <w:jc w:val="center"/>
                      <w:rPr>
                        <w:color w:val="000000"/>
                        <w:sz w:val="18"/>
                        <w:szCs w:val="18"/>
                      </w:rPr>
                    </w:pPr>
                    <w:r>
                      <w:rPr>
                        <w:sz w:val="18"/>
                        <w:szCs w:val="18"/>
                      </w:rPr>
                      <w:t>16 397,1</w:t>
                    </w:r>
                  </w:p>
                </w:tc>
                <w:tc>
                  <w:tcPr>
                    <w:tcW w:w="1530" w:type="dxa"/>
                  </w:tcPr>
                  <w:p>
                    <w:pPr>
                      <w:jc w:val="center"/>
                      <w:rPr>
                        <w:color w:val="000000"/>
                        <w:sz w:val="18"/>
                        <w:szCs w:val="18"/>
                      </w:rPr>
                    </w:pPr>
                    <w:r>
                      <w:rPr>
                        <w:sz w:val="18"/>
                        <w:szCs w:val="18"/>
                      </w:rPr>
                      <w:t>16 801,1</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10 859,4</w:t>
                    </w:r>
                  </w:p>
                </w:tc>
                <w:tc>
                  <w:tcPr>
                    <w:tcW w:w="1701" w:type="dxa"/>
                  </w:tcPr>
                  <w:p>
                    <w:pPr>
                      <w:jc w:val="center"/>
                      <w:rPr>
                        <w:color w:val="000000"/>
                        <w:sz w:val="18"/>
                        <w:szCs w:val="18"/>
                      </w:rPr>
                    </w:pPr>
                    <w:r>
                      <w:rPr>
                        <w:sz w:val="18"/>
                        <w:szCs w:val="18"/>
                      </w:rPr>
                      <w:t>11 141,8</w:t>
                    </w:r>
                  </w:p>
                </w:tc>
                <w:tc>
                  <w:tcPr>
                    <w:tcW w:w="1530" w:type="dxa"/>
                  </w:tcPr>
                  <w:p>
                    <w:pPr>
                      <w:jc w:val="center"/>
                      <w:rPr>
                        <w:color w:val="000000"/>
                        <w:sz w:val="18"/>
                        <w:szCs w:val="18"/>
                      </w:rPr>
                    </w:pPr>
                    <w:r>
                      <w:rPr>
                        <w:sz w:val="18"/>
                        <w:szCs w:val="18"/>
                      </w:rPr>
                      <w:t>11 431,5</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4 503,5</w:t>
                    </w:r>
                  </w:p>
                </w:tc>
                <w:tc>
                  <w:tcPr>
                    <w:tcW w:w="1701" w:type="dxa"/>
                  </w:tcPr>
                  <w:p>
                    <w:pPr>
                      <w:jc w:val="center"/>
                      <w:rPr>
                        <w:color w:val="000000"/>
                        <w:sz w:val="18"/>
                        <w:szCs w:val="18"/>
                      </w:rPr>
                    </w:pPr>
                    <w:r>
                      <w:rPr>
                        <w:sz w:val="18"/>
                        <w:szCs w:val="18"/>
                      </w:rPr>
                      <w:t>4 403,0</w:t>
                    </w:r>
                  </w:p>
                </w:tc>
                <w:tc>
                  <w:tcPr>
                    <w:tcW w:w="1530" w:type="dxa"/>
                  </w:tcPr>
                  <w:p>
                    <w:pPr>
                      <w:jc w:val="center"/>
                      <w:rPr>
                        <w:color w:val="000000"/>
                        <w:sz w:val="18"/>
                        <w:szCs w:val="18"/>
                      </w:rPr>
                    </w:pPr>
                    <w:r>
                      <w:rPr>
                        <w:sz w:val="18"/>
                        <w:szCs w:val="18"/>
                      </w:rPr>
                      <w:t>4 517,3</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852,3</w:t>
                    </w:r>
                  </w:p>
                </w:tc>
                <w:tc>
                  <w:tcPr>
                    <w:tcW w:w="1701" w:type="dxa"/>
                  </w:tcPr>
                  <w:p>
                    <w:pPr>
                      <w:jc w:val="center"/>
                      <w:rPr>
                        <w:color w:val="000000"/>
                        <w:sz w:val="18"/>
                        <w:szCs w:val="18"/>
                      </w:rPr>
                    </w:pPr>
                    <w:r>
                      <w:rPr>
                        <w:sz w:val="18"/>
                        <w:szCs w:val="18"/>
                      </w:rPr>
                      <w:t>852,3</w:t>
                    </w:r>
                  </w:p>
                </w:tc>
                <w:tc>
                  <w:tcPr>
                    <w:tcW w:w="1530" w:type="dxa"/>
                  </w:tcPr>
                  <w:p>
                    <w:pPr>
                      <w:jc w:val="center"/>
                      <w:rPr>
                        <w:color w:val="000000"/>
                        <w:sz w:val="18"/>
                        <w:szCs w:val="18"/>
                      </w:rPr>
                    </w:pPr>
                    <w:r>
                      <w:rPr>
                        <w:sz w:val="18"/>
                        <w:szCs w:val="18"/>
                      </w:rPr>
                      <w:t>852,3</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vAlign w:val="center"/>
                  </w:tcPr>
                  <w:p>
                    <w:pPr>
                      <w:jc w:val="center"/>
                      <w:rPr>
                        <w:color w:val="000000"/>
                        <w:sz w:val="18"/>
                        <w:szCs w:val="18"/>
                      </w:rPr>
                    </w:pPr>
                    <w:r>
                      <w:rPr>
                        <w:color w:val="000000"/>
                        <w:sz w:val="18"/>
                        <w:szCs w:val="18"/>
                      </w:rPr>
                      <w:t>15,3</w:t>
                    </w:r>
                  </w:p>
                </w:tc>
                <w:tc>
                  <w:tcPr>
                    <w:tcW w:w="1701" w:type="dxa"/>
                    <w:vAlign w:val="center"/>
                  </w:tcPr>
                  <w:p>
                    <w:pPr>
                      <w:jc w:val="center"/>
                      <w:rPr>
                        <w:color w:val="000000"/>
                        <w:sz w:val="18"/>
                        <w:szCs w:val="18"/>
                      </w:rPr>
                    </w:pPr>
                  </w:p>
                </w:tc>
                <w:tc>
                  <w:tcPr>
                    <w:tcW w:w="1530" w:type="dxa"/>
                    <w:vAlign w:val="center"/>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tcPr>
                  <w:p>
                    <w:pPr>
                      <w:jc w:val="center"/>
                      <w:rPr>
                        <w:color w:val="000000"/>
                        <w:sz w:val="18"/>
                        <w:szCs w:val="18"/>
                      </w:rPr>
                    </w:pPr>
                    <w:r>
                      <w:rPr>
                        <w:sz w:val="18"/>
                        <w:szCs w:val="18"/>
                      </w:rPr>
                      <w:t>16 751,2</w:t>
                    </w:r>
                  </w:p>
                </w:tc>
                <w:tc>
                  <w:tcPr>
                    <w:tcW w:w="1701" w:type="dxa"/>
                  </w:tcPr>
                  <w:p>
                    <w:pPr>
                      <w:jc w:val="center"/>
                      <w:rPr>
                        <w:color w:val="000000"/>
                        <w:sz w:val="18"/>
                        <w:szCs w:val="18"/>
                      </w:rPr>
                    </w:pPr>
                    <w:r>
                      <w:rPr>
                        <w:sz w:val="18"/>
                        <w:szCs w:val="18"/>
                      </w:rPr>
                      <w:t>17 186,7</w:t>
                    </w:r>
                  </w:p>
                </w:tc>
                <w:tc>
                  <w:tcPr>
                    <w:tcW w:w="1530" w:type="dxa"/>
                  </w:tcPr>
                  <w:p>
                    <w:pPr>
                      <w:jc w:val="center"/>
                      <w:rPr>
                        <w:color w:val="000000"/>
                        <w:sz w:val="18"/>
                        <w:szCs w:val="18"/>
                      </w:rPr>
                    </w:pPr>
                    <w:r>
                      <w:rPr>
                        <w:sz w:val="18"/>
                        <w:szCs w:val="18"/>
                      </w:rPr>
                      <w:t>17 633,5</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32 981,7</w:t>
                    </w:r>
                  </w:p>
                </w:tc>
                <w:tc>
                  <w:tcPr>
                    <w:tcW w:w="1701" w:type="dxa"/>
                  </w:tcPr>
                  <w:p>
                    <w:pPr>
                      <w:jc w:val="center"/>
                      <w:rPr>
                        <w:color w:val="000000"/>
                        <w:sz w:val="18"/>
                        <w:szCs w:val="18"/>
                      </w:rPr>
                    </w:pPr>
                    <w:r>
                      <w:rPr>
                        <w:sz w:val="18"/>
                        <w:szCs w:val="18"/>
                      </w:rPr>
                      <w:t>33 583,8</w:t>
                    </w:r>
                  </w:p>
                </w:tc>
                <w:tc>
                  <w:tcPr>
                    <w:tcW w:w="1530" w:type="dxa"/>
                  </w:tcPr>
                  <w:p>
                    <w:pPr>
                      <w:jc w:val="center"/>
                      <w:rPr>
                        <w:color w:val="000000"/>
                        <w:sz w:val="18"/>
                        <w:szCs w:val="18"/>
                      </w:rPr>
                    </w:pPr>
                    <w:r>
                      <w:rPr>
                        <w:sz w:val="18"/>
                        <w:szCs w:val="18"/>
                      </w:rPr>
                      <w:t>34 434,6</w:t>
                    </w:r>
                  </w:p>
                </w:tc>
              </w:tr>
              <w:tr>
                <w:trPr>
                  <w:trHeight w:val="324"/>
                </w:trPr>
                <w:tc>
                  <w:tcPr>
                    <w:tcW w:w="709" w:type="dxa"/>
                  </w:tcPr>
                  <w:p>
                    <w:pPr>
                      <w:jc w:val="center"/>
                      <w:rPr>
                        <w:sz w:val="18"/>
                        <w:szCs w:val="18"/>
                      </w:rPr>
                    </w:pPr>
                    <w:r>
                      <w:rPr>
                        <w:b/>
                        <w:bCs/>
                        <w:color w:val="000000"/>
                        <w:sz w:val="18"/>
                        <w:szCs w:val="16"/>
                      </w:rPr>
                      <w:t>4.</w:t>
                    </w:r>
                  </w:p>
                </w:tc>
                <w:tc>
                  <w:tcPr>
                    <w:tcW w:w="4819" w:type="dxa"/>
                    <w:gridSpan w:val="2"/>
                    <w:vAlign w:val="center"/>
                  </w:tcPr>
                  <w:p>
                    <w:pPr>
                      <w:rPr>
                        <w:sz w:val="18"/>
                        <w:szCs w:val="18"/>
                      </w:rPr>
                    </w:pPr>
                    <w:r>
                      <w:rPr>
                        <w:b/>
                        <w:bCs/>
                        <w:color w:val="000000"/>
                        <w:sz w:val="18"/>
                        <w:szCs w:val="18"/>
                      </w:rPr>
                      <w:t xml:space="preserve">04  Infrastruktūros objektų modernizavimo ir plėtros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7 504,2</w:t>
                    </w:r>
                  </w:p>
                </w:tc>
                <w:tc>
                  <w:tcPr>
                    <w:tcW w:w="1701" w:type="dxa"/>
                  </w:tcPr>
                  <w:p>
                    <w:pPr>
                      <w:jc w:val="center"/>
                      <w:rPr>
                        <w:color w:val="000000"/>
                        <w:sz w:val="18"/>
                        <w:szCs w:val="18"/>
                      </w:rPr>
                    </w:pPr>
                    <w:r>
                      <w:rPr>
                        <w:sz w:val="18"/>
                        <w:szCs w:val="18"/>
                      </w:rPr>
                      <w:t>9 727,8</w:t>
                    </w:r>
                  </w:p>
                </w:tc>
                <w:tc>
                  <w:tcPr>
                    <w:tcW w:w="1530" w:type="dxa"/>
                  </w:tcPr>
                  <w:p>
                    <w:pPr>
                      <w:jc w:val="center"/>
                      <w:rPr>
                        <w:color w:val="000000"/>
                        <w:sz w:val="18"/>
                        <w:szCs w:val="18"/>
                      </w:rPr>
                    </w:pPr>
                    <w:r>
                      <w:rPr>
                        <w:sz w:val="18"/>
                        <w:szCs w:val="18"/>
                      </w:rPr>
                      <w:t>8 821,6</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3 878,3</w:t>
                    </w:r>
                  </w:p>
                </w:tc>
                <w:tc>
                  <w:tcPr>
                    <w:tcW w:w="1701" w:type="dxa"/>
                  </w:tcPr>
                  <w:p>
                    <w:pPr>
                      <w:jc w:val="center"/>
                      <w:rPr>
                        <w:color w:val="000000"/>
                        <w:sz w:val="18"/>
                        <w:szCs w:val="18"/>
                      </w:rPr>
                    </w:pPr>
                    <w:r>
                      <w:rPr>
                        <w:sz w:val="18"/>
                        <w:szCs w:val="18"/>
                      </w:rPr>
                      <w:t>4 642,0</w:t>
                    </w:r>
                  </w:p>
                </w:tc>
                <w:tc>
                  <w:tcPr>
                    <w:tcW w:w="1530" w:type="dxa"/>
                  </w:tcPr>
                  <w:p>
                    <w:pPr>
                      <w:jc w:val="center"/>
                      <w:rPr>
                        <w:color w:val="000000"/>
                        <w:sz w:val="18"/>
                        <w:szCs w:val="18"/>
                      </w:rPr>
                    </w:pPr>
                    <w:r>
                      <w:rPr>
                        <w:sz w:val="18"/>
                        <w:szCs w:val="18"/>
                      </w:rPr>
                      <w:t>3 842,2</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3 625,9</w:t>
                    </w:r>
                  </w:p>
                </w:tc>
                <w:tc>
                  <w:tcPr>
                    <w:tcW w:w="1701" w:type="dxa"/>
                  </w:tcPr>
                  <w:p>
                    <w:pPr>
                      <w:jc w:val="center"/>
                      <w:rPr>
                        <w:color w:val="000000"/>
                        <w:sz w:val="18"/>
                        <w:szCs w:val="18"/>
                      </w:rPr>
                    </w:pPr>
                    <w:r>
                      <w:rPr>
                        <w:sz w:val="18"/>
                        <w:szCs w:val="18"/>
                      </w:rPr>
                      <w:t>3 256,5</w:t>
                    </w:r>
                  </w:p>
                </w:tc>
                <w:tc>
                  <w:tcPr>
                    <w:tcW w:w="1530" w:type="dxa"/>
                  </w:tcPr>
                  <w:p>
                    <w:pPr>
                      <w:jc w:val="center"/>
                      <w:rPr>
                        <w:color w:val="000000"/>
                        <w:sz w:val="18"/>
                        <w:szCs w:val="18"/>
                      </w:rPr>
                    </w:pPr>
                    <w:r>
                      <w:rPr>
                        <w:sz w:val="18"/>
                        <w:szCs w:val="18"/>
                      </w:rPr>
                      <w:t>3 056,7</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vAlign w:val="center"/>
                  </w:tcPr>
                  <w:p>
                    <w:pPr>
                      <w:jc w:val="center"/>
                      <w:rPr>
                        <w:color w:val="000000"/>
                        <w:sz w:val="18"/>
                        <w:szCs w:val="18"/>
                      </w:rPr>
                    </w:pPr>
                  </w:p>
                </w:tc>
                <w:tc>
                  <w:tcPr>
                    <w:tcW w:w="1701" w:type="dxa"/>
                    <w:vAlign w:val="center"/>
                  </w:tcPr>
                  <w:p>
                    <w:pPr>
                      <w:jc w:val="center"/>
                      <w:rPr>
                        <w:color w:val="000000"/>
                        <w:sz w:val="18"/>
                        <w:szCs w:val="18"/>
                      </w:rPr>
                    </w:pPr>
                  </w:p>
                </w:tc>
                <w:tc>
                  <w:tcPr>
                    <w:tcW w:w="1530" w:type="dxa"/>
                    <w:vAlign w:val="center"/>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tcPr>
                  <w:p>
                    <w:pPr>
                      <w:jc w:val="center"/>
                      <w:rPr>
                        <w:color w:val="000000"/>
                        <w:sz w:val="18"/>
                        <w:szCs w:val="18"/>
                      </w:rPr>
                    </w:pPr>
                  </w:p>
                </w:tc>
                <w:tc>
                  <w:tcPr>
                    <w:tcW w:w="1701" w:type="dxa"/>
                  </w:tcPr>
                  <w:p>
                    <w:pPr>
                      <w:jc w:val="center"/>
                      <w:rPr>
                        <w:color w:val="000000"/>
                        <w:sz w:val="18"/>
                        <w:szCs w:val="18"/>
                      </w:rPr>
                    </w:pPr>
                  </w:p>
                </w:tc>
                <w:tc>
                  <w:tcPr>
                    <w:tcW w:w="1530" w:type="dxa"/>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tcPr>
                  <w:p>
                    <w:pPr>
                      <w:jc w:val="center"/>
                      <w:rPr>
                        <w:color w:val="000000"/>
                        <w:sz w:val="18"/>
                        <w:szCs w:val="18"/>
                      </w:rPr>
                    </w:pPr>
                  </w:p>
                </w:tc>
                <w:tc>
                  <w:tcPr>
                    <w:tcW w:w="1701" w:type="dxa"/>
                  </w:tcPr>
                  <w:p>
                    <w:pPr>
                      <w:jc w:val="center"/>
                      <w:rPr>
                        <w:color w:val="000000"/>
                        <w:sz w:val="18"/>
                        <w:szCs w:val="18"/>
                      </w:rPr>
                    </w:pPr>
                    <w:r>
                      <w:rPr>
                        <w:sz w:val="18"/>
                        <w:szCs w:val="18"/>
                      </w:rPr>
                      <w:t>1 847,3</w:t>
                    </w:r>
                  </w:p>
                </w:tc>
                <w:tc>
                  <w:tcPr>
                    <w:tcW w:w="1530" w:type="dxa"/>
                  </w:tcPr>
                  <w:p>
                    <w:pPr>
                      <w:jc w:val="center"/>
                      <w:rPr>
                        <w:color w:val="000000"/>
                        <w:sz w:val="18"/>
                        <w:szCs w:val="18"/>
                      </w:rPr>
                    </w:pPr>
                    <w:r>
                      <w:rPr>
                        <w:sz w:val="18"/>
                        <w:szCs w:val="18"/>
                      </w:rPr>
                      <w:t>1 922,7</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tcPr>
                  <w:p>
                    <w:pPr>
                      <w:jc w:val="center"/>
                      <w:rPr>
                        <w:color w:val="000000"/>
                        <w:sz w:val="18"/>
                        <w:szCs w:val="18"/>
                      </w:rPr>
                    </w:pPr>
                    <w:r>
                      <w:rPr>
                        <w:sz w:val="18"/>
                        <w:szCs w:val="18"/>
                      </w:rPr>
                      <w:t>6 051,1</w:t>
                    </w:r>
                  </w:p>
                </w:tc>
                <w:tc>
                  <w:tcPr>
                    <w:tcW w:w="1701" w:type="dxa"/>
                  </w:tcPr>
                  <w:p>
                    <w:pPr>
                      <w:jc w:val="center"/>
                      <w:rPr>
                        <w:color w:val="000000"/>
                        <w:sz w:val="18"/>
                        <w:szCs w:val="18"/>
                      </w:rPr>
                    </w:pPr>
                    <w:r>
                      <w:rPr>
                        <w:sz w:val="18"/>
                        <w:szCs w:val="18"/>
                      </w:rPr>
                      <w:t>9 546,4</w:t>
                    </w:r>
                  </w:p>
                </w:tc>
                <w:tc>
                  <w:tcPr>
                    <w:tcW w:w="1530" w:type="dxa"/>
                  </w:tcPr>
                  <w:p>
                    <w:pPr>
                      <w:jc w:val="center"/>
                      <w:rPr>
                        <w:color w:val="000000"/>
                        <w:sz w:val="18"/>
                        <w:szCs w:val="18"/>
                      </w:rPr>
                    </w:pPr>
                    <w:r>
                      <w:rPr>
                        <w:sz w:val="18"/>
                        <w:szCs w:val="18"/>
                      </w:rPr>
                      <w:t>6 758,0</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13 555,3</w:t>
                    </w:r>
                  </w:p>
                </w:tc>
                <w:tc>
                  <w:tcPr>
                    <w:tcW w:w="1701" w:type="dxa"/>
                  </w:tcPr>
                  <w:p>
                    <w:pPr>
                      <w:jc w:val="center"/>
                      <w:rPr>
                        <w:color w:val="000000"/>
                        <w:sz w:val="18"/>
                        <w:szCs w:val="18"/>
                      </w:rPr>
                    </w:pPr>
                    <w:r>
                      <w:rPr>
                        <w:sz w:val="18"/>
                        <w:szCs w:val="18"/>
                      </w:rPr>
                      <w:t>19 939,4</w:t>
                    </w:r>
                  </w:p>
                </w:tc>
                <w:tc>
                  <w:tcPr>
                    <w:tcW w:w="1530" w:type="dxa"/>
                  </w:tcPr>
                  <w:p>
                    <w:pPr>
                      <w:jc w:val="center"/>
                      <w:rPr>
                        <w:color w:val="000000"/>
                        <w:sz w:val="18"/>
                        <w:szCs w:val="18"/>
                      </w:rPr>
                    </w:pPr>
                    <w:r>
                      <w:rPr>
                        <w:sz w:val="18"/>
                        <w:szCs w:val="18"/>
                      </w:rPr>
                      <w:t>17 653,3</w:t>
                    </w:r>
                  </w:p>
                </w:tc>
              </w:tr>
              <w:tr>
                <w:trPr>
                  <w:trHeight w:val="324"/>
                </w:trPr>
                <w:tc>
                  <w:tcPr>
                    <w:tcW w:w="709" w:type="dxa"/>
                  </w:tcPr>
                  <w:p>
                    <w:pPr>
                      <w:jc w:val="center"/>
                      <w:rPr>
                        <w:sz w:val="18"/>
                        <w:szCs w:val="18"/>
                      </w:rPr>
                    </w:pPr>
                    <w:r>
                      <w:rPr>
                        <w:b/>
                        <w:bCs/>
                        <w:color w:val="000000"/>
                        <w:sz w:val="18"/>
                        <w:szCs w:val="16"/>
                      </w:rPr>
                      <w:t>5.</w:t>
                    </w:r>
                  </w:p>
                </w:tc>
                <w:tc>
                  <w:tcPr>
                    <w:tcW w:w="4819" w:type="dxa"/>
                    <w:gridSpan w:val="2"/>
                    <w:vAlign w:val="center"/>
                  </w:tcPr>
                  <w:p>
                    <w:pPr>
                      <w:rPr>
                        <w:sz w:val="18"/>
                        <w:szCs w:val="18"/>
                      </w:rPr>
                    </w:pPr>
                    <w:r>
                      <w:rPr>
                        <w:b/>
                        <w:bCs/>
                        <w:color w:val="000000"/>
                        <w:sz w:val="18"/>
                        <w:szCs w:val="18"/>
                      </w:rPr>
                      <w:t xml:space="preserve">05  Gyventojų turiningo laisvalaikio užtikrinimo, bendruomeniškumo ir veiklumo skatinimo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7 158,6</w:t>
                    </w:r>
                  </w:p>
                </w:tc>
                <w:tc>
                  <w:tcPr>
                    <w:tcW w:w="1701" w:type="dxa"/>
                  </w:tcPr>
                  <w:p>
                    <w:pPr>
                      <w:jc w:val="center"/>
                      <w:rPr>
                        <w:color w:val="000000"/>
                        <w:sz w:val="18"/>
                        <w:szCs w:val="18"/>
                      </w:rPr>
                    </w:pPr>
                    <w:r>
                      <w:rPr>
                        <w:sz w:val="18"/>
                        <w:szCs w:val="18"/>
                      </w:rPr>
                      <w:t>7 285,5</w:t>
                    </w:r>
                  </w:p>
                </w:tc>
                <w:tc>
                  <w:tcPr>
                    <w:tcW w:w="1530" w:type="dxa"/>
                  </w:tcPr>
                  <w:p>
                    <w:pPr>
                      <w:jc w:val="center"/>
                      <w:rPr>
                        <w:color w:val="000000"/>
                        <w:sz w:val="18"/>
                        <w:szCs w:val="18"/>
                      </w:rPr>
                    </w:pPr>
                    <w:r>
                      <w:rPr>
                        <w:sz w:val="18"/>
                        <w:szCs w:val="18"/>
                      </w:rPr>
                      <w:t>7 450,5</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6 227,1</w:t>
                    </w:r>
                  </w:p>
                </w:tc>
                <w:tc>
                  <w:tcPr>
                    <w:tcW w:w="1701" w:type="dxa"/>
                  </w:tcPr>
                  <w:p>
                    <w:pPr>
                      <w:jc w:val="center"/>
                      <w:rPr>
                        <w:color w:val="000000"/>
                        <w:sz w:val="18"/>
                        <w:szCs w:val="18"/>
                      </w:rPr>
                    </w:pPr>
                    <w:r>
                      <w:rPr>
                        <w:sz w:val="18"/>
                        <w:szCs w:val="18"/>
                      </w:rPr>
                      <w:t>6 352,9</w:t>
                    </w:r>
                  </w:p>
                </w:tc>
                <w:tc>
                  <w:tcPr>
                    <w:tcW w:w="1530" w:type="dxa"/>
                  </w:tcPr>
                  <w:p>
                    <w:pPr>
                      <w:jc w:val="center"/>
                      <w:rPr>
                        <w:color w:val="000000"/>
                        <w:sz w:val="18"/>
                        <w:szCs w:val="18"/>
                      </w:rPr>
                    </w:pPr>
                    <w:r>
                      <w:rPr>
                        <w:sz w:val="18"/>
                        <w:szCs w:val="18"/>
                      </w:rPr>
                      <w:t>6 516,7</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44,2</w:t>
                    </w:r>
                  </w:p>
                </w:tc>
                <w:tc>
                  <w:tcPr>
                    <w:tcW w:w="1701" w:type="dxa"/>
                  </w:tcPr>
                  <w:p>
                    <w:pPr>
                      <w:jc w:val="center"/>
                      <w:rPr>
                        <w:color w:val="000000"/>
                        <w:sz w:val="18"/>
                        <w:szCs w:val="18"/>
                      </w:rPr>
                    </w:pPr>
                    <w:r>
                      <w:rPr>
                        <w:sz w:val="18"/>
                        <w:szCs w:val="18"/>
                      </w:rPr>
                      <w:t>45,3</w:t>
                    </w:r>
                  </w:p>
                </w:tc>
                <w:tc>
                  <w:tcPr>
                    <w:tcW w:w="1530" w:type="dxa"/>
                  </w:tcPr>
                  <w:p>
                    <w:pPr>
                      <w:jc w:val="center"/>
                      <w:rPr>
                        <w:color w:val="000000"/>
                        <w:sz w:val="18"/>
                        <w:szCs w:val="18"/>
                      </w:rPr>
                    </w:pPr>
                    <w:r>
                      <w:rPr>
                        <w:sz w:val="18"/>
                        <w:szCs w:val="18"/>
                      </w:rPr>
                      <w:t>46,5</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887,3</w:t>
                    </w:r>
                  </w:p>
                </w:tc>
                <w:tc>
                  <w:tcPr>
                    <w:tcW w:w="1701" w:type="dxa"/>
                  </w:tcPr>
                  <w:p>
                    <w:pPr>
                      <w:jc w:val="center"/>
                      <w:rPr>
                        <w:color w:val="000000"/>
                        <w:sz w:val="18"/>
                        <w:szCs w:val="18"/>
                      </w:rPr>
                    </w:pPr>
                    <w:r>
                      <w:rPr>
                        <w:sz w:val="18"/>
                        <w:szCs w:val="18"/>
                      </w:rPr>
                      <w:t>887,3</w:t>
                    </w:r>
                  </w:p>
                </w:tc>
                <w:tc>
                  <w:tcPr>
                    <w:tcW w:w="1530" w:type="dxa"/>
                  </w:tcPr>
                  <w:p>
                    <w:pPr>
                      <w:jc w:val="center"/>
                      <w:rPr>
                        <w:color w:val="000000"/>
                        <w:sz w:val="18"/>
                        <w:szCs w:val="18"/>
                      </w:rPr>
                    </w:pPr>
                    <w:r>
                      <w:rPr>
                        <w:sz w:val="18"/>
                        <w:szCs w:val="18"/>
                      </w:rPr>
                      <w:t>887,3</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b/>
                        <w:bCs/>
                        <w:color w:val="000000"/>
                        <w:sz w:val="18"/>
                        <w:szCs w:val="18"/>
                      </w:rPr>
                    </w:pPr>
                    <w:r>
                      <w:rPr>
                        <w:sz w:val="18"/>
                        <w:szCs w:val="18"/>
                      </w:rPr>
                      <w:t>7 158,6</w:t>
                    </w:r>
                  </w:p>
                </w:tc>
                <w:tc>
                  <w:tcPr>
                    <w:tcW w:w="1701" w:type="dxa"/>
                  </w:tcPr>
                  <w:p>
                    <w:pPr>
                      <w:jc w:val="center"/>
                      <w:rPr>
                        <w:b/>
                        <w:bCs/>
                        <w:color w:val="000000"/>
                        <w:sz w:val="18"/>
                        <w:szCs w:val="18"/>
                      </w:rPr>
                    </w:pPr>
                    <w:r>
                      <w:rPr>
                        <w:sz w:val="18"/>
                        <w:szCs w:val="18"/>
                      </w:rPr>
                      <w:t>7 285,5</w:t>
                    </w:r>
                  </w:p>
                </w:tc>
                <w:tc>
                  <w:tcPr>
                    <w:tcW w:w="1530" w:type="dxa"/>
                  </w:tcPr>
                  <w:p>
                    <w:pPr>
                      <w:jc w:val="center"/>
                      <w:rPr>
                        <w:b/>
                        <w:bCs/>
                        <w:color w:val="000000"/>
                        <w:sz w:val="18"/>
                        <w:szCs w:val="18"/>
                      </w:rPr>
                    </w:pPr>
                    <w:r>
                      <w:rPr>
                        <w:sz w:val="18"/>
                        <w:szCs w:val="18"/>
                      </w:rPr>
                      <w:t>7 450,5</w:t>
                    </w:r>
                  </w:p>
                </w:tc>
              </w:tr>
              <w:tr>
                <w:trPr>
                  <w:trHeight w:val="324"/>
                </w:trPr>
                <w:tc>
                  <w:tcPr>
                    <w:tcW w:w="709" w:type="dxa"/>
                  </w:tcPr>
                  <w:p>
                    <w:pPr>
                      <w:jc w:val="center"/>
                      <w:rPr>
                        <w:sz w:val="18"/>
                        <w:szCs w:val="18"/>
                      </w:rPr>
                    </w:pPr>
                    <w:r>
                      <w:rPr>
                        <w:b/>
                        <w:bCs/>
                        <w:color w:val="000000"/>
                        <w:sz w:val="18"/>
                        <w:szCs w:val="16"/>
                      </w:rPr>
                      <w:t>6.</w:t>
                    </w:r>
                  </w:p>
                </w:tc>
                <w:tc>
                  <w:tcPr>
                    <w:tcW w:w="4819" w:type="dxa"/>
                    <w:gridSpan w:val="2"/>
                    <w:vAlign w:val="center"/>
                  </w:tcPr>
                  <w:p>
                    <w:pPr>
                      <w:rPr>
                        <w:sz w:val="18"/>
                        <w:szCs w:val="18"/>
                      </w:rPr>
                    </w:pPr>
                    <w:r>
                      <w:rPr>
                        <w:b/>
                        <w:bCs/>
                        <w:color w:val="000000"/>
                        <w:sz w:val="18"/>
                        <w:szCs w:val="18"/>
                      </w:rPr>
                      <w:t xml:space="preserve">06  Saugios, švarios ir patogios gyvenamosios aplinkos užtikrinimo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8115,2</w:t>
                    </w:r>
                  </w:p>
                </w:tc>
                <w:tc>
                  <w:tcPr>
                    <w:tcW w:w="1701" w:type="dxa"/>
                  </w:tcPr>
                  <w:p>
                    <w:pPr>
                      <w:jc w:val="center"/>
                      <w:rPr>
                        <w:color w:val="000000"/>
                        <w:sz w:val="18"/>
                        <w:szCs w:val="18"/>
                      </w:rPr>
                    </w:pPr>
                    <w:r>
                      <w:rPr>
                        <w:sz w:val="18"/>
                        <w:szCs w:val="18"/>
                      </w:rPr>
                      <w:t>7 256,5</w:t>
                    </w:r>
                  </w:p>
                </w:tc>
                <w:tc>
                  <w:tcPr>
                    <w:tcW w:w="1530" w:type="dxa"/>
                  </w:tcPr>
                  <w:p>
                    <w:pPr>
                      <w:jc w:val="center"/>
                      <w:rPr>
                        <w:color w:val="000000"/>
                        <w:sz w:val="18"/>
                        <w:szCs w:val="18"/>
                      </w:rPr>
                    </w:pPr>
                    <w:r>
                      <w:rPr>
                        <w:sz w:val="18"/>
                        <w:szCs w:val="18"/>
                      </w:rPr>
                      <w:t>7 437,3</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7 333,7</w:t>
                    </w:r>
                  </w:p>
                </w:tc>
                <w:tc>
                  <w:tcPr>
                    <w:tcW w:w="1701" w:type="dxa"/>
                  </w:tcPr>
                  <w:p>
                    <w:pPr>
                      <w:jc w:val="center"/>
                      <w:rPr>
                        <w:color w:val="000000"/>
                        <w:sz w:val="18"/>
                        <w:szCs w:val="18"/>
                      </w:rPr>
                    </w:pPr>
                    <w:r>
                      <w:rPr>
                        <w:sz w:val="18"/>
                        <w:szCs w:val="18"/>
                      </w:rPr>
                      <w:t>6 455,4</w:t>
                    </w:r>
                  </w:p>
                </w:tc>
                <w:tc>
                  <w:tcPr>
                    <w:tcW w:w="1530" w:type="dxa"/>
                  </w:tcPr>
                  <w:p>
                    <w:pPr>
                      <w:jc w:val="center"/>
                      <w:rPr>
                        <w:color w:val="000000"/>
                        <w:sz w:val="18"/>
                        <w:szCs w:val="18"/>
                      </w:rPr>
                    </w:pPr>
                    <w:r>
                      <w:rPr>
                        <w:sz w:val="18"/>
                        <w:szCs w:val="18"/>
                      </w:rPr>
                      <w:t>6 616,10</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753,5</w:t>
                    </w:r>
                  </w:p>
                </w:tc>
                <w:tc>
                  <w:tcPr>
                    <w:tcW w:w="1701" w:type="dxa"/>
                  </w:tcPr>
                  <w:p>
                    <w:pPr>
                      <w:jc w:val="center"/>
                      <w:rPr>
                        <w:color w:val="000000"/>
                        <w:sz w:val="18"/>
                        <w:szCs w:val="18"/>
                      </w:rPr>
                    </w:pPr>
                    <w:r>
                      <w:rPr>
                        <w:sz w:val="18"/>
                        <w:szCs w:val="18"/>
                      </w:rPr>
                      <w:t>773,1</w:t>
                    </w:r>
                  </w:p>
                </w:tc>
                <w:tc>
                  <w:tcPr>
                    <w:tcW w:w="1530" w:type="dxa"/>
                  </w:tcPr>
                  <w:p>
                    <w:pPr>
                      <w:jc w:val="center"/>
                      <w:rPr>
                        <w:color w:val="000000"/>
                        <w:sz w:val="18"/>
                        <w:szCs w:val="18"/>
                      </w:rPr>
                    </w:pPr>
                    <w:r>
                      <w:rPr>
                        <w:sz w:val="18"/>
                        <w:szCs w:val="18"/>
                      </w:rPr>
                      <w:t>793,2</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28,0</w:t>
                    </w:r>
                  </w:p>
                </w:tc>
                <w:tc>
                  <w:tcPr>
                    <w:tcW w:w="1701" w:type="dxa"/>
                  </w:tcPr>
                  <w:p>
                    <w:pPr>
                      <w:jc w:val="center"/>
                      <w:rPr>
                        <w:color w:val="000000"/>
                        <w:sz w:val="18"/>
                        <w:szCs w:val="18"/>
                      </w:rPr>
                    </w:pPr>
                    <w:r>
                      <w:rPr>
                        <w:sz w:val="18"/>
                        <w:szCs w:val="18"/>
                      </w:rPr>
                      <w:t>28,0</w:t>
                    </w:r>
                  </w:p>
                </w:tc>
                <w:tc>
                  <w:tcPr>
                    <w:tcW w:w="1530" w:type="dxa"/>
                  </w:tcPr>
                  <w:p>
                    <w:pPr>
                      <w:jc w:val="center"/>
                      <w:rPr>
                        <w:color w:val="000000"/>
                        <w:sz w:val="18"/>
                        <w:szCs w:val="18"/>
                      </w:rPr>
                    </w:pPr>
                    <w:r>
                      <w:rPr>
                        <w:sz w:val="18"/>
                        <w:szCs w:val="18"/>
                      </w:rPr>
                      <w:t>28,0</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vAlign w:val="center"/>
                  </w:tcPr>
                  <w:p>
                    <w:pPr>
                      <w:jc w:val="center"/>
                      <w:rPr>
                        <w:color w:val="000000"/>
                        <w:sz w:val="18"/>
                        <w:szCs w:val="18"/>
                      </w:rPr>
                    </w:pPr>
                  </w:p>
                </w:tc>
                <w:tc>
                  <w:tcPr>
                    <w:tcW w:w="1701" w:type="dxa"/>
                    <w:vAlign w:val="center"/>
                  </w:tcPr>
                  <w:p>
                    <w:pPr>
                      <w:jc w:val="center"/>
                      <w:rPr>
                        <w:color w:val="000000"/>
                        <w:sz w:val="18"/>
                        <w:szCs w:val="18"/>
                      </w:rPr>
                    </w:pPr>
                  </w:p>
                </w:tc>
                <w:tc>
                  <w:tcPr>
                    <w:tcW w:w="1530" w:type="dxa"/>
                    <w:vAlign w:val="center"/>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vAlign w:val="center"/>
                  </w:tcPr>
                  <w:p>
                    <w:pPr>
                      <w:jc w:val="center"/>
                      <w:rPr>
                        <w:color w:val="000000"/>
                        <w:sz w:val="18"/>
                        <w:szCs w:val="18"/>
                      </w:rPr>
                    </w:pPr>
                  </w:p>
                </w:tc>
                <w:tc>
                  <w:tcPr>
                    <w:tcW w:w="1701" w:type="dxa"/>
                    <w:vAlign w:val="center"/>
                  </w:tcPr>
                  <w:p>
                    <w:pPr>
                      <w:jc w:val="center"/>
                      <w:rPr>
                        <w:color w:val="000000"/>
                        <w:sz w:val="18"/>
                        <w:szCs w:val="18"/>
                      </w:rPr>
                    </w:pPr>
                  </w:p>
                </w:tc>
                <w:tc>
                  <w:tcPr>
                    <w:tcW w:w="1530" w:type="dxa"/>
                    <w:vAlign w:val="center"/>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vAlign w:val="center"/>
                  </w:tcPr>
                  <w:p>
                    <w:pPr>
                      <w:jc w:val="center"/>
                      <w:rPr>
                        <w:color w:val="000000"/>
                        <w:sz w:val="18"/>
                        <w:szCs w:val="18"/>
                      </w:rPr>
                    </w:pPr>
                  </w:p>
                </w:tc>
                <w:tc>
                  <w:tcPr>
                    <w:tcW w:w="1701" w:type="dxa"/>
                    <w:vAlign w:val="center"/>
                  </w:tcPr>
                  <w:p>
                    <w:pPr>
                      <w:jc w:val="center"/>
                      <w:rPr>
                        <w:color w:val="000000"/>
                        <w:sz w:val="18"/>
                        <w:szCs w:val="18"/>
                      </w:rPr>
                    </w:pPr>
                  </w:p>
                </w:tc>
                <w:tc>
                  <w:tcPr>
                    <w:tcW w:w="1530" w:type="dxa"/>
                    <w:vAlign w:val="center"/>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8115,2</w:t>
                    </w:r>
                  </w:p>
                </w:tc>
                <w:tc>
                  <w:tcPr>
                    <w:tcW w:w="1701" w:type="dxa"/>
                  </w:tcPr>
                  <w:p>
                    <w:pPr>
                      <w:jc w:val="center"/>
                      <w:rPr>
                        <w:color w:val="000000"/>
                        <w:sz w:val="18"/>
                        <w:szCs w:val="18"/>
                      </w:rPr>
                    </w:pPr>
                    <w:r>
                      <w:rPr>
                        <w:sz w:val="18"/>
                        <w:szCs w:val="18"/>
                      </w:rPr>
                      <w:t>7 256,5</w:t>
                    </w:r>
                  </w:p>
                </w:tc>
                <w:tc>
                  <w:tcPr>
                    <w:tcW w:w="1530" w:type="dxa"/>
                  </w:tcPr>
                  <w:p>
                    <w:pPr>
                      <w:jc w:val="center"/>
                      <w:rPr>
                        <w:color w:val="000000"/>
                        <w:sz w:val="18"/>
                        <w:szCs w:val="18"/>
                      </w:rPr>
                    </w:pPr>
                    <w:r>
                      <w:rPr>
                        <w:sz w:val="18"/>
                        <w:szCs w:val="18"/>
                      </w:rPr>
                      <w:t>7 437,3</w:t>
                    </w:r>
                  </w:p>
                </w:tc>
              </w:tr>
            </w:tbl>
            <w:p>
              <w:pPr>
                <w:rPr>
                  <w:sz w:val="20"/>
                </w:rPr>
              </w:pPr>
            </w:p>
            <w:p>
              <w:pPr>
                <w:rPr>
                  <w:sz w:val="20"/>
                </w:rPr>
              </w:pPr>
            </w:p>
            <w:p>
              <w:pPr>
                <w:rPr>
                  <w:sz w:val="20"/>
                  <w:lang w:val="en-US"/>
                </w:rPr>
              </w:pPr>
            </w:p>
            <w:p>
              <w:pPr>
                <w:rPr>
                  <w:sz w:val="20"/>
                </w:rPr>
              </w:pPr>
            </w:p>
            <w:sdt>
              <w:sdtPr>
                <w:alias w:val="poskyris"/>
                <w:tag w:val="part_e1a65f0e470b4009a880ea9ef6fc54d8"/>
                <w:lock w:val="sdtLocked"/>
                <w:richText/>
              </w:sdtPr>
              <w:sdtContent>
                <w:p>
                  <w:pPr>
                    <w:rPr>
                      <w:b/>
                      <w:bCs/>
                      <w:i/>
                      <w:color w:val="808080"/>
                      <w:szCs w:val="24"/>
                    </w:rPr>
                  </w:pPr>
                  <w:sdt>
                    <w:sdtPr>
                      <w:alias w:val="Pavadinimas"/>
                      <w:tag w:val="title_e1a65f0e470b4009a880ea9ef6fc54d8"/>
                      <w:lock w:val="sdtLocked"/>
                      <w:richText/>
                    </w:sdtPr>
                    <w:sdtContent>
                      <w:r>
                        <w:rPr>
                          <w:b/>
                          <w:bCs/>
                          <w:szCs w:val="24"/>
                        </w:rPr>
                        <w:t>1 grafikas.</w:t>
                      </w:r>
                      <w:r>
                        <w:rPr>
                          <w:i/>
                          <w:szCs w:val="24"/>
                        </w:rPr>
                        <w:t xml:space="preserve"> </w:t>
                      </w:r>
                      <w:r>
                        <w:rPr>
                          <w:b/>
                          <w:bCs/>
                          <w:iCs/>
                          <w:szCs w:val="24"/>
                        </w:rPr>
                        <w:t>2025–2027</w:t>
                      </w:r>
                      <w:r>
                        <w:rPr>
                          <w:b/>
                          <w:bCs/>
                          <w:szCs w:val="24"/>
                        </w:rPr>
                        <w:t xml:space="preserve"> metų asignavimų ir kitų lėšų pasiskirstymas pagal programas</w:t>
                      </w:r>
                    </w:sdtContent>
                  </w:sdt>
                </w:p>
                <w:p>
                  <w:pPr>
                    <w:rPr>
                      <w:sz w:val="20"/>
                    </w:rPr>
                  </w:pPr>
                </w:p>
                <w:p>
                  <w:pPr>
                    <w:rPr>
                      <w:sz w:val="20"/>
                    </w:rPr>
                  </w:pPr>
                  <w:r>
                    <w:rPr>
                      <w:sz w:val="20"/>
                      <w:lang w:val="en-US"/>
                    </w:rPr>
                    <w:drawing>
                      <wp:inline distT="0" distB="0" distL="0" distR="0" wp14:anchorId="62D00EA5" wp14:editId="13D93DC8">
                        <wp:extent cx="6524625" cy="3590925"/>
                        <wp:effectExtent l="0" t="0" r="9525" b="9525"/>
                        <wp:docPr id="2" name="Diagrama 2"/>
                        <wp:cNvGraphicFramePr/>
                        <a:graphic xmlns:a="http://schemas.openxmlformats.org/drawingml/2006/main">
                          <a:graphicData uri="http://schemas.openxmlformats.org/drawingml/2006/chart">
                            <c:chart xmlns:c="http://schemas.openxmlformats.org/drawingml/2006/chart" r:id="rId12"/>
                          </a:graphicData>
                        </a:graphic>
                      </wp:inline>
                    </w:drawing>
                  </w:r>
                </w:p>
                <w:p>
                  <w:pPr>
                    <w:rPr>
                      <w:sz w:val="20"/>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tabs>
                            <w:tab w:val="center" w:pos="4153"/>
                            <w:tab w:val="right" w:pos="8306"/>
                          </w:tabs>
                          <w:jc w:val="center"/>
                          <w:rPr>
                            <w:b/>
                            <w:bCs/>
                            <w:szCs w:val="24"/>
                          </w:rPr>
                        </w:pPr>
                        <w:r>
                          <w:rPr>
                            <w:b/>
                            <w:bCs/>
                            <w:szCs w:val="24"/>
                          </w:rPr>
                          <w:t xml:space="preserve">02  Radviliškio rajono savivaldybės švietimo paslaugų prieinamumo ir kokybės užtikrinimo programa</w:t>
                        </w:r>
                      </w:p>
                      <w:p>
                        <w:pPr>
                          <w:ind w:firstLine="62"/>
                          <w:jc w:val="center"/>
                          <w:rPr>
                            <w:b/>
                            <w:bCs/>
                            <w:color w:val="000000"/>
                            <w:szCs w:val="24"/>
                          </w:rPr>
                        </w:pPr>
                      </w:p>
                    </w:tc>
                  </w:tr>
                </w:tbl>
                <w:p>
                  <w:pPr>
                    <w:tabs>
                      <w:tab w:val="center" w:pos="4153"/>
                      <w:tab w:val="right" w:pos="8306"/>
                    </w:tabs>
                    <w:jc w:val="center"/>
                    <w:rPr>
                      <w:b/>
                      <w:bCs/>
                      <w:szCs w:val="24"/>
                    </w:rPr>
                  </w:pPr>
                </w:p>
                <w:p>
                  <w:pPr>
                    <w:tabs>
                      <w:tab w:val="center" w:pos="4153"/>
                      <w:tab w:val="right" w:pos="8306"/>
                    </w:tabs>
                    <w:ind w:firstLine="186"/>
                    <w:jc w:val="center"/>
                    <w:rPr>
                      <w:b/>
                      <w:bCs/>
                      <w:szCs w:val="24"/>
                    </w:rPr>
                  </w:pPr>
                </w:p>
                <w:p>
                  <w:pPr>
                    <w:tabs>
                      <w:tab w:val="center" w:pos="4153"/>
                      <w:tab w:val="right" w:pos="8306"/>
                    </w:tabs>
                    <w:jc w:val="center"/>
                    <w:rPr>
                      <w:b/>
                      <w:bCs/>
                      <w:szCs w:val="24"/>
                    </w:rPr>
                  </w:pPr>
                </w:p>
              </w:sdtContent>
            </w:sdt>
            <w:sdt>
              <w:sdtPr>
                <w:alias w:val="poskyris"/>
                <w:tag w:val="part_4472df9df0a04f76bd879c2e51e63474"/>
                <w:lock w:val="sdtLocked"/>
                <w:richText/>
              </w:sdtPr>
              <w:sdtContent>
                <w:sdt>
                  <w:sdtPr>
                    <w:alias w:val="Pavadinimas"/>
                    <w:tag w:val="title_4472df9df0a04f76bd879c2e51e63474"/>
                    <w:lock w:val="sdtLocked"/>
                    <w:richText/>
                  </w:sdtPr>
                  <w:sdtContent>
                    <w:p>
                      <w:pPr>
                        <w:tabs>
                          <w:tab w:val="center" w:pos="4153"/>
                          <w:tab w:val="right" w:pos="8306"/>
                        </w:tabs>
                        <w:ind w:firstLine="62"/>
                        <w:rPr>
                          <w:b/>
                          <w:bCs/>
                          <w:szCs w:val="24"/>
                        </w:rPr>
                      </w:pPr>
                      <w:r>
                        <w:rPr>
                          <w:b/>
                          <w:bCs/>
                          <w:szCs w:val="24"/>
                        </w:rPr>
                        <w:t>Radviliškio rajono savivaldybės švietimo paslaugų prieinamumo ir kokybės užtikrinimo programa</w:t>
                      </w:r>
                    </w:p>
                    <w:p>
                      <w:pPr>
                        <w:tabs>
                          <w:tab w:val="center" w:pos="4153"/>
                          <w:tab w:val="right" w:pos="8306"/>
                        </w:tabs>
                        <w:jc w:val="center"/>
                        <w:rPr>
                          <w:b/>
                          <w:bCs/>
                          <w:szCs w:val="24"/>
                        </w:rPr>
                      </w:pPr>
                      <w:r>
                        <w:rPr>
                          <w:b/>
                          <w:bCs/>
                          <w:szCs w:val="24"/>
                        </w:rPr>
                        <w:t>ir jos uždaviniai</w:t>
                      </w:r>
                    </w:p>
                  </w:sdtContent>
                </w:sdt>
                <w:p>
                  <w:pPr>
                    <w:tabs>
                      <w:tab w:val="center" w:pos="4153"/>
                      <w:tab w:val="right" w:pos="8306"/>
                    </w:tabs>
                    <w:jc w:val="center"/>
                    <w:rPr>
                      <w:b/>
                      <w:bCs/>
                      <w:szCs w:val="24"/>
                    </w:rPr>
                  </w:pPr>
                </w:p>
                <w:p>
                  <w:pPr>
                    <w:tabs>
                      <w:tab w:val="center" w:pos="4153"/>
                      <w:tab w:val="right" w:pos="8306"/>
                    </w:tabs>
                    <w:rPr>
                      <w:b/>
                      <w:bCs/>
                      <w:szCs w:val="24"/>
                    </w:rPr>
                  </w:pPr>
                  <w:r>
                    <w:rPr>
                      <w:b/>
                      <w:sz w:val="20"/>
                      <w:szCs w:val="24"/>
                      <w:lang w:val="en-US"/>
                    </w:rPr>
                    <w:drawing>
                      <wp:inline distT="0" distB="0" distL="0" distR="0" wp14:anchorId="62E68376" wp14:editId="404E27A6">
                        <wp:extent cx="6524625" cy="2028825"/>
                        <wp:effectExtent l="0" t="0" r="28575" b="28575"/>
                        <wp:docPr id="481" name="Diagrama 481"/>
                        <wp:cNvGraphicFramePr/>
                        <a:graphic xmlns:a="http://schemas.openxmlformats.org/drawingml/2006/main">
                          <a:graphicData uri="http://schemas.openxmlformats.org/drawingml/2006/diagram">
                            <dgm:relIds xmlns:dgm="http://schemas.openxmlformats.org/drawingml/2006/diagram" r:dm="rId13" r:lo="rId14" r:qs="rId15" r:cs="rId16"/>
                          </a:graphicData>
                        </a:graphic>
                      </wp:inline>
                    </w:drawing>
                  </w:r>
                </w:p>
                <w:p>
                  <w:pPr>
                    <w:tabs>
                      <w:tab w:val="center" w:pos="4153"/>
                      <w:tab w:val="right" w:pos="8306"/>
                    </w:tabs>
                    <w:rPr>
                      <w:b/>
                      <w:bCs/>
                      <w:szCs w:val="24"/>
                    </w:rPr>
                  </w:pPr>
                </w:p>
                <w:tbl>
                  <w:tblPr>
                    <w:tblW w:w="1020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857"/>
                    <w:gridCol w:w="3344"/>
                  </w:tblGrid>
                  <w:tr>
                    <w:trPr>
                      <w:cantSplit/>
                      <w:tblHeader/>
                      <w:jc w:val="center"/>
                    </w:trPr>
                    <w:tc>
                      <w:tcPr>
                        <w:tcW w:w="6857" w:type="dxa"/>
                        <w:shd w:val="clear" w:color="auto" w:fill="FFE8CB"/>
                      </w:tcPr>
                      <w:p>
                        <w:pPr>
                          <w:tabs>
                            <w:tab w:val="center" w:pos="4153"/>
                            <w:tab w:val="right" w:pos="8306"/>
                          </w:tabs>
                          <w:snapToGrid w:val="0"/>
                          <w:jc w:val="center"/>
                          <w:rPr>
                            <w:b/>
                            <w:szCs w:val="24"/>
                          </w:rPr>
                        </w:pPr>
                        <w:r>
                          <w:rPr>
                            <w:b/>
                            <w:szCs w:val="24"/>
                          </w:rPr>
                          <w:t>Programos vykdytojas</w:t>
                        </w:r>
                      </w:p>
                    </w:tc>
                    <w:tc>
                      <w:tcPr>
                        <w:tcW w:w="3344" w:type="dxa"/>
                        <w:shd w:val="clear" w:color="auto" w:fill="FFE8CB"/>
                      </w:tcPr>
                      <w:p>
                        <w:pPr>
                          <w:tabs>
                            <w:tab w:val="center" w:pos="4153"/>
                            <w:tab w:val="right" w:pos="8306"/>
                          </w:tabs>
                          <w:snapToGrid w:val="0"/>
                          <w:jc w:val="center"/>
                          <w:rPr>
                            <w:b/>
                            <w:bCs/>
                            <w:szCs w:val="24"/>
                          </w:rPr>
                        </w:pPr>
                        <w:r>
                          <w:rPr>
                            <w:b/>
                            <w:szCs w:val="24"/>
                          </w:rPr>
                          <w:t>Vykdytojo kodas</w:t>
                        </w:r>
                      </w:p>
                    </w:tc>
                  </w:tr>
                  <w:tr>
                    <w:trPr>
                      <w:trHeight w:val="176"/>
                      <w:jc w:val="center"/>
                    </w:trPr>
                    <w:tc>
                      <w:tcPr>
                        <w:tcW w:w="6857" w:type="dxa"/>
                      </w:tcPr>
                      <w:p>
                        <w:r>
                          <w:t>Radviliškio rajono savivaldybės administracija</w:t>
                        </w:r>
                      </w:p>
                    </w:tc>
                    <w:tc>
                      <w:tcPr>
                        <w:tcW w:w="3344" w:type="dxa"/>
                      </w:tcPr>
                      <w:p>
                        <w:pPr>
                          <w:jc w:val="center"/>
                          <w:rPr>
                            <w:szCs w:val="24"/>
                          </w:rPr>
                        </w:pPr>
                        <w:r>
                          <w:rPr>
                            <w:szCs w:val="24"/>
                          </w:rPr>
                          <w:t>188726247</w:t>
                        </w:r>
                      </w:p>
                    </w:tc>
                  </w:tr>
                  <w:tr>
                    <w:trPr>
                      <w:jc w:val="center"/>
                    </w:trPr>
                    <w:tc>
                      <w:tcPr>
                        <w:tcW w:w="6857" w:type="dxa"/>
                      </w:tcPr>
                      <w:p>
                        <w:r>
                          <w:t>Radviliškio rajono savivaldybės švietimo ir sporto paslaugų centras</w:t>
                        </w:r>
                      </w:p>
                    </w:tc>
                    <w:tc>
                      <w:tcPr>
                        <w:tcW w:w="3344" w:type="dxa"/>
                      </w:tcPr>
                      <w:p>
                        <w:pPr>
                          <w:jc w:val="center"/>
                        </w:pPr>
                        <w:r>
                          <w:t>302296387</w:t>
                        </w:r>
                      </w:p>
                    </w:tc>
                  </w:tr>
                  <w:tr>
                    <w:trPr>
                      <w:jc w:val="center"/>
                    </w:trPr>
                    <w:tc>
                      <w:tcPr>
                        <w:tcW w:w="6857" w:type="dxa"/>
                      </w:tcPr>
                      <w:p>
                        <w:r>
                          <w:t>Baisogalos gimnazija</w:t>
                        </w:r>
                      </w:p>
                    </w:tc>
                    <w:tc>
                      <w:tcPr>
                        <w:tcW w:w="3344" w:type="dxa"/>
                      </w:tcPr>
                      <w:p>
                        <w:pPr>
                          <w:jc w:val="center"/>
                        </w:pPr>
                        <w:r>
                          <w:t>190672543</w:t>
                        </w:r>
                      </w:p>
                    </w:tc>
                  </w:tr>
                  <w:tr>
                    <w:trPr>
                      <w:jc w:val="center"/>
                    </w:trPr>
                    <w:tc>
                      <w:tcPr>
                        <w:tcW w:w="6857" w:type="dxa"/>
                      </w:tcPr>
                      <w:p>
                        <w:r>
                          <w:t>Lizdeikos gimnazija</w:t>
                        </w:r>
                      </w:p>
                    </w:tc>
                    <w:tc>
                      <w:tcPr>
                        <w:tcW w:w="3344" w:type="dxa"/>
                      </w:tcPr>
                      <w:p>
                        <w:pPr>
                          <w:jc w:val="center"/>
                        </w:pPr>
                        <w:r>
                          <w:t>190670535</w:t>
                        </w:r>
                      </w:p>
                    </w:tc>
                  </w:tr>
                  <w:tr>
                    <w:trPr>
                      <w:jc w:val="center"/>
                    </w:trPr>
                    <w:tc>
                      <w:tcPr>
                        <w:tcW w:w="6857" w:type="dxa"/>
                      </w:tcPr>
                      <w:p>
                        <w:r>
                          <w:t>Šeduvos gimnazija</w:t>
                        </w:r>
                      </w:p>
                    </w:tc>
                    <w:tc>
                      <w:tcPr>
                        <w:tcW w:w="3344" w:type="dxa"/>
                      </w:tcPr>
                      <w:p>
                        <w:pPr>
                          <w:jc w:val="center"/>
                          <w:rPr>
                            <w:bCs/>
                          </w:rPr>
                        </w:pPr>
                        <w:r>
                          <w:rPr>
                            <w:bCs/>
                          </w:rPr>
                          <w:t>290671780</w:t>
                        </w:r>
                      </w:p>
                    </w:tc>
                  </w:tr>
                  <w:tr>
                    <w:trPr>
                      <w:jc w:val="center"/>
                    </w:trPr>
                    <w:tc>
                      <w:tcPr>
                        <w:tcW w:w="6857" w:type="dxa"/>
                      </w:tcPr>
                      <w:p>
                        <w:r>
                          <w:t>Grinkiškio Jono Poderio pagrindinė mokykla</w:t>
                        </w:r>
                      </w:p>
                    </w:tc>
                    <w:tc>
                      <w:tcPr>
                        <w:tcW w:w="3344" w:type="dxa"/>
                      </w:tcPr>
                      <w:p>
                        <w:pPr>
                          <w:jc w:val="center"/>
                          <w:rPr>
                            <w:bCs/>
                          </w:rPr>
                        </w:pPr>
                        <w:r>
                          <w:rPr>
                            <w:bCs/>
                          </w:rPr>
                          <w:t>190672739</w:t>
                        </w:r>
                      </w:p>
                    </w:tc>
                  </w:tr>
                  <w:tr>
                    <w:trPr>
                      <w:jc w:val="center"/>
                    </w:trPr>
                    <w:tc>
                      <w:tcPr>
                        <w:tcW w:w="6857" w:type="dxa"/>
                      </w:tcPr>
                      <w:p>
                        <w:pPr>
                          <w:rPr>
                            <w:color w:val="000000"/>
                            <w:szCs w:val="24"/>
                          </w:rPr>
                        </w:pPr>
                        <w:r>
                          <w:rPr>
                            <w:color w:val="000000"/>
                            <w:szCs w:val="24"/>
                          </w:rPr>
                          <w:t xml:space="preserve">Sidabravo </w:t>
                        </w:r>
                        <w:r>
                          <w:rPr>
                            <w:color w:val="000000"/>
                            <w:szCs w:val="24"/>
                            <w:lang w:val="en-US"/>
                          </w:rPr>
                          <w:t>pagrindinė mokykla</w:t>
                        </w:r>
                      </w:p>
                    </w:tc>
                    <w:tc>
                      <w:tcPr>
                        <w:tcW w:w="3344" w:type="dxa"/>
                      </w:tcPr>
                      <w:p>
                        <w:pPr>
                          <w:jc w:val="center"/>
                          <w:rPr>
                            <w:color w:val="000000"/>
                            <w:szCs w:val="24"/>
                          </w:rPr>
                        </w:pPr>
                        <w:r>
                          <w:rPr>
                            <w:color w:val="000000"/>
                            <w:szCs w:val="24"/>
                          </w:rPr>
                          <w:t>190673798</w:t>
                        </w:r>
                      </w:p>
                    </w:tc>
                  </w:tr>
                  <w:tr>
                    <w:trPr>
                      <w:jc w:val="center"/>
                    </w:trPr>
                    <w:tc>
                      <w:tcPr>
                        <w:tcW w:w="6857" w:type="dxa"/>
                      </w:tcPr>
                      <w:p>
                        <w:pPr>
                          <w:rPr>
                            <w:color w:val="000000"/>
                            <w:szCs w:val="24"/>
                          </w:rPr>
                        </w:pPr>
                        <w:r>
                          <w:rPr>
                            <w:color w:val="000000"/>
                            <w:szCs w:val="24"/>
                          </w:rPr>
                          <w:t>Šiaulėnų Marcelino Šikšnio gimnazija</w:t>
                        </w:r>
                      </w:p>
                    </w:tc>
                    <w:tc>
                      <w:tcPr>
                        <w:tcW w:w="3344" w:type="dxa"/>
                      </w:tcPr>
                      <w:p>
                        <w:pPr>
                          <w:jc w:val="center"/>
                          <w:rPr>
                            <w:color w:val="000000"/>
                            <w:szCs w:val="24"/>
                          </w:rPr>
                        </w:pPr>
                        <w:r>
                          <w:rPr>
                            <w:color w:val="000000"/>
                            <w:szCs w:val="24"/>
                          </w:rPr>
                          <w:t xml:space="preserve">190673983 </w:t>
                        </w:r>
                      </w:p>
                    </w:tc>
                  </w:tr>
                  <w:tr>
                    <w:trPr>
                      <w:jc w:val="center"/>
                    </w:trPr>
                    <w:tc>
                      <w:tcPr>
                        <w:tcW w:w="6857" w:type="dxa"/>
                      </w:tcPr>
                      <w:p>
                        <w:pPr>
                          <w:rPr>
                            <w:color w:val="000000"/>
                            <w:szCs w:val="24"/>
                          </w:rPr>
                        </w:pPr>
                        <w:r>
                          <w:rPr>
                            <w:color w:val="000000"/>
                            <w:szCs w:val="24"/>
                          </w:rPr>
                          <w:t>Alksniupių pagrindinė mokykla</w:t>
                        </w:r>
                      </w:p>
                    </w:tc>
                    <w:tc>
                      <w:tcPr>
                        <w:tcW w:w="3344" w:type="dxa"/>
                      </w:tcPr>
                      <w:p>
                        <w:pPr>
                          <w:jc w:val="center"/>
                          <w:rPr>
                            <w:color w:val="000000"/>
                            <w:szCs w:val="24"/>
                          </w:rPr>
                        </w:pPr>
                        <w:r>
                          <w:rPr>
                            <w:color w:val="000000"/>
                            <w:szCs w:val="24"/>
                          </w:rPr>
                          <w:t xml:space="preserve">190672162 </w:t>
                        </w:r>
                      </w:p>
                    </w:tc>
                  </w:tr>
                  <w:tr>
                    <w:trPr>
                      <w:jc w:val="center"/>
                    </w:trPr>
                    <w:tc>
                      <w:tcPr>
                        <w:tcW w:w="6857" w:type="dxa"/>
                      </w:tcPr>
                      <w:p>
                        <w:pPr>
                          <w:rPr>
                            <w:color w:val="000000"/>
                            <w:szCs w:val="24"/>
                          </w:rPr>
                        </w:pPr>
                        <w:r>
                          <w:rPr>
                            <w:color w:val="000000"/>
                            <w:szCs w:val="24"/>
                          </w:rPr>
                          <w:t>Gražinos pagrindinė mokykla</w:t>
                        </w:r>
                      </w:p>
                    </w:tc>
                    <w:tc>
                      <w:tcPr>
                        <w:tcW w:w="3344" w:type="dxa"/>
                      </w:tcPr>
                      <w:p>
                        <w:pPr>
                          <w:jc w:val="center"/>
                          <w:rPr>
                            <w:color w:val="000000"/>
                            <w:szCs w:val="24"/>
                          </w:rPr>
                        </w:pPr>
                        <w:r>
                          <w:rPr>
                            <w:color w:val="000000"/>
                            <w:szCs w:val="24"/>
                          </w:rPr>
                          <w:t xml:space="preserve">190671637 </w:t>
                        </w:r>
                      </w:p>
                    </w:tc>
                  </w:tr>
                  <w:tr>
                    <w:trPr>
                      <w:jc w:val="center"/>
                    </w:trPr>
                    <w:tc>
                      <w:tcPr>
                        <w:tcW w:w="6857" w:type="dxa"/>
                      </w:tcPr>
                      <w:p>
                        <w:pPr>
                          <w:rPr>
                            <w:color w:val="000000"/>
                            <w:szCs w:val="24"/>
                          </w:rPr>
                        </w:pPr>
                        <w:r>
                          <w:rPr>
                            <w:color w:val="000000"/>
                            <w:szCs w:val="24"/>
                          </w:rPr>
                          <w:t xml:space="preserve">V. Kudirkos progimnazija </w:t>
                        </w:r>
                      </w:p>
                    </w:tc>
                    <w:tc>
                      <w:tcPr>
                        <w:tcW w:w="3344" w:type="dxa"/>
                      </w:tcPr>
                      <w:p>
                        <w:pPr>
                          <w:jc w:val="center"/>
                          <w:rPr>
                            <w:color w:val="000000"/>
                            <w:szCs w:val="24"/>
                          </w:rPr>
                        </w:pPr>
                        <w:r>
                          <w:rPr>
                            <w:color w:val="000000"/>
                            <w:szCs w:val="24"/>
                          </w:rPr>
                          <w:t xml:space="preserve">190670720 </w:t>
                        </w:r>
                      </w:p>
                    </w:tc>
                  </w:tr>
                  <w:tr>
                    <w:trPr>
                      <w:jc w:val="center"/>
                    </w:trPr>
                    <w:tc>
                      <w:tcPr>
                        <w:tcW w:w="6857" w:type="dxa"/>
                      </w:tcPr>
                      <w:p>
                        <w:r>
                          <w:t>Vaižganto progimnazija</w:t>
                        </w:r>
                      </w:p>
                    </w:tc>
                    <w:tc>
                      <w:tcPr>
                        <w:tcW w:w="3344" w:type="dxa"/>
                      </w:tcPr>
                      <w:p>
                        <w:pPr>
                          <w:jc w:val="center"/>
                          <w:rPr>
                            <w:bCs/>
                          </w:rPr>
                        </w:pPr>
                        <w:r>
                          <w:rPr>
                            <w:bCs/>
                          </w:rPr>
                          <w:t>195220684</w:t>
                        </w:r>
                      </w:p>
                    </w:tc>
                  </w:tr>
                  <w:tr>
                    <w:trPr>
                      <w:jc w:val="center"/>
                    </w:trPr>
                    <w:tc>
                      <w:tcPr>
                        <w:tcW w:w="6857" w:type="dxa"/>
                      </w:tcPr>
                      <w:p>
                        <w:pPr>
                          <w:rPr>
                            <w:color w:val="000000"/>
                            <w:szCs w:val="24"/>
                          </w:rPr>
                        </w:pPr>
                        <w:r>
                          <w:rPr>
                            <w:color w:val="000000"/>
                            <w:szCs w:val="24"/>
                          </w:rPr>
                          <w:t>Baisogalos mokykla-darželis</w:t>
                        </w:r>
                      </w:p>
                    </w:tc>
                    <w:tc>
                      <w:tcPr>
                        <w:tcW w:w="3344" w:type="dxa"/>
                      </w:tcPr>
                      <w:p>
                        <w:pPr>
                          <w:jc w:val="center"/>
                          <w:rPr>
                            <w:color w:val="000000"/>
                            <w:szCs w:val="24"/>
                          </w:rPr>
                        </w:pPr>
                        <w:r>
                          <w:rPr>
                            <w:color w:val="000000"/>
                            <w:szCs w:val="24"/>
                          </w:rPr>
                          <w:t xml:space="preserve">190714921 </w:t>
                        </w:r>
                      </w:p>
                    </w:tc>
                  </w:tr>
                  <w:tr>
                    <w:trPr>
                      <w:jc w:val="center"/>
                    </w:trPr>
                    <w:tc>
                      <w:tcPr>
                        <w:tcW w:w="6857" w:type="dxa"/>
                      </w:tcPr>
                      <w:p>
                        <w:pPr>
                          <w:rPr>
                            <w:color w:val="000000"/>
                            <w:szCs w:val="24"/>
                          </w:rPr>
                        </w:pPr>
                        <w:r>
                          <w:rPr>
                            <w:color w:val="000000"/>
                            <w:szCs w:val="24"/>
                          </w:rPr>
                          <w:t>Radviliškio lopšelis-darželis „Žvaigždutė“</w:t>
                        </w:r>
                      </w:p>
                    </w:tc>
                    <w:tc>
                      <w:tcPr>
                        <w:tcW w:w="3344" w:type="dxa"/>
                      </w:tcPr>
                      <w:p>
                        <w:pPr>
                          <w:jc w:val="center"/>
                          <w:rPr>
                            <w:color w:val="000000"/>
                            <w:szCs w:val="24"/>
                          </w:rPr>
                        </w:pPr>
                        <w:r>
                          <w:rPr>
                            <w:color w:val="000000"/>
                            <w:szCs w:val="24"/>
                          </w:rPr>
                          <w:t xml:space="preserve">190714693 </w:t>
                        </w:r>
                      </w:p>
                    </w:tc>
                  </w:tr>
                  <w:tr>
                    <w:trPr>
                      <w:jc w:val="center"/>
                    </w:trPr>
                    <w:tc>
                      <w:tcPr>
                        <w:tcW w:w="6857" w:type="dxa"/>
                      </w:tcPr>
                      <w:p>
                        <w:pPr>
                          <w:rPr>
                            <w:color w:val="000000"/>
                            <w:szCs w:val="24"/>
                          </w:rPr>
                        </w:pPr>
                        <w:r>
                          <w:rPr>
                            <w:bCs/>
                            <w:color w:val="000000"/>
                            <w:szCs w:val="24"/>
                          </w:rPr>
                          <w:t xml:space="preserve">Radviliškio lopšelis-darželis „Eglutė“ </w:t>
                        </w:r>
                      </w:p>
                    </w:tc>
                    <w:tc>
                      <w:tcPr>
                        <w:tcW w:w="3344" w:type="dxa"/>
                      </w:tcPr>
                      <w:p>
                        <w:pPr>
                          <w:jc w:val="center"/>
                        </w:pPr>
                        <w:r>
                          <w:rPr>
                            <w:bCs/>
                          </w:rPr>
                          <w:t>190714736</w:t>
                        </w:r>
                      </w:p>
                    </w:tc>
                  </w:tr>
                  <w:tr>
                    <w:trPr>
                      <w:jc w:val="center"/>
                    </w:trPr>
                    <w:tc>
                      <w:tcPr>
                        <w:tcW w:w="6857" w:type="dxa"/>
                      </w:tcPr>
                      <w:p>
                        <w:pPr>
                          <w:rPr>
                            <w:color w:val="000000"/>
                            <w:szCs w:val="24"/>
                          </w:rPr>
                        </w:pPr>
                        <w:r>
                          <w:rPr>
                            <w:color w:val="000000"/>
                            <w:szCs w:val="24"/>
                          </w:rPr>
                          <w:t xml:space="preserve">Radviliškio lopšelis-darželis „Kregždutė“ </w:t>
                        </w:r>
                      </w:p>
                    </w:tc>
                    <w:tc>
                      <w:tcPr>
                        <w:tcW w:w="3344" w:type="dxa"/>
                      </w:tcPr>
                      <w:p>
                        <w:pPr>
                          <w:jc w:val="center"/>
                          <w:rPr>
                            <w:color w:val="000000"/>
                            <w:szCs w:val="24"/>
                          </w:rPr>
                        </w:pPr>
                        <w:r>
                          <w:rPr>
                            <w:color w:val="000000"/>
                            <w:szCs w:val="24"/>
                          </w:rPr>
                          <w:t xml:space="preserve">190714355 </w:t>
                        </w:r>
                      </w:p>
                    </w:tc>
                  </w:tr>
                  <w:tr>
                    <w:trPr>
                      <w:jc w:val="center"/>
                    </w:trPr>
                    <w:tc>
                      <w:tcPr>
                        <w:tcW w:w="6857" w:type="dxa"/>
                      </w:tcPr>
                      <w:p>
                        <w:r>
                          <w:rPr>
                            <w:bCs/>
                          </w:rPr>
                          <w:t>Šeduvos lopšelis-darželis</w:t>
                        </w:r>
                      </w:p>
                    </w:tc>
                    <w:tc>
                      <w:tcPr>
                        <w:tcW w:w="3344" w:type="dxa"/>
                      </w:tcPr>
                      <w:p>
                        <w:pPr>
                          <w:jc w:val="center"/>
                        </w:pPr>
                        <w:r>
                          <w:rPr>
                            <w:bCs/>
                          </w:rPr>
                          <w:t>290714160</w:t>
                        </w:r>
                      </w:p>
                    </w:tc>
                  </w:tr>
                  <w:tr>
                    <w:trPr>
                      <w:jc w:val="center"/>
                    </w:trPr>
                    <w:tc>
                      <w:tcPr>
                        <w:tcW w:w="6857" w:type="dxa"/>
                      </w:tcPr>
                      <w:p>
                        <w:pPr>
                          <w:rPr>
                            <w:color w:val="000000"/>
                            <w:szCs w:val="24"/>
                          </w:rPr>
                        </w:pPr>
                        <w:r>
                          <w:rPr>
                            <w:color w:val="000000"/>
                            <w:szCs w:val="24"/>
                          </w:rPr>
                          <w:t>Radviliškio dailės mokykla</w:t>
                        </w:r>
                      </w:p>
                    </w:tc>
                    <w:tc>
                      <w:tcPr>
                        <w:tcW w:w="3344" w:type="dxa"/>
                      </w:tcPr>
                      <w:p>
                        <w:pPr>
                          <w:jc w:val="center"/>
                        </w:pPr>
                        <w:r>
                          <w:rPr>
                            <w:bCs/>
                          </w:rPr>
                          <w:t>190713972</w:t>
                        </w:r>
                      </w:p>
                    </w:tc>
                  </w:tr>
                  <w:tr>
                    <w:trPr>
                      <w:jc w:val="center"/>
                    </w:trPr>
                    <w:tc>
                      <w:tcPr>
                        <w:tcW w:w="6857" w:type="dxa"/>
                      </w:tcPr>
                      <w:p>
                        <w:r>
                          <w:rPr>
                            <w:bCs/>
                          </w:rPr>
                          <w:t>Radviliškio muzikos mokykla</w:t>
                        </w:r>
                      </w:p>
                    </w:tc>
                    <w:tc>
                      <w:tcPr>
                        <w:tcW w:w="3344" w:type="dxa"/>
                      </w:tcPr>
                      <w:p>
                        <w:pPr>
                          <w:jc w:val="center"/>
                        </w:pPr>
                        <w:r>
                          <w:rPr>
                            <w:bCs/>
                          </w:rPr>
                          <w:t>290713820</w:t>
                        </w:r>
                      </w:p>
                    </w:tc>
                  </w:tr>
                  <w:tr>
                    <w:trPr>
                      <w:jc w:val="center"/>
                    </w:trPr>
                    <w:tc>
                      <w:tcPr>
                        <w:tcW w:w="6857" w:type="dxa"/>
                      </w:tcPr>
                      <w:p>
                        <w:r>
                          <w:t>Kutiškių daugiafunkcis centras</w:t>
                        </w:r>
                      </w:p>
                    </w:tc>
                    <w:tc>
                      <w:tcPr>
                        <w:tcW w:w="3344" w:type="dxa"/>
                      </w:tcPr>
                      <w:p>
                        <w:pPr>
                          <w:jc w:val="center"/>
                          <w:rPr>
                            <w:color w:val="000000"/>
                            <w:szCs w:val="24"/>
                            <w:highlight w:val="yellow"/>
                          </w:rPr>
                        </w:pPr>
                        <w:r>
                          <w:rPr>
                            <w:color w:val="000000"/>
                            <w:szCs w:val="24"/>
                          </w:rPr>
                          <w:t>302540140</w:t>
                        </w:r>
                      </w:p>
                    </w:tc>
                  </w:tr>
                </w:tbl>
                <w:p>
                  <w:pPr>
                    <w:tabs>
                      <w:tab w:val="center" w:pos="4153"/>
                      <w:tab w:val="right" w:pos="8306"/>
                    </w:tabs>
                    <w:ind w:left="360"/>
                    <w:jc w:val="center"/>
                    <w:rPr>
                      <w:b/>
                      <w:bCs/>
                      <w:szCs w:val="24"/>
                    </w:rPr>
                  </w:pPr>
                </w:p>
                <w:tbl>
                  <w:tblPr>
                    <w:tblW w:w="10185"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4A0" w:firstRow="1" w:lastRow="0" w:firstColumn="1" w:lastColumn="0" w:noHBand="0" w:noVBand="1"/>
                  </w:tblPr>
                  <w:tblGrid>
                    <w:gridCol w:w="10185"/>
                  </w:tblGrid>
                  <w:tr>
                    <w:trPr>
                      <w:trHeight w:val="582"/>
                      <w:jc w:val="center"/>
                    </w:trPr>
                    <w:tc>
                      <w:tcPr>
                        <w:tcW w:w="10185" w:type="dxa"/>
                        <w:hideMark/>
                      </w:tcPr>
                      <w:p>
                        <w:pPr>
                          <w:ind w:firstLine="567"/>
                          <w:jc w:val="both"/>
                          <w:rPr>
                            <w:szCs w:val="24"/>
                            <w:lang w:eastAsia="lt-LT"/>
                          </w:rPr>
                        </w:pPr>
                        <w:r>
                          <w:rPr>
                            <w:b/>
                            <w:szCs w:val="24"/>
                            <w:lang w:eastAsia="lt-LT"/>
                          </w:rPr>
                          <w:t>Programos parengimo argumentai</w:t>
                        </w:r>
                        <w:r>
                          <w:rPr>
                            <w:szCs w:val="24"/>
                            <w:lang w:eastAsia="lt-LT"/>
                          </w:rPr>
                          <w:t>– teikti kokybiškas, prieinamas ir gyventojų poreikius atitinkančias švietimo paslaugas.</w:t>
                        </w:r>
                        <w:r>
                          <w:rPr>
                            <w:color w:val="000000"/>
                            <w:lang w:eastAsia="zh-CN" w:bidi="hi-IN"/>
                          </w:rPr>
                          <w:t xml:space="preserve"> Programa parengta siekiant įgyvendinti Radviliškio rajono savivaldybės 2021–2030 m. strateginiame plėtros plane bei Savivaldybės strateginiame veiklos plane numatytus tikslą ir uždavinį:</w:t>
                        </w:r>
                        <w:r>
                          <w:rPr>
                            <w:szCs w:val="24"/>
                          </w:rPr>
                          <w:t xml:space="preserve"> galimybės mokytis užtikrinimas;</w:t>
                        </w:r>
                        <w:r>
                          <w:rPr>
                            <w:b/>
                            <w:bCs/>
                            <w:color w:val="000000"/>
                          </w:rPr>
                          <w:t xml:space="preserve"> </w:t>
                        </w:r>
                        <w:r>
                          <w:rPr>
                            <w:bCs/>
                            <w:color w:val="000000"/>
                          </w:rPr>
                          <w:t>gerinti švietimo paslaugų kokybę, pakankamumą ir pasiekiamumą.</w:t>
                        </w:r>
                        <w:r>
                          <w:rPr>
                            <w:color w:val="000000"/>
                            <w:lang w:eastAsia="zh-CN" w:bidi="hi-IN"/>
                          </w:rPr>
                          <w:t xml:space="preserve"> Lietuvos Respublikos švietimo įstatyme nurodoma, kad savivaldybės, įgyvendindamos Valstybinę švietimo strategiją, nustato ilgalaikius švietimo plėtros tikslus ir priemones jiems pasiekti. Vadovaujantis šia nuostata parengta programa užtikrina kryptingą Valstybės bei Savivaldybės švietimo politikos įgyvendinimą.</w:t>
                        </w:r>
                        <w:r>
                          <w:rPr>
                            <w:szCs w:val="24"/>
                            <w:lang w:eastAsia="lt-LT"/>
                          </w:rPr>
                          <w:t xml:space="preserve"> </w:t>
                        </w:r>
                        <w:r>
                          <w:rPr>
                            <w:szCs w:val="24"/>
                            <w:lang w:eastAsia="ar-SA"/>
                          </w:rPr>
                          <w:t xml:space="preserve">Programa įgyvendinamos Lietuvos Respublikos vietos savivaldos įstatymu reglamentuojamos: </w:t>
                        </w:r>
                        <w:r>
                          <w:rPr>
                            <w:b/>
                            <w:i/>
                            <w:szCs w:val="24"/>
                            <w:lang w:eastAsia="ar-SA"/>
                          </w:rPr>
                          <w:t>savarankiškosios savivaldybių funkcijos</w:t>
                        </w:r>
                        <w:r>
                          <w:rPr>
                            <w:b/>
                            <w:szCs w:val="24"/>
                            <w:lang w:eastAsia="ar-SA"/>
                          </w:rPr>
                          <w:t>:</w:t>
                        </w:r>
                        <w:r>
                          <w:rPr>
                            <w:szCs w:val="24"/>
                            <w:lang w:eastAsia="ar-SA"/>
                          </w:rPr>
                          <w:t xml:space="preserve"> </w:t>
                        </w:r>
                        <w:r>
                          <w:rPr>
                            <w:szCs w:val="24"/>
                            <w:lang w:eastAsia="lt-LT"/>
                          </w:rPr>
                          <w:t xml:space="preserve">savivaldybės teritorijoje gyvenančių vaikų iki 16 metų mokymosi pagal privalomojo švietimo programas užtikrinimas; švietimo pagalbos teikimo mokiniui, mokytojui, šeimai, mokyklai, vaiko minimaliosios priežiūros priemonių vykdymo organizavimas ir koordinavimas; bendrojo lavinimo mokyklų moksleivių, gyvenančių kaimo gyvenamosiose vietovėse, neatlygintino pavėžėjimo į mokyklas ir į namus organizavimas; ikimokyklinio ugdymo, vaikų ir suaugusiųjų neformaliojo švietimo organizavimas, vaikų ir jaunimo užimtumo organizavimas; maitinimo paslaugų organizavimas teisės aktų nustatyta tvarka  švietimo įstaigose, įgyvendinančiose mokymą pagal ikimokyklinio, priešmokyklinio ir bendrojo lavinimo programas;</w:t>
                        </w:r>
                        <w:r>
                          <w:rPr>
                            <w:b/>
                            <w:bCs/>
                            <w:i/>
                            <w:szCs w:val="24"/>
                            <w:lang w:eastAsia="lt-LT"/>
                          </w:rPr>
                          <w:t xml:space="preserve"> valstybinės (valstybės perduotos savivaldybėms) funkcijos:</w:t>
                        </w:r>
                        <w:r>
                          <w:rPr>
                            <w:bCs/>
                            <w:i/>
                            <w:szCs w:val="24"/>
                            <w:lang w:eastAsia="lt-LT"/>
                          </w:rPr>
                          <w:t xml:space="preserve"> </w:t>
                        </w:r>
                        <w:r>
                          <w:rPr>
                            <w:szCs w:val="24"/>
                            <w:lang w:eastAsia="lt-LT"/>
                          </w:rPr>
                          <w:t>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 neformalusis ugdymas.</w:t>
                        </w:r>
                      </w:p>
                      <w:p>
                        <w:pPr>
                          <w:tabs>
                            <w:tab w:val="left" w:pos="360"/>
                          </w:tabs>
                          <w:ind w:firstLine="731"/>
                          <w:jc w:val="both"/>
                          <w:rPr>
                            <w:bCs/>
                          </w:rPr>
                        </w:pPr>
                      </w:p>
                    </w:tc>
                  </w:tr>
                </w:tbl>
                <w:p>
                  <w:pPr>
                    <w:jc w:val="center"/>
                    <w:rPr>
                      <w:b/>
                      <w:strike/>
                    </w:rPr>
                  </w:pPr>
                </w:p>
                <w:tbl>
                  <w:tblPr>
                    <w:tblW w:w="10185"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1E0" w:firstRow="1" w:lastRow="1" w:firstColumn="1" w:lastColumn="1" w:noHBand="0" w:noVBand="0"/>
                  </w:tblPr>
                  <w:tblGrid>
                    <w:gridCol w:w="10185"/>
                  </w:tblGrid>
                  <w:tr>
                    <w:trPr>
                      <w:jc w:val="center"/>
                    </w:trPr>
                    <w:tc>
                      <w:tcPr>
                        <w:tcW w:w="10185" w:type="dxa"/>
                        <w:hideMark/>
                      </w:tcPr>
                      <w:p>
                        <w:pPr>
                          <w:jc w:val="both"/>
                          <w:rPr>
                            <w:b/>
                            <w:lang w:eastAsia="lt-LT"/>
                          </w:rPr>
                        </w:pPr>
                        <w:r>
                          <w:rPr>
                            <w:color w:val="212529"/>
                            <w:szCs w:val="24"/>
                            <w:lang w:eastAsia="lt-LT"/>
                          </w:rPr>
                          <w:t xml:space="preserve">Programos tikslas – </w:t>
                        </w:r>
                        <w:r>
                          <w:rPr>
                            <w:szCs w:val="24"/>
                          </w:rPr>
                          <w:t>galimybės mokytis užtikrinimas.</w:t>
                        </w:r>
                        <w:r>
                          <w:rPr>
                            <w:szCs w:val="24"/>
                            <w:lang w:eastAsia="ar-SA"/>
                          </w:rPr>
                          <w:t xml:space="preserve"> Šiuo tikslu siekiama efektyviai panaudojant švietimui skiriamas lėšas užtikrinti kokybišką ugdymo(si) sistemos funkcionavimą, sudaryti vienodas sąlygas visiems savivaldybės gyventojams dalyvauti ugdymo procese (ikimokyklinio, priešmokyklinio, pradinio, pagrindinio, vidurinio, neformaliojo ugdymo). Tikslu taip pat siekiama formuoti vaiko ugdymui palankią aplinką ir plėtoti bei modernizuoti ugdymo įstaigų infrastruktūrą.</w:t>
                        </w:r>
                        <w:r>
                          <w:rPr>
                            <w:b/>
                            <w:lang w:eastAsia="lt-LT"/>
                          </w:rPr>
                          <w:t xml:space="preserve"> </w:t>
                        </w:r>
                      </w:p>
                      <w:p>
                        <w:pPr>
                          <w:rPr>
                            <w:sz w:val="10"/>
                            <w:szCs w:val="10"/>
                          </w:rPr>
                        </w:pPr>
                      </w:p>
                      <w:p>
                        <w:pPr>
                          <w:jc w:val="both"/>
                          <w:rPr>
                            <w:szCs w:val="24"/>
                            <w:lang w:eastAsia="ar-SA"/>
                          </w:rPr>
                        </w:pPr>
                        <w:r>
                          <w:rPr>
                            <w:szCs w:val="24"/>
                            <w:lang w:eastAsia="ar-SA"/>
                          </w:rPr>
                          <w:t>Tikslui pasiekti numatoma įgyvendinti vieną uždavinį.</w:t>
                        </w:r>
                      </w:p>
                      <w:p>
                        <w:pPr>
                          <w:rPr>
                            <w:sz w:val="10"/>
                            <w:szCs w:val="10"/>
                          </w:rPr>
                        </w:pPr>
                      </w:p>
                      <w:p>
                        <w:pPr>
                          <w:tabs>
                            <w:tab w:val="left" w:pos="567"/>
                          </w:tabs>
                          <w:suppressAutoHyphens/>
                          <w:ind w:firstLine="459"/>
                          <w:jc w:val="both"/>
                          <w:rPr>
                            <w:color w:val="000000"/>
                          </w:rPr>
                        </w:pPr>
                        <w:r>
                          <w:rPr>
                            <w:b/>
                            <w:szCs w:val="24"/>
                            <w:lang w:eastAsia="ar-SA"/>
                          </w:rPr>
                          <w:t>01 Uždavinys.</w:t>
                        </w:r>
                        <w:r>
                          <w:rPr>
                            <w:szCs w:val="24"/>
                            <w:lang w:eastAsia="ar-SA"/>
                          </w:rPr>
                          <w:t xml:space="preserve"> </w:t>
                        </w:r>
                        <w:r>
                          <w:rPr>
                            <w:b/>
                            <w:bCs/>
                            <w:color w:val="000000"/>
                          </w:rPr>
                          <w:t>Gerinti švietimo paslaugų kokybę, pakankamumą ir pasiekiamumą.</w:t>
                        </w:r>
                        <w:r>
                          <w:rPr>
                            <w:color w:val="000000"/>
                          </w:rPr>
                          <w:t xml:space="preserve"> Siekiama užtikrinti, kad rajono savivaldybės gyventojai galėtų gauti kokybiškas švietimo paslaugas ir būtų tinkamai įgyvendinamos formaliojo ugdymo programos ugdymo įstaigose. Lėšos šiai veiklai ir įstaigų tinklo išlaikymui skiriamos iš Savivaldybės ir valstybės biudžeto. </w:t>
                        </w:r>
                      </w:p>
                      <w:p>
                        <w:pPr>
                          <w:tabs>
                            <w:tab w:val="left" w:pos="567"/>
                          </w:tabs>
                          <w:suppressAutoHyphens/>
                          <w:ind w:firstLine="459"/>
                          <w:jc w:val="both"/>
                          <w:rPr>
                            <w:szCs w:val="24"/>
                            <w:lang w:eastAsia="ar-SA"/>
                          </w:rPr>
                        </w:pPr>
                        <w:r>
                          <w:rPr>
                            <w:szCs w:val="24"/>
                            <w:lang w:eastAsia="ar-SA"/>
                          </w:rPr>
                          <w:t xml:space="preserve">Radviliškio rajono savivaldybėje formalusis švietimas įgyvendinamas vykdant pradinio ugdymo programą (vykdo 1 mokykla–darželis, 4 pagrindinės, 2 progimnazijos ir 2 gimnazijos), pagrindinio ugdymo programą (programą arba jos dalį vykdo 4 gimnazijos, 4 pagrindinės mokyklos), dvejų metų vidurinio ugdymo programą (vykdo 1 gimnazija). </w:t>
                        </w:r>
                      </w:p>
                      <w:p>
                        <w:pPr>
                          <w:tabs>
                            <w:tab w:val="left" w:pos="567"/>
                          </w:tabs>
                          <w:suppressAutoHyphens/>
                          <w:ind w:firstLine="459"/>
                          <w:jc w:val="both"/>
                          <w:rPr>
                            <w:color w:val="000000"/>
                          </w:rPr>
                        </w:pPr>
                        <w:r>
                          <w:rPr>
                            <w:szCs w:val="24"/>
                            <w:lang w:eastAsia="ar-SA"/>
                          </w:rPr>
                          <w:t xml:space="preserve">Neformalusis švietimas įgyvendinamas vykdant priešmokyklinio ugdymo programą (vykdo 2 lopšeliai–darželiai, 1 mokykla–darželis, 4 pagrindinės, 2 progimnazijos, 2 gimnazijos, 1 universalus daugiafunkcis centras), ikimokyklinio ugdymo programą (vykdo 4 lopšeliai–darželiai, 1 mokykla–darželis, 1 universalus daugiafunkcis centras, 1 progimnazija, 3 pagrindinės, 2 gimnazijos ) ir neformaliojo vaikų švietimo programą (vykdo neformaliojo vaikų švietimo įstaigos, laisvieji mokytojai ir kiti akredituoti neformalaus vaikų švietimo teikėjai). Neformalusis švietimas funkcionuoja kaip neatsiejama formaliojo švietimas dalis. Jis suteikia galimybę ugdytiniams  papildomai plėtoti savo gabumus ir tenkinti saviraiškos poreikius. </w:t>
                        </w:r>
                        <w:r>
                          <w:rPr>
                            <w:color w:val="000000"/>
                          </w:rPr>
                          <w:t>Vykdomas profesinis orientavimas, neformalusis švietimas, organizuojamos vaikų vasaros stovyklos, vykdomi įvairūs projektai ir kitos ugdymo įstaigoms priskirtos funkcijos.</w:t>
                        </w:r>
                      </w:p>
                      <w:p>
                        <w:pPr>
                          <w:ind w:firstLine="252"/>
                          <w:jc w:val="both"/>
                          <w:rPr>
                            <w:color w:val="000000"/>
                          </w:rPr>
                        </w:pPr>
                        <w:r>
                          <w:rPr>
                            <w:color w:val="000000"/>
                          </w:rPr>
                          <w:t xml:space="preserve">Pedagoginę psichologinę pagalbą rajono savivaldybės ugdymo įstaigų auklėtiniams bei jų tėvams ir pedagogams teikia Radviliškio rajono savivaldybės švietimo ir sporto paslaugų centro Pedagoginė psichologinė tarnyba. Specialiųjų ugdymosi poreikių turintys vaikai ir mokiniai ugdomi: lopšelyje-darželyje „Kregždutė“ (3–7 metų); Radviliškio r. Šeduvos gimnazijos specialiojo ugdymo skyriaus klasėse; Radviliškio Gražinos pagrindinės mokyklos klasėse, skirtose mokiniams, turintiems specialiųjų ugdymosi poreikių, Dienos centre „Meleta“ intelekto sutrikimą turintiems vaikams ir jaunuoliams </w:t>
                        </w:r>
                        <w:r>
                          <w:t>(</w:t>
                        </w:r>
                        <w:r>
                          <w:rPr>
                            <w:b/>
                            <w:bCs/>
                          </w:rPr>
                          <w:t>7</w:t>
                        </w:r>
                        <w:r>
                          <w:t xml:space="preserve">–21 metų) </w:t>
                        </w:r>
                        <w:r>
                          <w:rPr>
                            <w:color w:val="000000"/>
                          </w:rPr>
                          <w:t>teikiama dienos socialinė pagalba; Radviliškio rajono savivaldybės švietimo ir sporto paslaugų centro Dienos užimtumo skyriuje teikiama dienos socialinė globa 16 metų ir vyresniems jaunuoliams. Dalis vaikų ir mokinių, turinčių specialiųjų ugdymosi poreikių, ugdomi integruotai bendrojo ugdymo įstaigų bendrosiose klasėse ir grupėse.</w:t>
                        </w:r>
                        <w:r>
                          <w:rPr>
                            <w:color w:val="000000"/>
                            <w:lang w:eastAsia="zh-CN" w:bidi="hi-IN"/>
                          </w:rPr>
                          <w:t xml:space="preserve"> Bendrojo ugdymo mokyklos, kuriose mokosi specialiųjų poreikių turintys vaikai, siekdamos kokybiško ugdymo užtikrinimo, teikia visapusišką pagalbą ugdytiniams, jų tėvams (globėjams, rūpintojams), užtikrina kompetentingos specialiosios pedagoginės, psichologinės ir socialinės pagalbos teikimą; plėtoja pedagogų, pagalbos mokiniui specialistų kompetencijas.  </w:t>
                        </w:r>
                      </w:p>
                      <w:p>
                        <w:pPr>
                          <w:tabs>
                            <w:tab w:val="left" w:pos="567"/>
                          </w:tabs>
                          <w:suppressAutoHyphens/>
                          <w:ind w:firstLine="459"/>
                          <w:jc w:val="both"/>
                          <w:rPr>
                            <w:b/>
                            <w:szCs w:val="24"/>
                            <w:lang w:eastAsia="ar-SA"/>
                          </w:rPr>
                        </w:pPr>
                        <w:r>
                          <w:rPr>
                            <w:b/>
                            <w:szCs w:val="24"/>
                            <w:lang w:eastAsia="ar-SA"/>
                          </w:rPr>
                          <w:t xml:space="preserve">Švietimo sistemoje ugdomi 4638 ugdytiniai . Pagal bendrojo ugdymo programas mokomi 3514 mokiniai ir pagal ikimokyklinio  ugdymo programą ugdomi 858 vaikai ir priešmokykliniame ugdyme – 266 vaikai.</w:t>
                        </w:r>
                      </w:p>
                      <w:p>
                        <w:pPr>
                          <w:ind w:firstLine="459"/>
                          <w:jc w:val="both"/>
                          <w:rPr>
                            <w:szCs w:val="24"/>
                            <w:lang w:eastAsia="ar-SA"/>
                          </w:rPr>
                        </w:pPr>
                        <w:r>
                          <w:rPr>
                            <w:szCs w:val="24"/>
                            <w:lang w:eastAsia="ar-SA"/>
                          </w:rPr>
                          <w:t>Išsikeltu uždaviniu savivaldybė numato tinkamai organizuoti formalųjį ir neformalųjį švietimą, teikti kokybiškas švietimo paslaugas savivaldybės gyventojams. Uždaviniui įgyvendinti numatoma: įgyvendinti bendruosius ugdymo planus savivaldybės bendrojo lavinimo mokyklose ir neformaliojo ugdymo programas neformalųjį ugdymą teikiančiose įstaigose; organizuoti ikimokyklinių įstaigų veiklą; užtikrinti rajono mokyklų aplinkos išlaikymą; organizuoti brandos egzaminus;</w:t>
                        </w:r>
                        <w:r>
                          <w:rPr>
                            <w:b/>
                            <w:szCs w:val="24"/>
                            <w:lang w:eastAsia="lt-LT"/>
                          </w:rPr>
                          <w:t xml:space="preserve"> </w:t>
                        </w:r>
                        <w:r>
                          <w:rPr>
                            <w:szCs w:val="24"/>
                            <w:lang w:eastAsia="lt-LT"/>
                          </w:rPr>
                          <w:t xml:space="preserve">stiprinti materialinius ir intelektualinius resursus, tenkinti mokinių pažinimo, lavinimosi ir saviraiškos poreikius, </w:t>
                        </w:r>
                        <w:r>
                          <w:rPr>
                            <w:szCs w:val="24"/>
                            <w:lang w:eastAsia="ar-SA"/>
                          </w:rPr>
                          <w:t xml:space="preserve">užtikrinti ugdymo įstaigų edukacinių aplinkų palaikymą. </w:t>
                        </w:r>
                      </w:p>
                      <w:p>
                        <w:pPr>
                          <w:ind w:firstLine="731"/>
                          <w:jc w:val="both"/>
                          <w:rPr>
                            <w:b/>
                            <w:bCs/>
                            <w:color w:val="000000"/>
                          </w:rPr>
                        </w:pPr>
                      </w:p>
                    </w:tc>
                  </w:tr>
                </w:tbl>
                <w:p/>
                <w:tbl>
                  <w:tblPr>
                    <w:tblW w:w="10187"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187"/>
                  </w:tblGrid>
                  <w:tr>
                    <w:trPr>
                      <w:jc w:val="center"/>
                    </w:trPr>
                    <w:tc>
                      <w:tcPr>
                        <w:tcW w:w="10187"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567"/>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rPr>
                            <w:rFonts w:ascii="Calibri" w:eastAsia="Calibri" w:hAnsi="Calibri" w:cs="Calibri"/>
                            <w:color w:val="404040"/>
                            <w:szCs w:val="24"/>
                            <w:lang w:eastAsia="lt-LT"/>
                            <w14:ligatures w14:val="standardContextual"/>
                          </w:rPr>
                        </w:pPr>
                        <w:r>
                          <w:rPr>
                            <w:szCs w:val="24"/>
                            <w:lang w:eastAsia="lt-LT"/>
                          </w:rPr>
                          <w:t>Radviliškio rajono savivaldybės administracijos Švietimo skyriaus vedėjas Laisvūnas Vaičiūnas, tel.</w:t>
                        </w:r>
                        <w:r>
                          <w:rPr>
                            <w:szCs w:val="24"/>
                          </w:rPr>
                          <w:t xml:space="preserve"> +370 422 69 040</w:t>
                        </w:r>
                        <w:r>
                          <w:rPr>
                            <w:szCs w:val="24"/>
                            <w:lang w:eastAsia="lt-LT"/>
                          </w:rPr>
                          <w:t xml:space="preserve">, el. paštas </w:t>
                        </w:r>
                        <w:r>
                          <w:rPr>
                            <w:rFonts w:ascii="Calibri" w:eastAsia="Calibri" w:hAnsi="Calibri" w:cs="Calibri"/>
                            <w:color w:val="0563C1"/>
                            <w:szCs w:val="24"/>
                            <w:u w:val="single"/>
                            <w:lang w:eastAsia="lt-LT"/>
                            <w14:ligatures w14:val="standardContextual"/>
                          </w:rPr>
                          <w:t>laisvunas.vaiciunas@radviliskis.lt</w:t>
                        </w:r>
                      </w:p>
                      <w:p>
                        <w:pPr>
                          <w:tabs>
                            <w:tab w:val="left" w:pos="284"/>
                          </w:tabs>
                          <w:ind w:firstLine="567"/>
                          <w:jc w:val="both"/>
                          <w:rPr>
                            <w:bCs/>
                            <w:szCs w:val="24"/>
                            <w:lang w:eastAsia="lt-LT"/>
                          </w:rPr>
                        </w:pPr>
                      </w:p>
                      <w:p>
                        <w:pPr>
                          <w:ind w:firstLine="731"/>
                          <w:jc w:val="both"/>
                          <w:rPr>
                            <w:bCs/>
                          </w:rPr>
                        </w:pPr>
                      </w:p>
                    </w:tc>
                  </w:tr>
                </w:tbl>
                <w:p>
                  <w:pPr>
                    <w:jc w:val="center"/>
                  </w:pPr>
                </w:p>
              </w:sdtContent>
            </w:sdt>
            <w:sdt>
              <w:sdtPr>
                <w:alias w:val="poskyris"/>
                <w:tag w:val="part_b617bffc0e7640c8af55699e215166aa"/>
                <w:lock w:val="sdtLocked"/>
                <w:richText/>
              </w:sdtPr>
              <w:sdtContent>
                <w:p>
                  <w:pPr>
                    <w:jc w:val="center"/>
                    <w:rPr>
                      <w:b/>
                      <w:bCs/>
                      <w:szCs w:val="24"/>
                    </w:rPr>
                  </w:pPr>
                  <w:sdt>
                    <w:sdtPr>
                      <w:alias w:val="Pavadinimas"/>
                      <w:tag w:val="title_b617bffc0e7640c8af55699e215166aa"/>
                      <w:lock w:val="sdtLocked"/>
                      <w:richText/>
                    </w:sdtPr>
                    <w:sdtContent>
                      <w:r>
                        <w:rPr>
                          <w:b/>
                          <w:bCs/>
                          <w:szCs w:val="24"/>
                        </w:rPr>
                        <w:t>Programos uždaviniai, priemonės ir jų stebėsenos rodikliai</w:t>
                      </w:r>
                    </w:sdtContent>
                  </w:sdt>
                </w:p>
                <w:tbl>
                  <w:tblPr>
                    <w:tblW w:w="4937" w:type="pct"/>
                    <w:tblInd w:w="113"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323"/>
                    <w:gridCol w:w="4446"/>
                    <w:gridCol w:w="873"/>
                    <w:gridCol w:w="1098"/>
                    <w:gridCol w:w="1034"/>
                    <w:gridCol w:w="1550"/>
                  </w:tblGrid>
                  <w:tr>
                    <w:trPr>
                      <w:trHeight w:val="230"/>
                      <w:tblHeader/>
                    </w:trPr>
                    <w:tc>
                      <w:tcPr>
                        <w:tcW w:w="641"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153"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455"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1" w:type="pct"/>
                        <w:vMerge w:val="restart"/>
                        <w:shd w:val="clear" w:color="auto" w:fill="FFE8CB"/>
                      </w:tcPr>
                      <w:p>
                        <w:pPr>
                          <w:spacing w:line="256" w:lineRule="auto"/>
                          <w:jc w:val="center"/>
                          <w:rPr>
                            <w:b/>
                            <w:bCs/>
                            <w:color w:val="000000"/>
                            <w:lang w:eastAsia="lt-LT"/>
                          </w:rPr>
                        </w:pPr>
                        <w:r>
                          <w:rPr>
                            <w:b/>
                            <w:bCs/>
                            <w:color w:val="000000"/>
                            <w:lang w:eastAsia="lt-LT"/>
                          </w:rPr>
                          <w:t>Savivaldybės strateginio plėtros plano rodiklis</w:t>
                        </w:r>
                      </w:p>
                    </w:tc>
                  </w:tr>
                  <w:tr>
                    <w:trPr>
                      <w:trHeight w:val="230"/>
                      <w:tblHeader/>
                    </w:trPr>
                    <w:tc>
                      <w:tcPr>
                        <w:tcW w:w="641" w:type="pct"/>
                        <w:vMerge/>
                        <w:shd w:val="clear" w:color="auto" w:fill="FFE8CB"/>
                        <w:vAlign w:val="center"/>
                        <w:hideMark/>
                      </w:tcPr>
                      <w:p>
                        <w:pPr>
                          <w:spacing w:line="256" w:lineRule="auto"/>
                          <w:rPr>
                            <w:b/>
                            <w:bCs/>
                            <w:lang w:eastAsia="lt-LT"/>
                          </w:rPr>
                        </w:pPr>
                      </w:p>
                    </w:tc>
                    <w:tc>
                      <w:tcPr>
                        <w:tcW w:w="2153" w:type="pct"/>
                        <w:vMerge/>
                        <w:shd w:val="clear" w:color="auto" w:fill="FFE8CB"/>
                        <w:vAlign w:val="center"/>
                        <w:hideMark/>
                      </w:tcPr>
                      <w:p>
                        <w:pPr>
                          <w:spacing w:line="256" w:lineRule="auto"/>
                          <w:rPr>
                            <w:b/>
                            <w:bCs/>
                            <w:color w:val="000000"/>
                            <w:lang w:eastAsia="lt-LT"/>
                          </w:rPr>
                        </w:pPr>
                      </w:p>
                    </w:tc>
                    <w:tc>
                      <w:tcPr>
                        <w:tcW w:w="423"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532"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501"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751" w:type="pct"/>
                        <w:vMerge/>
                        <w:shd w:val="clear" w:color="auto" w:fill="FFE8CB"/>
                      </w:tcPr>
                      <w:p>
                        <w:pPr>
                          <w:spacing w:line="256" w:lineRule="auto"/>
                          <w:jc w:val="center"/>
                          <w:rPr>
                            <w:b/>
                            <w:bCs/>
                            <w:i/>
                            <w:color w:val="000000"/>
                            <w:lang w:eastAsia="lt-LT"/>
                          </w:rPr>
                        </w:pPr>
                      </w:p>
                    </w:tc>
                  </w:tr>
                  <w:tr>
                    <w:trPr>
                      <w:trHeight w:val="42"/>
                      <w:tblHeader/>
                    </w:trPr>
                    <w:tc>
                      <w:tcPr>
                        <w:tcW w:w="641"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15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2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53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501"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751" w:type="pct"/>
                        <w:shd w:val="clear" w:color="auto" w:fill="FFE8CB"/>
                      </w:tcPr>
                      <w:p>
                        <w:pPr>
                          <w:spacing w:line="256" w:lineRule="auto"/>
                          <w:jc w:val="center"/>
                          <w:rPr>
                            <w:color w:val="000000"/>
                            <w:lang w:eastAsia="lt-LT"/>
                          </w:rPr>
                        </w:pPr>
                        <w:r>
                          <w:rPr>
                            <w:color w:val="000000"/>
                            <w:lang w:eastAsia="lt-LT"/>
                          </w:rPr>
                          <w:t>6</w:t>
                        </w:r>
                      </w:p>
                    </w:tc>
                  </w:tr>
                  <w:tr>
                    <w:tc>
                      <w:tcPr>
                        <w:tcW w:w="641" w:type="pct"/>
                        <w:tcMar>
                          <w:top w:w="28" w:type="dxa"/>
                          <w:left w:w="57" w:type="dxa"/>
                          <w:bottom w:w="28" w:type="dxa"/>
                          <w:right w:w="57" w:type="dxa"/>
                        </w:tcMar>
                      </w:tcPr>
                      <w:p>
                        <w:pPr>
                          <w:spacing w:line="256" w:lineRule="auto"/>
                          <w:rPr>
                            <w:sz w:val="20"/>
                            <w:lang w:eastAsia="lt-LT"/>
                          </w:rPr>
                        </w:pPr>
                      </w:p>
                    </w:tc>
                    <w:tc>
                      <w:tcPr>
                        <w:tcW w:w="2153" w:type="pct"/>
                        <w:tcMar>
                          <w:top w:w="28" w:type="dxa"/>
                          <w:left w:w="57" w:type="dxa"/>
                          <w:bottom w:w="28" w:type="dxa"/>
                          <w:right w:w="57" w:type="dxa"/>
                        </w:tcMar>
                      </w:tcPr>
                      <w:p>
                        <w:pPr>
                          <w:spacing w:line="256" w:lineRule="auto"/>
                          <w:rPr>
                            <w:b/>
                            <w:bCs/>
                            <w:sz w:val="18"/>
                            <w:szCs w:val="18"/>
                            <w:lang w:eastAsia="lt-LT"/>
                          </w:rPr>
                        </w:pPr>
                        <w:r>
                          <w:rPr>
                            <w:b/>
                            <w:bCs/>
                            <w:sz w:val="18"/>
                            <w:szCs w:val="18"/>
                          </w:rPr>
                          <w:t xml:space="preserve">1 uždavinys gerinti švietimo paslaugų kokybę, pakankamumą ir pasiekiamumą. </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20"/>
                            <w:lang w:eastAsia="lt-LT"/>
                          </w:rPr>
                        </w:pPr>
                      </w:p>
                    </w:tc>
                    <w:tc>
                      <w:tcPr>
                        <w:tcW w:w="501" w:type="pct"/>
                        <w:tcMar>
                          <w:top w:w="28" w:type="dxa"/>
                          <w:left w:w="57" w:type="dxa"/>
                          <w:bottom w:w="28" w:type="dxa"/>
                          <w:right w:w="57" w:type="dxa"/>
                        </w:tcMar>
                      </w:tcPr>
                      <w:p>
                        <w:pPr>
                          <w:spacing w:line="256" w:lineRule="auto"/>
                          <w:rPr>
                            <w:bCs/>
                            <w:sz w:val="20"/>
                            <w:lang w:eastAsia="lt-LT"/>
                          </w:rPr>
                        </w:pPr>
                      </w:p>
                    </w:tc>
                    <w:tc>
                      <w:tcPr>
                        <w:tcW w:w="751" w:type="pct"/>
                      </w:tcPr>
                      <w:p>
                        <w:pPr>
                          <w:spacing w:line="256" w:lineRule="auto"/>
                          <w:rPr>
                            <w:bCs/>
                            <w:sz w:val="20"/>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 .1</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Vasaros poilsio programose užimtų vaikų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1484</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1500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1515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E-02-01-01.2</w:t>
                        </w:r>
                      </w:p>
                    </w:tc>
                    <w:tc>
                      <w:tcPr>
                        <w:tcW w:w="2153" w:type="pct"/>
                        <w:tcMar>
                          <w:top w:w="28" w:type="dxa"/>
                          <w:left w:w="57" w:type="dxa"/>
                          <w:bottom w:w="28" w:type="dxa"/>
                          <w:right w:w="57" w:type="dxa"/>
                        </w:tcMar>
                      </w:tcPr>
                      <w:p>
                        <w:pPr>
                          <w:spacing w:line="256" w:lineRule="auto"/>
                          <w:rPr>
                            <w:sz w:val="18"/>
                            <w:szCs w:val="18"/>
                          </w:rPr>
                        </w:pPr>
                        <w:r>
                          <w:rPr>
                            <w:sz w:val="18"/>
                            <w:szCs w:val="18"/>
                          </w:rPr>
                          <w:t>Švietimo pagalbos specialistų, tenkančių 100 mokinių,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1,09</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1,09</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1,09</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E-02-01-01.3</w:t>
                        </w:r>
                      </w:p>
                    </w:tc>
                    <w:tc>
                      <w:tcPr>
                        <w:tcW w:w="2153" w:type="pct"/>
                        <w:tcMar>
                          <w:top w:w="28" w:type="dxa"/>
                          <w:left w:w="57" w:type="dxa"/>
                          <w:bottom w:w="28" w:type="dxa"/>
                          <w:right w:w="57" w:type="dxa"/>
                        </w:tcMar>
                      </w:tcPr>
                      <w:p>
                        <w:pPr>
                          <w:spacing w:line="256" w:lineRule="auto"/>
                          <w:rPr>
                            <w:bCs/>
                            <w:sz w:val="18"/>
                            <w:szCs w:val="18"/>
                          </w:rPr>
                        </w:pPr>
                        <w:r>
                          <w:rPr>
                            <w:sz w:val="18"/>
                            <w:szCs w:val="18"/>
                          </w:rPr>
                          <w:t>Vienai sąlyginei mokytojo pareigybei tenkančių mokinių skaičius bendrojo ugdymo mokyklose</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10,4</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11</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p>
                    </w:tc>
                    <w:tc>
                      <w:tcPr>
                        <w:tcW w:w="2153" w:type="pct"/>
                        <w:tcMar>
                          <w:top w:w="28" w:type="dxa"/>
                          <w:left w:w="57" w:type="dxa"/>
                          <w:bottom w:w="28" w:type="dxa"/>
                          <w:right w:w="57" w:type="dxa"/>
                        </w:tcMar>
                      </w:tcPr>
                      <w:p>
                        <w:pPr>
                          <w:spacing w:line="256" w:lineRule="auto"/>
                          <w:rPr>
                            <w:sz w:val="18"/>
                            <w:szCs w:val="18"/>
                            <w:lang w:eastAsia="lt-LT"/>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E-02-01-01.4</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 xml:space="preserve">Brandos atestatą gavusių mokinių dalis (proc.)                                              </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98</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98</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98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E-02-01-01.5</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Tris ir daugiau valstybinių brandos egzaminų išlaikiusių abiturientų dalis (proc.)</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65</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65</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65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E-02-01-01.6</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Pagrindinio išsilavinimo pažymėjimus gavusių mokinių dalis (proc.)</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97</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97</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97</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E-02-01-01.7</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Kompiuterių skaičius 100-ui mokinių, vienetais (bendrojo lavinimo mokyklose)</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42</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43</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44</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E-02-01-01.8</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Pavežamų mokinių dalis nuo bendro mokinių skaičiaus (procentais)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30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30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30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E-02-01-01.9</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Bendrojo ugdymo mokyklų mokinių, užėmusių I-III vietas rajono, regiono, šalies, tarptautinėse olimpiadose, konkursuose, varžybose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540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540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540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E-02-01-01.10</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Neformaliojo švietimo veikloje dalyvaujančių mokinių dalis nuo visų besimokančių mokinių skaičiaus (proc.)</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81,5</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82</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82,5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p>
                    </w:tc>
                    <w:tc>
                      <w:tcPr>
                        <w:tcW w:w="2153" w:type="pct"/>
                        <w:tcMar>
                          <w:top w:w="28" w:type="dxa"/>
                          <w:left w:w="57" w:type="dxa"/>
                          <w:bottom w:w="28" w:type="dxa"/>
                          <w:right w:w="57" w:type="dxa"/>
                        </w:tcMar>
                      </w:tcPr>
                      <w:p>
                        <w:pPr>
                          <w:spacing w:line="256" w:lineRule="auto"/>
                          <w:rPr>
                            <w:sz w:val="18"/>
                            <w:szCs w:val="18"/>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E-02-01-01.11</w:t>
                        </w:r>
                      </w:p>
                    </w:tc>
                    <w:tc>
                      <w:tcPr>
                        <w:tcW w:w="2153" w:type="pct"/>
                        <w:tcMar>
                          <w:top w:w="28" w:type="dxa"/>
                          <w:left w:w="57" w:type="dxa"/>
                          <w:bottom w:w="28" w:type="dxa"/>
                          <w:right w:w="57" w:type="dxa"/>
                        </w:tcMar>
                      </w:tcPr>
                      <w:p>
                        <w:pPr>
                          <w:spacing w:line="256" w:lineRule="auto"/>
                          <w:rPr>
                            <w:sz w:val="18"/>
                            <w:szCs w:val="18"/>
                          </w:rPr>
                        </w:pPr>
                        <w:r>
                          <w:rPr>
                            <w:sz w:val="18"/>
                            <w:szCs w:val="18"/>
                          </w:rPr>
                          <w:t>Ikimokykliniame ir priešmokykliniame ugdyme dalyvaujančių 3-5 metų amžiaus vaikų dalis (proc.)</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97</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97,5</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98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E-02-01-01.12</w:t>
                        </w:r>
                      </w:p>
                    </w:tc>
                    <w:tc>
                      <w:tcPr>
                        <w:tcW w:w="2153" w:type="pct"/>
                        <w:tcMar>
                          <w:top w:w="28" w:type="dxa"/>
                          <w:left w:w="57" w:type="dxa"/>
                          <w:bottom w:w="28" w:type="dxa"/>
                          <w:right w:w="57" w:type="dxa"/>
                        </w:tcMar>
                      </w:tcPr>
                      <w:p>
                        <w:pPr>
                          <w:spacing w:line="256" w:lineRule="auto"/>
                          <w:rPr>
                            <w:sz w:val="18"/>
                            <w:szCs w:val="18"/>
                          </w:rPr>
                        </w:pPr>
                        <w:r>
                          <w:rPr>
                            <w:sz w:val="18"/>
                            <w:szCs w:val="18"/>
                            <w:lang w:eastAsia="lt-LT"/>
                          </w:rPr>
                          <w:t xml:space="preserve">Švietimo pagalbą gaunančių mokinių dalis </w:t>
                        </w:r>
                        <w:r>
                          <w:rPr>
                            <w:sz w:val="18"/>
                            <w:szCs w:val="18"/>
                          </w:rPr>
                          <w:t>(proc.)</w:t>
                        </w:r>
                      </w:p>
                    </w:tc>
                    <w:tc>
                      <w:tcPr>
                        <w:tcW w:w="423" w:type="pct"/>
                        <w:tcMar>
                          <w:top w:w="28" w:type="dxa"/>
                          <w:left w:w="57" w:type="dxa"/>
                          <w:bottom w:w="28" w:type="dxa"/>
                          <w:right w:w="57" w:type="dxa"/>
                        </w:tcMar>
                      </w:tcPr>
                      <w:p>
                        <w:pPr>
                          <w:spacing w:line="256" w:lineRule="auto"/>
                          <w:rPr>
                            <w:sz w:val="18"/>
                            <w:szCs w:val="18"/>
                            <w:lang w:eastAsia="lt-LT"/>
                          </w:rPr>
                        </w:pPr>
                        <w:r>
                          <w:rPr>
                            <w:sz w:val="18"/>
                            <w:szCs w:val="18"/>
                            <w:lang w:eastAsia="lt-LT"/>
                          </w:rPr>
                          <w:t>89,2</w:t>
                        </w:r>
                      </w:p>
                    </w:tc>
                    <w:tc>
                      <w:tcPr>
                        <w:tcW w:w="532" w:type="pct"/>
                        <w:tcMar>
                          <w:top w:w="28" w:type="dxa"/>
                          <w:left w:w="57" w:type="dxa"/>
                          <w:bottom w:w="28" w:type="dxa"/>
                          <w:right w:w="57" w:type="dxa"/>
                        </w:tcMar>
                      </w:tcPr>
                      <w:p>
                        <w:pPr>
                          <w:spacing w:line="256" w:lineRule="auto"/>
                          <w:rPr>
                            <w:sz w:val="18"/>
                            <w:szCs w:val="18"/>
                            <w:lang w:eastAsia="lt-LT"/>
                          </w:rPr>
                        </w:pPr>
                        <w:r>
                          <w:rPr>
                            <w:sz w:val="18"/>
                            <w:szCs w:val="18"/>
                            <w:lang w:eastAsia="lt-LT"/>
                          </w:rPr>
                          <w:t>89,2</w:t>
                        </w:r>
                      </w:p>
                    </w:tc>
                    <w:tc>
                      <w:tcPr>
                        <w:tcW w:w="501" w:type="pct"/>
                        <w:tcMar>
                          <w:top w:w="28" w:type="dxa"/>
                          <w:left w:w="57" w:type="dxa"/>
                          <w:bottom w:w="28" w:type="dxa"/>
                          <w:right w:w="57" w:type="dxa"/>
                        </w:tcMar>
                      </w:tcPr>
                      <w:p>
                        <w:pPr>
                          <w:spacing w:line="256" w:lineRule="auto"/>
                          <w:rPr>
                            <w:sz w:val="18"/>
                            <w:szCs w:val="18"/>
                            <w:lang w:eastAsia="lt-LT"/>
                          </w:rPr>
                        </w:pPr>
                        <w:r>
                          <w:rPr>
                            <w:sz w:val="18"/>
                            <w:szCs w:val="18"/>
                            <w:lang w:eastAsia="lt-LT"/>
                          </w:rPr>
                          <w:t>89,2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E-02-01-01.13</w:t>
                        </w:r>
                      </w:p>
                    </w:tc>
                    <w:tc>
                      <w:tcPr>
                        <w:tcW w:w="2153" w:type="pct"/>
                        <w:tcMar>
                          <w:top w:w="28" w:type="dxa"/>
                          <w:left w:w="57" w:type="dxa"/>
                          <w:bottom w:w="28" w:type="dxa"/>
                          <w:right w:w="57" w:type="dxa"/>
                        </w:tcMar>
                      </w:tcPr>
                      <w:p>
                        <w:pPr>
                          <w:jc w:val="both"/>
                          <w:rPr>
                            <w:sz w:val="18"/>
                            <w:szCs w:val="18"/>
                            <w:lang w:eastAsia="lt-LT"/>
                          </w:rPr>
                        </w:pPr>
                        <w:r>
                          <w:rPr>
                            <w:sz w:val="18"/>
                            <w:szCs w:val="18"/>
                            <w:lang w:eastAsia="lt-LT"/>
                          </w:rPr>
                          <w:t>Mokinių turinčių specialiųjų ugdymosi poreikių, ugdomų integruotai bendrosios paskirties mokyklose, dalis.</w:t>
                        </w:r>
                        <w:r>
                          <w:rPr>
                            <w:sz w:val="18"/>
                            <w:szCs w:val="18"/>
                          </w:rPr>
                          <w:t xml:space="preserve"> (proc.)</w:t>
                        </w:r>
                      </w:p>
                      <w:p>
                        <w:pPr>
                          <w:spacing w:line="256" w:lineRule="auto"/>
                          <w:rPr>
                            <w:bCs/>
                            <w:sz w:val="18"/>
                            <w:szCs w:val="18"/>
                          </w:rPr>
                        </w:pPr>
                      </w:p>
                    </w:tc>
                    <w:tc>
                      <w:tcPr>
                        <w:tcW w:w="423" w:type="pct"/>
                        <w:tcMar>
                          <w:top w:w="28" w:type="dxa"/>
                          <w:left w:w="57" w:type="dxa"/>
                          <w:bottom w:w="28" w:type="dxa"/>
                          <w:right w:w="57" w:type="dxa"/>
                        </w:tcMar>
                      </w:tcPr>
                      <w:p>
                        <w:pPr>
                          <w:spacing w:line="256" w:lineRule="auto"/>
                          <w:rPr>
                            <w:sz w:val="18"/>
                            <w:szCs w:val="18"/>
                            <w:lang w:eastAsia="lt-LT"/>
                          </w:rPr>
                        </w:pPr>
                        <w:r>
                          <w:rPr>
                            <w:sz w:val="18"/>
                            <w:szCs w:val="18"/>
                            <w:lang w:eastAsia="lt-LT"/>
                          </w:rPr>
                          <w:t>17,8</w:t>
                        </w:r>
                      </w:p>
                    </w:tc>
                    <w:tc>
                      <w:tcPr>
                        <w:tcW w:w="532" w:type="pct"/>
                        <w:tcMar>
                          <w:top w:w="28" w:type="dxa"/>
                          <w:left w:w="57" w:type="dxa"/>
                          <w:bottom w:w="28" w:type="dxa"/>
                          <w:right w:w="57" w:type="dxa"/>
                        </w:tcMar>
                      </w:tcPr>
                      <w:p>
                        <w:pPr>
                          <w:spacing w:line="256" w:lineRule="auto"/>
                          <w:rPr>
                            <w:sz w:val="18"/>
                            <w:szCs w:val="18"/>
                            <w:lang w:eastAsia="lt-LT"/>
                          </w:rPr>
                        </w:pPr>
                        <w:r>
                          <w:rPr>
                            <w:sz w:val="18"/>
                            <w:szCs w:val="18"/>
                            <w:lang w:eastAsia="lt-LT"/>
                          </w:rPr>
                          <w:t>17,8</w:t>
                        </w:r>
                      </w:p>
                    </w:tc>
                    <w:tc>
                      <w:tcPr>
                        <w:tcW w:w="501" w:type="pct"/>
                        <w:tcMar>
                          <w:top w:w="28" w:type="dxa"/>
                          <w:left w:w="57" w:type="dxa"/>
                          <w:bottom w:w="28" w:type="dxa"/>
                          <w:right w:w="57" w:type="dxa"/>
                        </w:tcMar>
                      </w:tcPr>
                      <w:p>
                        <w:pPr>
                          <w:spacing w:line="256" w:lineRule="auto"/>
                          <w:rPr>
                            <w:sz w:val="18"/>
                            <w:szCs w:val="18"/>
                            <w:lang w:eastAsia="lt-LT"/>
                          </w:rPr>
                        </w:pPr>
                        <w:r>
                          <w:rPr>
                            <w:sz w:val="18"/>
                            <w:szCs w:val="18"/>
                            <w:lang w:eastAsia="lt-LT"/>
                          </w:rPr>
                          <w:t>17,8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lang w:eastAsia="lt-LT"/>
                          </w:rPr>
                          <w:t>E-02-01-01.13</w:t>
                        </w:r>
                      </w:p>
                    </w:tc>
                    <w:tc>
                      <w:tcPr>
                        <w:tcW w:w="2153" w:type="pct"/>
                        <w:tcMar>
                          <w:top w:w="28" w:type="dxa"/>
                          <w:left w:w="57" w:type="dxa"/>
                          <w:bottom w:w="28" w:type="dxa"/>
                          <w:right w:w="57" w:type="dxa"/>
                        </w:tcMar>
                      </w:tcPr>
                      <w:p>
                        <w:pPr>
                          <w:jc w:val="both"/>
                          <w:rPr>
                            <w:sz w:val="18"/>
                            <w:szCs w:val="18"/>
                            <w:lang w:eastAsia="lt-LT"/>
                          </w:rPr>
                        </w:pPr>
                        <w:r>
                          <w:rPr>
                            <w:kern w:val="2"/>
                            <w:sz w:val="18"/>
                            <w:szCs w:val="18"/>
                            <w:lang w:eastAsia="lt-LT"/>
                            <w14:ligatures w14:val="standardContextual"/>
                          </w:rPr>
                          <w:t xml:space="preserve">Mažinant administracinę naštą, didinti tarpinstitucinį skaitmeninį informacijos pasikeitimą, kad gyventojams  patiems nereiktų rinkti informacijos iš skirtingų institucijų (didėjimas procentais kas metais)</w:t>
                        </w:r>
                      </w:p>
                    </w:tc>
                    <w:tc>
                      <w:tcPr>
                        <w:tcW w:w="423" w:type="pct"/>
                        <w:tcMar>
                          <w:top w:w="28" w:type="dxa"/>
                          <w:left w:w="57" w:type="dxa"/>
                          <w:bottom w:w="28" w:type="dxa"/>
                          <w:right w:w="57" w:type="dxa"/>
                        </w:tcMar>
                      </w:tcPr>
                      <w:p>
                        <w:pPr>
                          <w:spacing w:line="256" w:lineRule="auto"/>
                          <w:rPr>
                            <w:sz w:val="18"/>
                            <w:szCs w:val="18"/>
                            <w:lang w:eastAsia="lt-LT"/>
                          </w:rPr>
                        </w:pPr>
                        <w:r>
                          <w:rPr>
                            <w:sz w:val="18"/>
                            <w:szCs w:val="18"/>
                            <w:lang w:eastAsia="lt-LT"/>
                          </w:rPr>
                          <w:t>10</w:t>
                        </w:r>
                      </w:p>
                    </w:tc>
                    <w:tc>
                      <w:tcPr>
                        <w:tcW w:w="532" w:type="pct"/>
                        <w:tcMar>
                          <w:top w:w="28" w:type="dxa"/>
                          <w:left w:w="57" w:type="dxa"/>
                          <w:bottom w:w="28" w:type="dxa"/>
                          <w:right w:w="57" w:type="dxa"/>
                        </w:tcMar>
                      </w:tcPr>
                      <w:p>
                        <w:pPr>
                          <w:spacing w:line="256" w:lineRule="auto"/>
                          <w:rPr>
                            <w:sz w:val="18"/>
                            <w:szCs w:val="18"/>
                            <w:lang w:eastAsia="lt-LT"/>
                          </w:rPr>
                        </w:pPr>
                        <w:r>
                          <w:rPr>
                            <w:sz w:val="18"/>
                            <w:szCs w:val="18"/>
                            <w:lang w:eastAsia="lt-LT"/>
                          </w:rPr>
                          <w:t>10</w:t>
                        </w:r>
                      </w:p>
                    </w:tc>
                    <w:tc>
                      <w:tcPr>
                        <w:tcW w:w="501" w:type="pct"/>
                        <w:tcMar>
                          <w:top w:w="28" w:type="dxa"/>
                          <w:left w:w="57" w:type="dxa"/>
                          <w:bottom w:w="28" w:type="dxa"/>
                          <w:right w:w="57" w:type="dxa"/>
                        </w:tcMar>
                      </w:tcPr>
                      <w:p>
                        <w:pPr>
                          <w:spacing w:line="256" w:lineRule="auto"/>
                          <w:rPr>
                            <w:sz w:val="18"/>
                            <w:szCs w:val="18"/>
                            <w:lang w:eastAsia="lt-LT"/>
                          </w:rPr>
                        </w:pPr>
                        <w:r>
                          <w:rPr>
                            <w:sz w:val="18"/>
                            <w:szCs w:val="18"/>
                            <w:lang w:eastAsia="lt-LT"/>
                          </w:rPr>
                          <w:t>10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E-02-01-01-01</w:t>
                        </w:r>
                      </w:p>
                    </w:tc>
                    <w:tc>
                      <w:tcPr>
                        <w:tcW w:w="2153" w:type="pct"/>
                        <w:tcMar>
                          <w:top w:w="28" w:type="dxa"/>
                          <w:left w:w="57" w:type="dxa"/>
                          <w:bottom w:w="28" w:type="dxa"/>
                          <w:right w:w="57" w:type="dxa"/>
                        </w:tcMar>
                      </w:tcPr>
                      <w:p>
                        <w:pPr>
                          <w:spacing w:line="256" w:lineRule="auto"/>
                          <w:rPr>
                            <w:bCs/>
                            <w:sz w:val="18"/>
                            <w:szCs w:val="18"/>
                          </w:rPr>
                        </w:pPr>
                        <w:r>
                          <w:rPr>
                            <w:sz w:val="18"/>
                            <w:szCs w:val="18"/>
                            <w:lang w:eastAsia="lt-LT"/>
                          </w:rPr>
                          <w:t>Tęstinė Baisogalos gimnazijos veikla (klasių komplektų sk.)</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lang w:eastAsia="lt-LT"/>
                          </w:rPr>
                          <w:t>17</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lang w:eastAsia="lt-LT"/>
                          </w:rPr>
                          <w:t>17</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lang w:eastAsia="lt-LT"/>
                          </w:rPr>
                          <w:t>18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E-02-01-01-02</w:t>
                        </w:r>
                      </w:p>
                    </w:tc>
                    <w:tc>
                      <w:tcPr>
                        <w:tcW w:w="2153" w:type="pct"/>
                        <w:tcMar>
                          <w:top w:w="28" w:type="dxa"/>
                          <w:left w:w="57" w:type="dxa"/>
                          <w:bottom w:w="28" w:type="dxa"/>
                          <w:right w:w="57" w:type="dxa"/>
                        </w:tcMar>
                      </w:tcPr>
                      <w:p>
                        <w:pPr>
                          <w:spacing w:line="256" w:lineRule="auto"/>
                          <w:rPr>
                            <w:bCs/>
                            <w:sz w:val="18"/>
                            <w:szCs w:val="18"/>
                          </w:rPr>
                        </w:pPr>
                        <w:r>
                          <w:rPr>
                            <w:sz w:val="18"/>
                            <w:szCs w:val="18"/>
                            <w:lang w:eastAsia="lt-LT"/>
                          </w:rPr>
                          <w:t>Tęstinė Lizdeikos gimnazijos veikla (klasių komplektų sk.)</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lang w:eastAsia="lt-LT"/>
                          </w:rPr>
                          <w:t>24</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lang w:eastAsia="lt-LT"/>
                          </w:rPr>
                          <w:t>24</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lang w:eastAsia="lt-LT"/>
                          </w:rPr>
                          <w:t>25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E-02-01-01-03</w:t>
                        </w:r>
                      </w:p>
                    </w:tc>
                    <w:tc>
                      <w:tcPr>
                        <w:tcW w:w="2153" w:type="pct"/>
                        <w:tcMar>
                          <w:top w:w="28" w:type="dxa"/>
                          <w:left w:w="57" w:type="dxa"/>
                          <w:bottom w:w="28" w:type="dxa"/>
                          <w:right w:w="57" w:type="dxa"/>
                        </w:tcMar>
                      </w:tcPr>
                      <w:p>
                        <w:pPr>
                          <w:spacing w:line="256" w:lineRule="auto"/>
                          <w:rPr>
                            <w:bCs/>
                            <w:sz w:val="18"/>
                            <w:szCs w:val="18"/>
                          </w:rPr>
                        </w:pPr>
                        <w:r>
                          <w:rPr>
                            <w:sz w:val="18"/>
                            <w:szCs w:val="18"/>
                            <w:lang w:eastAsia="lt-LT"/>
                          </w:rPr>
                          <w:t xml:space="preserve">Tęstinė Vaižganto  progimnazijos veikla (klasių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21</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E-02-01-01-04</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Šeduvos gimnazijos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E-02-01-01-05</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Grinkiškio J. Poderio pagrindinės mokyklos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E-02-01-01-06</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Sidabravo  pagrindinės mokyklos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9</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9</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E-02-01-01-07</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Šiaulėnų M. Šikšknio gimnazijos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E-02-01-01-08</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Alksniupių pagrindinės mokyklos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E-02-01-01-09</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Gražinos pagrindinės mokyklos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E-02-01-01-10</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V. Kudirkos progimnazijos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E-02-01-01-11</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dailės mokyklos veikla (mokinių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240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E-02-01-01-12</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muzikos veikla (mokinių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280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290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300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E-02-01-01-13</w:t>
                        </w:r>
                      </w:p>
                    </w:tc>
                    <w:tc>
                      <w:tcPr>
                        <w:tcW w:w="2153" w:type="pct"/>
                        <w:tcMar>
                          <w:top w:w="28" w:type="dxa"/>
                          <w:left w:w="57" w:type="dxa"/>
                          <w:bottom w:w="28" w:type="dxa"/>
                          <w:right w:w="57" w:type="dxa"/>
                        </w:tcMar>
                      </w:tcPr>
                      <w:p>
                        <w:pPr>
                          <w:spacing w:line="256" w:lineRule="auto"/>
                          <w:rPr>
                            <w:bCs/>
                            <w:sz w:val="18"/>
                            <w:szCs w:val="18"/>
                          </w:rPr>
                        </w:pPr>
                        <w:r>
                          <w:rPr>
                            <w:sz w:val="18"/>
                            <w:szCs w:val="18"/>
                          </w:rPr>
                          <w:t>Tęstinė Baisogalos mokyklos-darželio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E-02-01-01-14</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lopšelio-darželio „ Žvaigždutė‘‘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E-02-01-01-15</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lopšelio-darželio „ Eglutė‘‘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E-02-01-01-16</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lopšelio-darželio „ Kregždutė‘‘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9</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9</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E-02-01-01-17</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Šeduvos miesto lopšelio-darželio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 xml:space="preserve">E-02-01-01-18 </w:t>
                        </w:r>
                      </w:p>
                    </w:tc>
                    <w:tc>
                      <w:tcPr>
                        <w:tcW w:w="2153" w:type="pct"/>
                        <w:tcMar>
                          <w:top w:w="28" w:type="dxa"/>
                          <w:left w:w="57" w:type="dxa"/>
                          <w:bottom w:w="28" w:type="dxa"/>
                          <w:right w:w="57" w:type="dxa"/>
                        </w:tcMar>
                      </w:tcPr>
                      <w:p>
                        <w:pPr>
                          <w:spacing w:line="256" w:lineRule="auto"/>
                          <w:rPr>
                            <w:bCs/>
                            <w:sz w:val="18"/>
                            <w:szCs w:val="18"/>
                          </w:rPr>
                        </w:pPr>
                        <w:r>
                          <w:rPr>
                            <w:sz w:val="18"/>
                            <w:szCs w:val="18"/>
                          </w:rPr>
                          <w:t>Tęstinė Kutiškių daugiafunkcio centro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E-02-01-01-19</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rajono švietimo ir sporto paslaugų centro veikla (mokinių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330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340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350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E-02-01-01-20</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plaukimo baseino veikla (pradinio ugdymo mokinių dalis, dalyvaujančių „Mokymosi plaukti‘‘ programoje)</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 xml:space="preserve">24 </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jc w:val="both"/>
                          <w:rPr>
                            <w:sz w:val="18"/>
                            <w:szCs w:val="18"/>
                            <w:lang w:eastAsia="lt-LT"/>
                          </w:rPr>
                        </w:pPr>
                        <w:r>
                          <w:rPr>
                            <w:sz w:val="18"/>
                            <w:szCs w:val="18"/>
                            <w:lang w:eastAsia="lt-LT"/>
                          </w:rPr>
                          <w:t>1 uždavinio 22 priemonės (pavadinimas). Tęstinė Radviliškio rajono savivaldybės administracijos veikla</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R-02-01-01-22-1</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Radviliškio rajono bendrojo ugdymo mokyklų abiturientų, gavusių apdovanojimus už valstybinių brandos egzaminų rezultatus, skaičius</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V-02-01-01-22-2</w:t>
                        </w:r>
                      </w:p>
                    </w:tc>
                    <w:tc>
                      <w:tcPr>
                        <w:tcW w:w="2153" w:type="pct"/>
                        <w:tcMar>
                          <w:top w:w="28" w:type="dxa"/>
                          <w:left w:w="57" w:type="dxa"/>
                          <w:bottom w:w="28" w:type="dxa"/>
                          <w:right w:w="57" w:type="dxa"/>
                        </w:tcMar>
                      </w:tcPr>
                      <w:p>
                        <w:pPr>
                          <w:spacing w:line="256" w:lineRule="auto"/>
                          <w:rPr>
                            <w:bCs/>
                            <w:sz w:val="18"/>
                            <w:szCs w:val="18"/>
                          </w:rPr>
                        </w:pPr>
                        <w:r>
                          <w:rPr>
                            <w:sz w:val="18"/>
                            <w:szCs w:val="18"/>
                            <w:lang w:eastAsia="lt-LT"/>
                          </w:rPr>
                          <w:t xml:space="preserve">Įdiegta ir naudojama centralizuoto vaikų registracijos ir priėmimo į savivaldybės švietimo įstaigų ikimokyklinio ir priešmokyklinio ugdymo grupes informacinė sistema (vnt.)  </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R-02-01-01-22-3</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Bendrojo ugdymo mokyklų pirmų klasių mokinių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267</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282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236</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R-02-01-01-22-4</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 xml:space="preserve">Įgyvendintų  sporto projektų skaičius</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24</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R-02-01-01-22-5</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Kelionių į darbą ir atgal kompensacija pasinaudojusių asmenų dalis( proc.)</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R-02-01-01-22-6</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2024 m. Skirtos 3 stipendijos studentėms studijuojančioms Ikimokyklinis ir priešmokyklinis ugdymas. 1 studentei skirta dalinė parama įgyjant pedagogo kvalifikaciją.</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 xml:space="preserve">1 uždavinio </w:t>
                        </w:r>
                        <w:r>
                          <w:rPr>
                            <w:rFonts w:eastAsia="Calibri"/>
                            <w:b/>
                            <w:sz w:val="18"/>
                            <w:szCs w:val="18"/>
                          </w:rPr>
                          <w:t>25 priemonės Tęstinė neformaliojo suaugusiųjų švietimo programa.</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R-02-01-01-25-1</w:t>
                        </w:r>
                      </w:p>
                    </w:tc>
                    <w:tc>
                      <w:tcPr>
                        <w:tcW w:w="2153" w:type="pct"/>
                        <w:tcMar>
                          <w:top w:w="28" w:type="dxa"/>
                          <w:left w:w="57" w:type="dxa"/>
                          <w:bottom w:w="28" w:type="dxa"/>
                          <w:right w:w="57" w:type="dxa"/>
                        </w:tcMar>
                      </w:tcPr>
                      <w:p>
                        <w:pPr>
                          <w:rPr>
                            <w:rFonts w:eastAsia="Calibri"/>
                            <w:sz w:val="18"/>
                            <w:szCs w:val="18"/>
                          </w:rPr>
                        </w:pPr>
                        <w:r>
                          <w:rPr>
                            <w:rFonts w:eastAsia="Calibri"/>
                            <w:sz w:val="18"/>
                            <w:szCs w:val="18"/>
                          </w:rPr>
                          <w:t>Neformaliojo suaugusiųjų švietimo programoje dalyvavusių asmenų sk.</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300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300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300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rPr>
                            <w:rFonts w:eastAsia="Calibri"/>
                            <w:b/>
                            <w:sz w:val="18"/>
                            <w:szCs w:val="18"/>
                          </w:rPr>
                        </w:pPr>
                        <w:r>
                          <w:rPr>
                            <w:rFonts w:eastAsia="Calibri"/>
                            <w:sz w:val="18"/>
                            <w:szCs w:val="18"/>
                          </w:rPr>
                          <w:t xml:space="preserve">1 uždavinio </w:t>
                        </w:r>
                        <w:r>
                          <w:rPr>
                            <w:rFonts w:eastAsia="Calibri"/>
                            <w:b/>
                            <w:sz w:val="18"/>
                            <w:szCs w:val="18"/>
                          </w:rPr>
                          <w:t>26 priemonės Tęstinė ugdymo turinio modernizavimo veikla.</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R-02-01-01-26-1</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Bendrojo ugdymo mokyklų, turinčių standartus atitinkančių laboratorijas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R-02-01-01-26-2</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STEAM laboratorijų įrengimas 4 darželiuose ir Baisogalos mokykloje-darželyje.</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5</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5</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1 uždavinio 28 priemonės Tęstinė neformaliojo vaikų švietimo programa</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R-02-01-01-28-2</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Vaikų, dalyvaujančių neformaliojo švietimo mokyklų ugdymo programose dalis nuo visų besimokančių mokinių skaičiaus</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22,5</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23</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 xml:space="preserve">1 uždavinio 31 priemonės Pažangos finansavimas įsigyjant mokyklinius  autobusus</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R-02-01-01-31-1</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Įsigytų mokyklinių autobusų skaičius vnt.</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1 uždavinio 32 priemonės Pažangos projektas „Tūkstantmečio mokyklos II‘‘</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R-02-01-01-32-1</w:t>
                        </w:r>
                      </w:p>
                    </w:tc>
                    <w:tc>
                      <w:tcPr>
                        <w:tcW w:w="2153" w:type="pct"/>
                        <w:tcMar>
                          <w:top w:w="28" w:type="dxa"/>
                          <w:left w:w="57" w:type="dxa"/>
                          <w:bottom w:w="28" w:type="dxa"/>
                          <w:right w:w="57" w:type="dxa"/>
                        </w:tcMar>
                      </w:tcPr>
                      <w:p>
                        <w:pPr>
                          <w:rPr>
                            <w:color w:val="000000"/>
                            <w:sz w:val="18"/>
                            <w:szCs w:val="18"/>
                            <w:lang w:eastAsia="lt-LT"/>
                          </w:rPr>
                        </w:pPr>
                        <w:r>
                          <w:rPr>
                            <w:color w:val="000000"/>
                            <w:sz w:val="18"/>
                            <w:szCs w:val="18"/>
                            <w:lang w:eastAsia="lt-LT"/>
                          </w:rPr>
                          <w:t xml:space="preserve">Lyderystė veikiant. Aktyviai įsitraukusių į svarbių mokyklai pokyčių įgyvendinimą  mokytojų skaičius.</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33</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33</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33</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R-02-01-01-32-2</w:t>
                        </w:r>
                      </w:p>
                    </w:tc>
                    <w:tc>
                      <w:tcPr>
                        <w:tcW w:w="2153" w:type="pct"/>
                        <w:tcMar>
                          <w:top w:w="28" w:type="dxa"/>
                          <w:left w:w="57" w:type="dxa"/>
                          <w:bottom w:w="28" w:type="dxa"/>
                          <w:right w:w="57" w:type="dxa"/>
                        </w:tcMar>
                      </w:tcPr>
                      <w:p>
                        <w:pPr>
                          <w:rPr>
                            <w:rFonts w:ascii="Calibri" w:hAnsi="Calibri" w:cs="Calibri"/>
                            <w:color w:val="000000"/>
                            <w:sz w:val="18"/>
                            <w:szCs w:val="18"/>
                            <w:lang w:eastAsia="lt-LT"/>
                          </w:rPr>
                        </w:pPr>
                        <w:r>
                          <w:rPr>
                            <w:color w:val="000000"/>
                            <w:sz w:val="18"/>
                            <w:szCs w:val="18"/>
                            <w:lang w:eastAsia="lt-LT"/>
                          </w:rPr>
                          <w:t xml:space="preserve">Kultūrinis ugdymas. Mokinių dalis , kurių dalis įsitraukia į ilgalaikes kultūrinio ugdymo veiklas, kurios atsispindi ugdymo planuose </w:t>
                        </w:r>
                        <w:r>
                          <w:rPr>
                            <w:rFonts w:ascii="Calibri" w:hAnsi="Calibri" w:cs="Calibri"/>
                            <w:color w:val="000000"/>
                            <w:sz w:val="18"/>
                            <w:szCs w:val="18"/>
                            <w:lang w:eastAsia="lt-LT"/>
                          </w:rPr>
                          <w:t>(proc.)</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45</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45</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R-02-01-01-32-3</w:t>
                        </w:r>
                      </w:p>
                    </w:tc>
                    <w:tc>
                      <w:tcPr>
                        <w:tcW w:w="2153" w:type="pct"/>
                        <w:tcMar>
                          <w:top w:w="28" w:type="dxa"/>
                          <w:left w:w="57" w:type="dxa"/>
                          <w:bottom w:w="28" w:type="dxa"/>
                          <w:right w:w="57" w:type="dxa"/>
                        </w:tcMar>
                      </w:tcPr>
                      <w:p>
                        <w:pPr>
                          <w:rPr>
                            <w:color w:val="000000"/>
                            <w:sz w:val="18"/>
                            <w:szCs w:val="18"/>
                            <w:lang w:eastAsia="lt-LT"/>
                          </w:rPr>
                        </w:pPr>
                        <w:r>
                          <w:rPr>
                            <w:color w:val="000000"/>
                            <w:sz w:val="18"/>
                            <w:szCs w:val="18"/>
                            <w:lang w:eastAsia="lt-LT"/>
                          </w:rPr>
                          <w:t>STEAM ugdymas. Mokytojų vedamų STEAM integruotų veiklų skaičius formaliame ugdyme (per vienerius mokslo metus)</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700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700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700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bl>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tabs>
                            <w:tab w:val="center" w:pos="4153"/>
                            <w:tab w:val="right" w:pos="8306"/>
                          </w:tabs>
                          <w:jc w:val="center"/>
                          <w:rPr>
                            <w:b/>
                            <w:bCs/>
                            <w:szCs w:val="24"/>
                          </w:rPr>
                        </w:pPr>
                        <w:r>
                          <w:rPr>
                            <w:b/>
                            <w:bCs/>
                            <w:szCs w:val="24"/>
                          </w:rPr>
                          <w:t xml:space="preserve">03  Socialinių paslaugų ir socialinės paramos teikimo</w:t>
                        </w:r>
                      </w:p>
                      <w:p>
                        <w:pPr>
                          <w:ind w:firstLine="62"/>
                          <w:jc w:val="center"/>
                          <w:rPr>
                            <w:b/>
                            <w:bCs/>
                            <w:color w:val="000000"/>
                            <w:szCs w:val="24"/>
                          </w:rPr>
                        </w:pPr>
                        <w:r>
                          <w:rPr>
                            <w:b/>
                            <w:bCs/>
                          </w:rPr>
                          <w:t>programa</w:t>
                        </w:r>
                        <w:r>
                          <w:rPr>
                            <w:b/>
                            <w:bCs/>
                            <w:color w:val="000000"/>
                            <w:szCs w:val="24"/>
                          </w:rPr>
                          <w:t xml:space="preserve"> </w:t>
                        </w:r>
                      </w:p>
                    </w:tc>
                  </w:tr>
                </w:tbl>
                <w:p>
                  <w:pPr>
                    <w:tabs>
                      <w:tab w:val="center" w:pos="4153"/>
                      <w:tab w:val="right" w:pos="8306"/>
                    </w:tabs>
                    <w:jc w:val="center"/>
                    <w:rPr>
                      <w:b/>
                      <w:bCs/>
                      <w:szCs w:val="24"/>
                    </w:rPr>
                  </w:pPr>
                </w:p>
              </w:sdtContent>
            </w:sdt>
            <w:sdt>
              <w:sdtPr>
                <w:alias w:val="poskyris"/>
                <w:tag w:val="part_f15d711a61184f95a870774200b999f1"/>
                <w:lock w:val="sdtLocked"/>
                <w:richText/>
              </w:sdtPr>
              <w:sdtContent>
                <w:sdt>
                  <w:sdtPr>
                    <w:alias w:val="Pavadinimas"/>
                    <w:tag w:val="title_f15d711a61184f95a870774200b999f1"/>
                    <w:lock w:val="sdtLocked"/>
                    <w:richText/>
                  </w:sdtPr>
                  <w:sdtContent>
                    <w:p>
                      <w:pPr>
                        <w:tabs>
                          <w:tab w:val="center" w:pos="4153"/>
                          <w:tab w:val="right" w:pos="8306"/>
                        </w:tabs>
                        <w:jc w:val="center"/>
                        <w:rPr>
                          <w:b/>
                          <w:bCs/>
                          <w:szCs w:val="24"/>
                        </w:rPr>
                      </w:pPr>
                      <w:r>
                        <w:rPr>
                          <w:b/>
                          <w:bCs/>
                          <w:szCs w:val="24"/>
                        </w:rPr>
                        <w:t>Socialinių paslaugų ir socialinės paramos teikimo</w:t>
                      </w:r>
                    </w:p>
                    <w:p>
                      <w:pPr>
                        <w:tabs>
                          <w:tab w:val="center" w:pos="4153"/>
                          <w:tab w:val="right" w:pos="8306"/>
                        </w:tabs>
                        <w:jc w:val="center"/>
                        <w:rPr>
                          <w:b/>
                          <w:bCs/>
                          <w:szCs w:val="24"/>
                        </w:rPr>
                      </w:pPr>
                      <w:r>
                        <w:rPr>
                          <w:b/>
                          <w:bCs/>
                          <w:szCs w:val="24"/>
                        </w:rPr>
                        <w:t>programa ir jos uždaviniai</w:t>
                      </w:r>
                    </w:p>
                  </w:sdtContent>
                </w:sdt>
                <w:p>
                  <w:pPr>
                    <w:jc w:val="both"/>
                    <w:rPr>
                      <w:i/>
                      <w:color w:val="808080"/>
                    </w:rPr>
                  </w:pPr>
                </w:p>
                <w:p>
                  <w:pPr>
                    <w:tabs>
                      <w:tab w:val="center" w:pos="4153"/>
                      <w:tab w:val="right" w:pos="8306"/>
                    </w:tabs>
                    <w:jc w:val="center"/>
                    <w:rPr>
                      <w:b/>
                      <w:bCs/>
                      <w:szCs w:val="24"/>
                    </w:rPr>
                  </w:pPr>
                  <w:r>
                    <w:rPr>
                      <w:b/>
                      <w:sz w:val="20"/>
                      <w:szCs w:val="24"/>
                      <w:lang w:val="en-US"/>
                    </w:rPr>
                    <w:drawing>
                      <wp:inline distT="0" distB="0" distL="0" distR="0" wp14:anchorId="789C2CE6" wp14:editId="1A7375B5">
                        <wp:extent cx="6267450" cy="4057650"/>
                        <wp:effectExtent l="0" t="0" r="19050" b="19050"/>
                        <wp:docPr id="2128922045" name="Diagrama 2128922045"/>
                        <wp:cNvGraphicFramePr/>
                        <a:graphic xmlns:a="http://schemas.openxmlformats.org/drawingml/2006/main">
                          <a:graphicData uri="http://schemas.openxmlformats.org/drawingml/2006/diagram">
                            <dgm:relIds xmlns:dgm="http://schemas.openxmlformats.org/drawingml/2006/diagram" r:dm="rId19" r:lo="rId20" r:qs="rId21" r:cs="rId22"/>
                          </a:graphicData>
                        </a:graphic>
                      </wp:inline>
                    </w:drawing>
                  </w:r>
                </w:p>
                <w:p>
                  <w:pPr>
                    <w:rPr>
                      <w:b/>
                      <w:strike/>
                    </w:rPr>
                  </w:pPr>
                </w:p>
                <w:tbl>
                  <w:tblPr>
                    <w:tblW w:w="9958"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9958"/>
                  </w:tblGrid>
                  <w:tr>
                    <w:trPr>
                      <w:trHeight w:val="762"/>
                      <w:jc w:val="center"/>
                    </w:trPr>
                    <w:tc>
                      <w:tcPr>
                        <w:tcW w:w="9958" w:type="dxa"/>
                      </w:tcPr>
                      <w:p>
                        <w:pPr>
                          <w:ind w:firstLine="731"/>
                          <w:jc w:val="both"/>
                          <w:rPr>
                            <w:b/>
                          </w:rPr>
                        </w:pPr>
                        <w:r>
                          <w:rPr>
                            <w:b/>
                          </w:rPr>
                          <w:t>Programos parengimo argumentai</w:t>
                        </w:r>
                      </w:p>
                      <w:p>
                        <w:pPr>
                          <w:ind w:firstLine="731"/>
                          <w:jc w:val="both"/>
                          <w:rPr>
                            <w:b/>
                          </w:rPr>
                        </w:pPr>
                        <w:r>
                          <w:t xml:space="preserve">Ši programa parengta, siekiant užtikrinti socialiai pažeidžiamų gyventojų grupių socialinę integraciją bei efektyvią socialinę apsaugą. Programoje įgyvendinamos valstybinės (valstybės perduotos savivaldybėms) ir savarankiškos savivaldybės funkcijos: socialinių išmokų skaičiavimas ir mokėjimas;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 materialinio nepritekliaus mažinimo programos vykdymas iš Europos struktūrinių fondų, socialinių paslaugų organizavimas ir administravimas, socialinių paslaugų įstaigų steigimas, išlaikymas ir bendradarbiavimas su nevyriausybinėmis organizacijomis; sąlygų savivaldybės teritorijoje gyvenančių neįgaliųjų socialiniam integravimui į bendruomenę sudarymas, užimtumo didinimo programos įgyvendinimas. </w:t>
                        </w:r>
                      </w:p>
                    </w:tc>
                  </w:tr>
                </w:tbl>
                <w:p/>
                <w:tbl>
                  <w:tblPr>
                    <w:tblW w:w="9917"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9917"/>
                  </w:tblGrid>
                  <w:tr>
                    <w:trPr>
                      <w:jc w:val="center"/>
                    </w:trPr>
                    <w:tc>
                      <w:tcPr>
                        <w:tcW w:w="9917" w:type="dxa"/>
                      </w:tcPr>
                      <w:p>
                        <w:pPr>
                          <w:ind w:firstLine="731"/>
                          <w:rPr>
                            <w:b/>
                          </w:rPr>
                        </w:pPr>
                        <w:r>
                          <w:rPr>
                            <w:b/>
                          </w:rPr>
                          <w:t>Numatomas programos įgyvendinimo rezultatas:</w:t>
                        </w:r>
                      </w:p>
                      <w:p>
                        <w:pPr>
                          <w:ind w:firstLine="731"/>
                          <w:rPr>
                            <w:b/>
                          </w:rPr>
                        </w:pPr>
                        <w:r>
                          <w:t>Įvairioms gyventojų socialinėms grupėms bus sudaryta galimybė integruotis į visuomenę, nežeminant žmogiškojo orumo ir siekiant užtikrinti normalias gyvenimo sąlygas.</w:t>
                        </w:r>
                      </w:p>
                    </w:tc>
                  </w:tr>
                </w:tbl>
                <w:p>
                  <w:pPr>
                    <w:tabs>
                      <w:tab w:val="center" w:pos="4153"/>
                      <w:tab w:val="right" w:pos="8306"/>
                    </w:tabs>
                    <w:jc w:val="center"/>
                    <w:rPr>
                      <w:b/>
                      <w:bCs/>
                      <w:szCs w:val="24"/>
                    </w:rPr>
                  </w:pPr>
                </w:p>
                <w:tbl>
                  <w:tblPr>
                    <w:tblW w:w="10060"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7792"/>
                    <w:gridCol w:w="2268"/>
                  </w:tblGrid>
                  <w:tr>
                    <w:trPr>
                      <w:cantSplit/>
                      <w:tblHeader/>
                      <w:jc w:val="center"/>
                    </w:trPr>
                    <w:tc>
                      <w:tcPr>
                        <w:tcW w:w="7792" w:type="dxa"/>
                        <w:shd w:val="clear" w:color="auto" w:fill="FFE8CB"/>
                      </w:tcPr>
                      <w:p>
                        <w:pPr>
                          <w:tabs>
                            <w:tab w:val="center" w:pos="4153"/>
                            <w:tab w:val="right" w:pos="8306"/>
                          </w:tabs>
                          <w:snapToGrid w:val="0"/>
                          <w:jc w:val="center"/>
                          <w:rPr>
                            <w:b/>
                            <w:szCs w:val="24"/>
                          </w:rPr>
                        </w:pPr>
                        <w:r>
                          <w:rPr>
                            <w:b/>
                            <w:szCs w:val="24"/>
                          </w:rPr>
                          <w:t>Programos vykdytojas</w:t>
                        </w:r>
                      </w:p>
                    </w:tc>
                    <w:tc>
                      <w:tcPr>
                        <w:tcW w:w="2268" w:type="dxa"/>
                        <w:shd w:val="clear" w:color="auto" w:fill="FFE8CB"/>
                      </w:tcPr>
                      <w:p>
                        <w:pPr>
                          <w:tabs>
                            <w:tab w:val="center" w:pos="4153"/>
                            <w:tab w:val="right" w:pos="8306"/>
                          </w:tabs>
                          <w:snapToGrid w:val="0"/>
                          <w:jc w:val="center"/>
                          <w:rPr>
                            <w:b/>
                            <w:bCs/>
                            <w:szCs w:val="24"/>
                          </w:rPr>
                        </w:pPr>
                        <w:r>
                          <w:rPr>
                            <w:b/>
                            <w:szCs w:val="24"/>
                          </w:rPr>
                          <w:t>Vykdytojo kodas</w:t>
                        </w:r>
                      </w:p>
                    </w:tc>
                  </w:tr>
                  <w:tr>
                    <w:trPr>
                      <w:trHeight w:val="176"/>
                      <w:jc w:val="center"/>
                    </w:trPr>
                    <w:tc>
                      <w:tcPr>
                        <w:tcW w:w="7792" w:type="dxa"/>
                      </w:tcPr>
                      <w:p>
                        <w:r>
                          <w:t>Radviliškio rajono savivaldybės administracija</w:t>
                        </w:r>
                      </w:p>
                    </w:tc>
                    <w:tc>
                      <w:tcPr>
                        <w:tcW w:w="2268" w:type="dxa"/>
                      </w:tcPr>
                      <w:p>
                        <w:pPr>
                          <w:jc w:val="center"/>
                          <w:rPr>
                            <w:szCs w:val="24"/>
                          </w:rPr>
                        </w:pPr>
                        <w:r>
                          <w:rPr>
                            <w:szCs w:val="24"/>
                          </w:rPr>
                          <w:t>188726247</w:t>
                        </w:r>
                      </w:p>
                    </w:tc>
                  </w:tr>
                  <w:tr>
                    <w:trPr>
                      <w:trHeight w:val="176"/>
                      <w:jc w:val="center"/>
                    </w:trPr>
                    <w:tc>
                      <w:tcPr>
                        <w:tcW w:w="7792" w:type="dxa"/>
                      </w:tcPr>
                      <w:p>
                        <w:r>
                          <w:rPr>
                            <w:color w:val="000000"/>
                            <w:sz w:val="22"/>
                            <w:szCs w:val="22"/>
                          </w:rPr>
                          <w:t>Radviliškio rajono savivaldybės administracijos socialinės paramos skyrius</w:t>
                        </w:r>
                      </w:p>
                    </w:tc>
                    <w:tc>
                      <w:tcPr>
                        <w:tcW w:w="2268" w:type="dxa"/>
                      </w:tcPr>
                      <w:p>
                        <w:pPr>
                          <w:jc w:val="center"/>
                          <w:rPr>
                            <w:szCs w:val="24"/>
                          </w:rPr>
                        </w:pPr>
                        <w:r>
                          <w:rPr>
                            <w:szCs w:val="24"/>
                          </w:rPr>
                          <w:t>188726247</w:t>
                        </w:r>
                      </w:p>
                    </w:tc>
                  </w:tr>
                  <w:tr>
                    <w:trPr>
                      <w:jc w:val="center"/>
                    </w:trPr>
                    <w:tc>
                      <w:tcPr>
                        <w:tcW w:w="7792" w:type="dxa"/>
                      </w:tcPr>
                      <w:p>
                        <w:r>
                          <w:t>Radviliškio rajono savivaldybės švietimo ir sporto paslaugų centras</w:t>
                        </w:r>
                      </w:p>
                    </w:tc>
                    <w:tc>
                      <w:tcPr>
                        <w:tcW w:w="2268" w:type="dxa"/>
                      </w:tcPr>
                      <w:p>
                        <w:pPr>
                          <w:jc w:val="center"/>
                        </w:pPr>
                        <w:r>
                          <w:t>302296387</w:t>
                        </w:r>
                      </w:p>
                    </w:tc>
                  </w:tr>
                  <w:tr>
                    <w:trPr>
                      <w:jc w:val="center"/>
                    </w:trPr>
                    <w:tc>
                      <w:tcPr>
                        <w:tcW w:w="7792" w:type="dxa"/>
                        <w:vAlign w:val="bottom"/>
                      </w:tcPr>
                      <w:p>
                        <w:pPr>
                          <w:rPr>
                            <w:szCs w:val="24"/>
                          </w:rPr>
                        </w:pPr>
                        <w:r>
                          <w:rPr>
                            <w:color w:val="000000"/>
                            <w:szCs w:val="24"/>
                          </w:rPr>
                          <w:t>Radviliškio pagalbos šeimai centras</w:t>
                        </w:r>
                      </w:p>
                    </w:tc>
                    <w:tc>
                      <w:tcPr>
                        <w:tcW w:w="2268" w:type="dxa"/>
                        <w:vAlign w:val="bottom"/>
                      </w:tcPr>
                      <w:p>
                        <w:pPr>
                          <w:jc w:val="center"/>
                          <w:rPr>
                            <w:szCs w:val="24"/>
                          </w:rPr>
                        </w:pPr>
                        <w:r>
                          <w:rPr>
                            <w:color w:val="000000"/>
                            <w:szCs w:val="24"/>
                          </w:rPr>
                          <w:t>195220531</w:t>
                        </w:r>
                      </w:p>
                    </w:tc>
                  </w:tr>
                  <w:tr>
                    <w:trPr>
                      <w:jc w:val="center"/>
                    </w:trPr>
                    <w:tc>
                      <w:tcPr>
                        <w:tcW w:w="7792" w:type="dxa"/>
                        <w:vAlign w:val="bottom"/>
                      </w:tcPr>
                      <w:p>
                        <w:pPr>
                          <w:rPr>
                            <w:szCs w:val="24"/>
                          </w:rPr>
                        </w:pPr>
                        <w:r>
                          <w:rPr>
                            <w:color w:val="000000"/>
                            <w:szCs w:val="24"/>
                          </w:rPr>
                          <w:t>Radviliškio parapijos bendruomenės socialinių paslaugų centras</w:t>
                        </w:r>
                      </w:p>
                    </w:tc>
                    <w:tc>
                      <w:tcPr>
                        <w:tcW w:w="2268" w:type="dxa"/>
                        <w:vAlign w:val="bottom"/>
                      </w:tcPr>
                      <w:p>
                        <w:pPr>
                          <w:jc w:val="center"/>
                          <w:rPr>
                            <w:szCs w:val="24"/>
                          </w:rPr>
                        </w:pPr>
                        <w:r>
                          <w:rPr>
                            <w:color w:val="000000"/>
                            <w:szCs w:val="24"/>
                          </w:rPr>
                          <w:t>302580487</w:t>
                        </w:r>
                      </w:p>
                    </w:tc>
                  </w:tr>
                  <w:tr>
                    <w:trPr>
                      <w:jc w:val="center"/>
                    </w:trPr>
                    <w:tc>
                      <w:tcPr>
                        <w:tcW w:w="7792" w:type="dxa"/>
                        <w:vAlign w:val="bottom"/>
                      </w:tcPr>
                      <w:p>
                        <w:pPr>
                          <w:rPr>
                            <w:color w:val="000000"/>
                            <w:szCs w:val="24"/>
                          </w:rPr>
                        </w:pPr>
                        <w:r>
                          <w:rPr>
                            <w:color w:val="000000"/>
                            <w:sz w:val="22"/>
                            <w:szCs w:val="22"/>
                          </w:rPr>
                          <w:t>Šeduvos globos namai</w:t>
                        </w:r>
                      </w:p>
                    </w:tc>
                    <w:tc>
                      <w:tcPr>
                        <w:tcW w:w="2268" w:type="dxa"/>
                        <w:vAlign w:val="bottom"/>
                      </w:tcPr>
                      <w:p>
                        <w:pPr>
                          <w:jc w:val="center"/>
                          <w:rPr>
                            <w:color w:val="000000"/>
                            <w:szCs w:val="24"/>
                          </w:rPr>
                        </w:pPr>
                        <w:r>
                          <w:rPr>
                            <w:color w:val="000000"/>
                            <w:sz w:val="22"/>
                            <w:szCs w:val="22"/>
                          </w:rPr>
                          <w:t>171455916</w:t>
                        </w:r>
                      </w:p>
                    </w:tc>
                  </w:tr>
                  <w:tr>
                    <w:trPr>
                      <w:jc w:val="center"/>
                    </w:trPr>
                    <w:tc>
                      <w:tcPr>
                        <w:tcW w:w="7792" w:type="dxa"/>
                        <w:vAlign w:val="bottom"/>
                      </w:tcPr>
                      <w:p>
                        <w:pPr>
                          <w:rPr>
                            <w:color w:val="000000"/>
                            <w:szCs w:val="24"/>
                          </w:rPr>
                        </w:pPr>
                        <w:r>
                          <w:rPr>
                            <w:color w:val="000000"/>
                            <w:sz w:val="22"/>
                            <w:szCs w:val="22"/>
                          </w:rPr>
                          <w:t>Daugyvenės kultūros istorijos muziejus-draustinis</w:t>
                        </w:r>
                      </w:p>
                    </w:tc>
                    <w:tc>
                      <w:tcPr>
                        <w:tcW w:w="2268" w:type="dxa"/>
                        <w:vAlign w:val="bottom"/>
                      </w:tcPr>
                      <w:p>
                        <w:pPr>
                          <w:jc w:val="center"/>
                          <w:rPr>
                            <w:color w:val="000000"/>
                            <w:szCs w:val="24"/>
                          </w:rPr>
                        </w:pPr>
                        <w:r>
                          <w:rPr>
                            <w:color w:val="000000"/>
                            <w:sz w:val="22"/>
                            <w:szCs w:val="22"/>
                          </w:rPr>
                          <w:t>188208646</w:t>
                        </w:r>
                      </w:p>
                    </w:tc>
                  </w:tr>
                  <w:tr>
                    <w:trPr>
                      <w:jc w:val="center"/>
                    </w:trPr>
                    <w:tc>
                      <w:tcPr>
                        <w:tcW w:w="7792" w:type="dxa"/>
                      </w:tcPr>
                      <w:p>
                        <w:r>
                          <w:t>Baisogalos gimnazija</w:t>
                        </w:r>
                      </w:p>
                    </w:tc>
                    <w:tc>
                      <w:tcPr>
                        <w:tcW w:w="2268" w:type="dxa"/>
                      </w:tcPr>
                      <w:p>
                        <w:pPr>
                          <w:jc w:val="center"/>
                        </w:pPr>
                        <w:r>
                          <w:t>190672543</w:t>
                        </w:r>
                      </w:p>
                    </w:tc>
                  </w:tr>
                  <w:tr>
                    <w:trPr>
                      <w:jc w:val="center"/>
                    </w:trPr>
                    <w:tc>
                      <w:tcPr>
                        <w:tcW w:w="7792" w:type="dxa"/>
                      </w:tcPr>
                      <w:p>
                        <w:r>
                          <w:t>Lizdeikos gimnazija</w:t>
                        </w:r>
                      </w:p>
                    </w:tc>
                    <w:tc>
                      <w:tcPr>
                        <w:tcW w:w="2268" w:type="dxa"/>
                      </w:tcPr>
                      <w:p>
                        <w:pPr>
                          <w:jc w:val="center"/>
                        </w:pPr>
                        <w:r>
                          <w:t>190670535</w:t>
                        </w:r>
                      </w:p>
                    </w:tc>
                  </w:tr>
                  <w:tr>
                    <w:trPr>
                      <w:jc w:val="center"/>
                    </w:trPr>
                    <w:tc>
                      <w:tcPr>
                        <w:tcW w:w="7792" w:type="dxa"/>
                      </w:tcPr>
                      <w:p>
                        <w:r>
                          <w:t>BĮ Vaižganto progimnazija</w:t>
                        </w:r>
                      </w:p>
                    </w:tc>
                    <w:tc>
                      <w:tcPr>
                        <w:tcW w:w="2268" w:type="dxa"/>
                      </w:tcPr>
                      <w:p>
                        <w:pPr>
                          <w:jc w:val="center"/>
                          <w:rPr>
                            <w:bCs/>
                          </w:rPr>
                        </w:pPr>
                        <w:r>
                          <w:rPr>
                            <w:bCs/>
                          </w:rPr>
                          <w:t>195220684</w:t>
                        </w:r>
                      </w:p>
                    </w:tc>
                  </w:tr>
                  <w:tr>
                    <w:trPr>
                      <w:jc w:val="center"/>
                    </w:trPr>
                    <w:tc>
                      <w:tcPr>
                        <w:tcW w:w="7792" w:type="dxa"/>
                      </w:tcPr>
                      <w:p>
                        <w:r>
                          <w:t>BĮ Šeduvos gimnazija</w:t>
                        </w:r>
                      </w:p>
                    </w:tc>
                    <w:tc>
                      <w:tcPr>
                        <w:tcW w:w="2268" w:type="dxa"/>
                      </w:tcPr>
                      <w:p>
                        <w:pPr>
                          <w:jc w:val="center"/>
                          <w:rPr>
                            <w:bCs/>
                          </w:rPr>
                        </w:pPr>
                        <w:r>
                          <w:rPr>
                            <w:bCs/>
                          </w:rPr>
                          <w:t>290671780</w:t>
                        </w:r>
                      </w:p>
                    </w:tc>
                  </w:tr>
                  <w:tr>
                    <w:trPr>
                      <w:trHeight w:val="142"/>
                      <w:jc w:val="center"/>
                    </w:trPr>
                    <w:tc>
                      <w:tcPr>
                        <w:tcW w:w="7792" w:type="dxa"/>
                      </w:tcPr>
                      <w:p>
                        <w:r>
                          <w:rPr>
                            <w:color w:val="000000"/>
                            <w:sz w:val="22"/>
                            <w:szCs w:val="22"/>
                          </w:rPr>
                          <w:t>Grinkiškio Jono Poderio pagrindinė mokykla</w:t>
                        </w:r>
                      </w:p>
                    </w:tc>
                    <w:tc>
                      <w:tcPr>
                        <w:tcW w:w="2268" w:type="dxa"/>
                      </w:tcPr>
                      <w:p>
                        <w:pPr>
                          <w:jc w:val="center"/>
                          <w:rPr>
                            <w:color w:val="000000"/>
                            <w:szCs w:val="24"/>
                          </w:rPr>
                        </w:pPr>
                        <w:r>
                          <w:rPr>
                            <w:bCs/>
                            <w:color w:val="000000"/>
                            <w:szCs w:val="24"/>
                            <w:lang w:val="en-US"/>
                          </w:rPr>
                          <w:t>190672739</w:t>
                        </w:r>
                      </w:p>
                    </w:tc>
                  </w:tr>
                  <w:tr>
                    <w:trPr>
                      <w:jc w:val="center"/>
                    </w:trPr>
                    <w:tc>
                      <w:tcPr>
                        <w:tcW w:w="7792" w:type="dxa"/>
                      </w:tcPr>
                      <w:p>
                        <w:r>
                          <w:rPr>
                            <w:color w:val="000000"/>
                            <w:sz w:val="22"/>
                            <w:szCs w:val="22"/>
                          </w:rPr>
                          <w:t>Sidabravo pagrindinė mokykla</w:t>
                        </w:r>
                      </w:p>
                    </w:tc>
                    <w:tc>
                      <w:tcPr>
                        <w:tcW w:w="2268" w:type="dxa"/>
                      </w:tcPr>
                      <w:p>
                        <w:pPr>
                          <w:jc w:val="center"/>
                          <w:rPr>
                            <w:color w:val="000000"/>
                            <w:szCs w:val="24"/>
                          </w:rPr>
                        </w:pPr>
                        <w:r>
                          <w:rPr>
                            <w:color w:val="000000"/>
                            <w:szCs w:val="24"/>
                            <w:lang w:val="en-US"/>
                          </w:rPr>
                          <w:t>190673798</w:t>
                        </w:r>
                      </w:p>
                    </w:tc>
                  </w:tr>
                  <w:tr>
                    <w:trPr>
                      <w:jc w:val="center"/>
                    </w:trPr>
                    <w:tc>
                      <w:tcPr>
                        <w:tcW w:w="7792" w:type="dxa"/>
                      </w:tcPr>
                      <w:p>
                        <w:pPr>
                          <w:rPr>
                            <w:color w:val="000000"/>
                            <w:szCs w:val="24"/>
                          </w:rPr>
                        </w:pPr>
                        <w:r>
                          <w:rPr>
                            <w:color w:val="000000"/>
                            <w:szCs w:val="24"/>
                            <w:lang w:val="en-US"/>
                          </w:rPr>
                          <w:t xml:space="preserve">Šiaulėnų Marcelionio Šikšnio gimnazija </w:t>
                        </w:r>
                      </w:p>
                    </w:tc>
                    <w:tc>
                      <w:tcPr>
                        <w:tcW w:w="2268" w:type="dxa"/>
                      </w:tcPr>
                      <w:p>
                        <w:pPr>
                          <w:jc w:val="center"/>
                          <w:rPr>
                            <w:color w:val="000000"/>
                            <w:szCs w:val="24"/>
                          </w:rPr>
                        </w:pPr>
                        <w:r>
                          <w:rPr>
                            <w:color w:val="000000"/>
                            <w:szCs w:val="24"/>
                            <w:lang w:val="en-US"/>
                          </w:rPr>
                          <w:t>190673983</w:t>
                        </w:r>
                      </w:p>
                    </w:tc>
                  </w:tr>
                  <w:tr>
                    <w:trPr>
                      <w:jc w:val="center"/>
                    </w:trPr>
                    <w:tc>
                      <w:tcPr>
                        <w:tcW w:w="7792" w:type="dxa"/>
                      </w:tcPr>
                      <w:p>
                        <w:pPr>
                          <w:rPr>
                            <w:color w:val="000000"/>
                            <w:szCs w:val="24"/>
                          </w:rPr>
                        </w:pPr>
                        <w:r>
                          <w:rPr>
                            <w:color w:val="000000"/>
                            <w:szCs w:val="24"/>
                            <w:lang w:val="en-US"/>
                          </w:rPr>
                          <w:t>Alksniupių pagrindinė mokykla</w:t>
                        </w:r>
                      </w:p>
                    </w:tc>
                    <w:tc>
                      <w:tcPr>
                        <w:tcW w:w="2268" w:type="dxa"/>
                      </w:tcPr>
                      <w:p>
                        <w:pPr>
                          <w:jc w:val="center"/>
                          <w:rPr>
                            <w:color w:val="000000"/>
                            <w:szCs w:val="24"/>
                          </w:rPr>
                        </w:pPr>
                        <w:r>
                          <w:rPr>
                            <w:color w:val="000000"/>
                            <w:szCs w:val="24"/>
                            <w:lang w:val="en-US"/>
                          </w:rPr>
                          <w:t xml:space="preserve">190672162 </w:t>
                        </w:r>
                      </w:p>
                    </w:tc>
                  </w:tr>
                  <w:tr>
                    <w:trPr>
                      <w:jc w:val="center"/>
                    </w:trPr>
                    <w:tc>
                      <w:tcPr>
                        <w:tcW w:w="7792" w:type="dxa"/>
                      </w:tcPr>
                      <w:p>
                        <w:pPr>
                          <w:rPr>
                            <w:color w:val="000000"/>
                            <w:szCs w:val="24"/>
                          </w:rPr>
                        </w:pPr>
                        <w:r>
                          <w:rPr>
                            <w:color w:val="000000"/>
                            <w:szCs w:val="24"/>
                            <w:lang w:val="en-US"/>
                          </w:rPr>
                          <w:t>BĮ Gražinos pagrindinė mokykla</w:t>
                        </w:r>
                      </w:p>
                    </w:tc>
                    <w:tc>
                      <w:tcPr>
                        <w:tcW w:w="2268" w:type="dxa"/>
                      </w:tcPr>
                      <w:p>
                        <w:pPr>
                          <w:jc w:val="center"/>
                          <w:rPr>
                            <w:color w:val="000000"/>
                            <w:szCs w:val="24"/>
                          </w:rPr>
                        </w:pPr>
                        <w:r>
                          <w:rPr>
                            <w:color w:val="000000"/>
                            <w:szCs w:val="24"/>
                            <w:lang w:val="en-US"/>
                          </w:rPr>
                          <w:t>190671637</w:t>
                        </w:r>
                      </w:p>
                    </w:tc>
                  </w:tr>
                  <w:tr>
                    <w:trPr>
                      <w:jc w:val="center"/>
                    </w:trPr>
                    <w:tc>
                      <w:tcPr>
                        <w:tcW w:w="7792" w:type="dxa"/>
                      </w:tcPr>
                      <w:p>
                        <w:r>
                          <w:rPr>
                            <w:color w:val="000000"/>
                            <w:szCs w:val="24"/>
                          </w:rPr>
                          <w:t>BĮ Pociūnėlių pagrindinė mokykla</w:t>
                        </w:r>
                      </w:p>
                    </w:tc>
                    <w:tc>
                      <w:tcPr>
                        <w:tcW w:w="2268" w:type="dxa"/>
                      </w:tcPr>
                      <w:p>
                        <w:pPr>
                          <w:jc w:val="center"/>
                          <w:rPr>
                            <w:bCs/>
                          </w:rPr>
                        </w:pPr>
                        <w:r>
                          <w:rPr>
                            <w:color w:val="000000"/>
                            <w:szCs w:val="24"/>
                          </w:rPr>
                          <w:t>290673450</w:t>
                        </w:r>
                      </w:p>
                    </w:tc>
                  </w:tr>
                  <w:tr>
                    <w:trPr>
                      <w:jc w:val="center"/>
                    </w:trPr>
                    <w:tc>
                      <w:tcPr>
                        <w:tcW w:w="7792" w:type="dxa"/>
                      </w:tcPr>
                      <w:p>
                        <w:pPr>
                          <w:rPr>
                            <w:color w:val="000000"/>
                            <w:szCs w:val="24"/>
                          </w:rPr>
                        </w:pPr>
                        <w:r>
                          <w:rPr>
                            <w:color w:val="000000"/>
                            <w:szCs w:val="24"/>
                            <w:lang w:val="en-US"/>
                          </w:rPr>
                          <w:t>BĮ Vinco Kudirkos progimnazija</w:t>
                        </w:r>
                      </w:p>
                    </w:tc>
                    <w:tc>
                      <w:tcPr>
                        <w:tcW w:w="2268" w:type="dxa"/>
                      </w:tcPr>
                      <w:p>
                        <w:pPr>
                          <w:jc w:val="center"/>
                          <w:rPr>
                            <w:color w:val="000000"/>
                            <w:szCs w:val="24"/>
                          </w:rPr>
                        </w:pPr>
                        <w:r>
                          <w:rPr>
                            <w:color w:val="000000"/>
                            <w:szCs w:val="24"/>
                            <w:lang w:val="en-US"/>
                          </w:rPr>
                          <w:t>190670720</w:t>
                        </w:r>
                      </w:p>
                    </w:tc>
                  </w:tr>
                  <w:tr>
                    <w:trPr>
                      <w:jc w:val="center"/>
                    </w:trPr>
                    <w:tc>
                      <w:tcPr>
                        <w:tcW w:w="7792" w:type="dxa"/>
                      </w:tcPr>
                      <w:p>
                        <w:pPr>
                          <w:rPr>
                            <w:color w:val="000000"/>
                            <w:szCs w:val="24"/>
                          </w:rPr>
                        </w:pPr>
                        <w:r>
                          <w:rPr>
                            <w:color w:val="000000"/>
                            <w:szCs w:val="24"/>
                            <w:lang w:val="en-US"/>
                          </w:rPr>
                          <w:t>BĮ Baisogalos mokykla-darželis</w:t>
                        </w:r>
                      </w:p>
                    </w:tc>
                    <w:tc>
                      <w:tcPr>
                        <w:tcW w:w="2268" w:type="dxa"/>
                      </w:tcPr>
                      <w:p>
                        <w:pPr>
                          <w:jc w:val="center"/>
                          <w:rPr>
                            <w:color w:val="000000"/>
                            <w:szCs w:val="24"/>
                          </w:rPr>
                        </w:pPr>
                        <w:r>
                          <w:rPr>
                            <w:color w:val="000000"/>
                            <w:szCs w:val="24"/>
                            <w:lang w:val="en-US"/>
                          </w:rPr>
                          <w:t>190714921</w:t>
                        </w:r>
                      </w:p>
                    </w:tc>
                  </w:tr>
                  <w:tr>
                    <w:trPr>
                      <w:jc w:val="center"/>
                    </w:trPr>
                    <w:tc>
                      <w:tcPr>
                        <w:tcW w:w="7792" w:type="dxa"/>
                      </w:tcPr>
                      <w:p>
                        <w:pPr>
                          <w:rPr>
                            <w:color w:val="000000"/>
                            <w:szCs w:val="24"/>
                          </w:rPr>
                        </w:pPr>
                        <w:r>
                          <w:rPr>
                            <w:color w:val="000000"/>
                            <w:szCs w:val="24"/>
                            <w:lang w:val="en-US"/>
                          </w:rPr>
                          <w:t xml:space="preserve">BĮ Radviliškio lopšelis-darželis „Žvaigždutė” </w:t>
                        </w:r>
                      </w:p>
                    </w:tc>
                    <w:tc>
                      <w:tcPr>
                        <w:tcW w:w="2268" w:type="dxa"/>
                      </w:tcPr>
                      <w:p>
                        <w:pPr>
                          <w:jc w:val="center"/>
                        </w:pPr>
                        <w:r>
                          <w:rPr>
                            <w:color w:val="000000"/>
                            <w:szCs w:val="24"/>
                          </w:rPr>
                          <w:t>190714693</w:t>
                        </w:r>
                      </w:p>
                    </w:tc>
                  </w:tr>
                  <w:tr>
                    <w:trPr>
                      <w:jc w:val="center"/>
                    </w:trPr>
                    <w:tc>
                      <w:tcPr>
                        <w:tcW w:w="7792" w:type="dxa"/>
                      </w:tcPr>
                      <w:p>
                        <w:pPr>
                          <w:rPr>
                            <w:color w:val="000000"/>
                            <w:szCs w:val="24"/>
                          </w:rPr>
                        </w:pPr>
                        <w:r>
                          <w:rPr>
                            <w:color w:val="000000"/>
                            <w:szCs w:val="24"/>
                            <w:lang w:val="en-US"/>
                          </w:rPr>
                          <w:t>BĮ</w:t>
                        </w:r>
                        <w:r>
                          <w:rPr>
                            <w:bCs/>
                            <w:color w:val="000000"/>
                            <w:szCs w:val="24"/>
                            <w:lang w:val="en-US"/>
                          </w:rPr>
                          <w:t xml:space="preserve"> Radviliškio lopšelis-darželis „Eglutė“ </w:t>
                        </w:r>
                      </w:p>
                    </w:tc>
                    <w:tc>
                      <w:tcPr>
                        <w:tcW w:w="2268" w:type="dxa"/>
                      </w:tcPr>
                      <w:p>
                        <w:pPr>
                          <w:jc w:val="center"/>
                          <w:rPr>
                            <w:color w:val="000000"/>
                            <w:szCs w:val="24"/>
                          </w:rPr>
                        </w:pPr>
                        <w:r>
                          <w:rPr>
                            <w:bCs/>
                            <w:color w:val="000000"/>
                            <w:szCs w:val="24"/>
                            <w:lang w:val="en-US"/>
                          </w:rPr>
                          <w:t>190714736</w:t>
                        </w:r>
                      </w:p>
                    </w:tc>
                  </w:tr>
                  <w:tr>
                    <w:trPr>
                      <w:jc w:val="center"/>
                    </w:trPr>
                    <w:tc>
                      <w:tcPr>
                        <w:tcW w:w="7792" w:type="dxa"/>
                      </w:tcPr>
                      <w:p>
                        <w:r>
                          <w:rPr>
                            <w:color w:val="000000"/>
                            <w:szCs w:val="24"/>
                          </w:rPr>
                          <w:t xml:space="preserve">BĮ Radviliškio lopšelis-darželis „Kregždutė“ </w:t>
                        </w:r>
                      </w:p>
                    </w:tc>
                    <w:tc>
                      <w:tcPr>
                        <w:tcW w:w="2268" w:type="dxa"/>
                      </w:tcPr>
                      <w:p>
                        <w:pPr>
                          <w:jc w:val="center"/>
                        </w:pPr>
                        <w:r>
                          <w:rPr>
                            <w:color w:val="000000"/>
                            <w:szCs w:val="24"/>
                          </w:rPr>
                          <w:t>190714355</w:t>
                        </w:r>
                      </w:p>
                    </w:tc>
                  </w:tr>
                  <w:tr>
                    <w:trPr>
                      <w:jc w:val="center"/>
                    </w:trPr>
                    <w:tc>
                      <w:tcPr>
                        <w:tcW w:w="7792" w:type="dxa"/>
                      </w:tcPr>
                      <w:p>
                        <w:pPr>
                          <w:rPr>
                            <w:color w:val="000000"/>
                            <w:szCs w:val="24"/>
                          </w:rPr>
                        </w:pPr>
                        <w:r>
                          <w:rPr>
                            <w:color w:val="000000"/>
                            <w:szCs w:val="24"/>
                            <w:lang w:val="en-US"/>
                          </w:rPr>
                          <w:t>BĮ</w:t>
                        </w:r>
                        <w:r>
                          <w:rPr>
                            <w:bCs/>
                            <w:color w:val="000000"/>
                            <w:szCs w:val="24"/>
                            <w:lang w:val="en-US"/>
                          </w:rPr>
                          <w:t xml:space="preserve"> Šeduvos lopšelis-darželis</w:t>
                        </w:r>
                      </w:p>
                    </w:tc>
                    <w:tc>
                      <w:tcPr>
                        <w:tcW w:w="2268" w:type="dxa"/>
                      </w:tcPr>
                      <w:p>
                        <w:pPr>
                          <w:jc w:val="center"/>
                        </w:pPr>
                        <w:r>
                          <w:rPr>
                            <w:bCs/>
                          </w:rPr>
                          <w:t>290714160</w:t>
                        </w:r>
                      </w:p>
                    </w:tc>
                  </w:tr>
                  <w:tr>
                    <w:trPr>
                      <w:jc w:val="center"/>
                    </w:trPr>
                    <w:tc>
                      <w:tcPr>
                        <w:tcW w:w="7792" w:type="dxa"/>
                        <w:vAlign w:val="bottom"/>
                      </w:tcPr>
                      <w:p>
                        <w:pPr>
                          <w:rPr>
                            <w:color w:val="000000"/>
                            <w:szCs w:val="24"/>
                            <w:lang w:val="en-US"/>
                          </w:rPr>
                        </w:pPr>
                        <w:r>
                          <w:rPr>
                            <w:color w:val="000000"/>
                            <w:sz w:val="22"/>
                            <w:szCs w:val="22"/>
                            <w:lang w:val="en-US"/>
                          </w:rPr>
                          <w:t>Kutiškių universalus daugiafunkcis centras</w:t>
                        </w:r>
                      </w:p>
                    </w:tc>
                    <w:tc>
                      <w:tcPr>
                        <w:tcW w:w="2268" w:type="dxa"/>
                        <w:vAlign w:val="bottom"/>
                      </w:tcPr>
                      <w:p>
                        <w:pPr>
                          <w:jc w:val="center"/>
                          <w:rPr>
                            <w:bCs/>
                          </w:rPr>
                        </w:pPr>
                        <w:r>
                          <w:rPr>
                            <w:color w:val="000000"/>
                            <w:sz w:val="22"/>
                            <w:szCs w:val="22"/>
                          </w:rPr>
                          <w:t>302540140</w:t>
                        </w:r>
                      </w:p>
                    </w:tc>
                  </w:tr>
                  <w:tr>
                    <w:trPr>
                      <w:jc w:val="center"/>
                    </w:trPr>
                    <w:tc>
                      <w:tcPr>
                        <w:tcW w:w="7792" w:type="dxa"/>
                        <w:vAlign w:val="bottom"/>
                      </w:tcPr>
                      <w:p>
                        <w:pPr>
                          <w:rPr>
                            <w:color w:val="000000"/>
                            <w:szCs w:val="24"/>
                            <w:lang w:val="en-US"/>
                          </w:rPr>
                        </w:pPr>
                        <w:r>
                          <w:rPr>
                            <w:color w:val="000000"/>
                            <w:sz w:val="22"/>
                            <w:szCs w:val="22"/>
                            <w:lang w:val="en-US"/>
                          </w:rPr>
                          <w:t>Radviliškio dailės mokykla</w:t>
                        </w:r>
                      </w:p>
                    </w:tc>
                    <w:tc>
                      <w:tcPr>
                        <w:tcW w:w="2268" w:type="dxa"/>
                        <w:vAlign w:val="bottom"/>
                      </w:tcPr>
                      <w:p>
                        <w:pPr>
                          <w:jc w:val="center"/>
                          <w:rPr>
                            <w:bCs/>
                          </w:rPr>
                        </w:pPr>
                        <w:r>
                          <w:rPr>
                            <w:color w:val="000000"/>
                            <w:sz w:val="22"/>
                            <w:szCs w:val="22"/>
                          </w:rPr>
                          <w:t>190713972</w:t>
                        </w:r>
                      </w:p>
                    </w:tc>
                  </w:tr>
                  <w:tr>
                    <w:trPr>
                      <w:jc w:val="center"/>
                    </w:trPr>
                    <w:tc>
                      <w:tcPr>
                        <w:tcW w:w="7792" w:type="dxa"/>
                        <w:vAlign w:val="bottom"/>
                      </w:tcPr>
                      <w:p>
                        <w:pPr>
                          <w:rPr>
                            <w:color w:val="000000"/>
                            <w:szCs w:val="24"/>
                            <w:lang w:val="en-US"/>
                          </w:rPr>
                        </w:pPr>
                        <w:r>
                          <w:rPr>
                            <w:color w:val="000000"/>
                            <w:sz w:val="22"/>
                            <w:szCs w:val="22"/>
                            <w:lang w:val="en-US"/>
                          </w:rPr>
                          <w:t>Radviliškio muzikos mokykla</w:t>
                        </w:r>
                      </w:p>
                    </w:tc>
                    <w:tc>
                      <w:tcPr>
                        <w:tcW w:w="2268" w:type="dxa"/>
                        <w:vAlign w:val="bottom"/>
                      </w:tcPr>
                      <w:p>
                        <w:pPr>
                          <w:jc w:val="center"/>
                          <w:rPr>
                            <w:bCs/>
                          </w:rPr>
                        </w:pPr>
                        <w:r>
                          <w:rPr>
                            <w:color w:val="000000"/>
                            <w:sz w:val="22"/>
                            <w:szCs w:val="22"/>
                          </w:rPr>
                          <w:t>290713820</w:t>
                        </w:r>
                      </w:p>
                    </w:tc>
                  </w:tr>
                </w:tbl>
                <w:p>
                  <w:pPr>
                    <w:jc w:val="center"/>
                    <w:rPr>
                      <w:b/>
                      <w:bCs/>
                      <w:szCs w:val="24"/>
                    </w:rPr>
                  </w:pPr>
                </w:p>
              </w:sdtContent>
            </w:sdt>
            <w:sdt>
              <w:sdtPr>
                <w:alias w:val="poskyris"/>
                <w:tag w:val="part_5fcd285d6885435e9081f60cb6a708d1"/>
                <w:lock w:val="sdtLocked"/>
                <w:richText/>
              </w:sdtPr>
              <w:sdtContent>
                <w:p>
                  <w:pPr>
                    <w:jc w:val="center"/>
                    <w:rPr>
                      <w:b/>
                      <w:bCs/>
                      <w:szCs w:val="24"/>
                    </w:rPr>
                  </w:pPr>
                  <w:sdt>
                    <w:sdtPr>
                      <w:alias w:val="Pavadinimas"/>
                      <w:tag w:val="title_5fcd285d6885435e9081f60cb6a708d1"/>
                      <w:lock w:val="sdtLocked"/>
                      <w:richText/>
                    </w:sdtPr>
                    <w:sdtContent>
                      <w:r>
                        <w:rPr>
                          <w:b/>
                          <w:bCs/>
                          <w:szCs w:val="24"/>
                        </w:rPr>
                        <w:t>Programos uždaviniai, priemonės ir jų stebėsenos rodikliai</w:t>
                      </w:r>
                    </w:sdtContent>
                  </w:sdt>
                </w:p>
                <w:tbl>
                  <w:tblPr>
                    <w:tblW w:w="4937" w:type="pct"/>
                    <w:tblInd w:w="113"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584"/>
                    <w:gridCol w:w="4185"/>
                    <w:gridCol w:w="873"/>
                    <w:gridCol w:w="1098"/>
                    <w:gridCol w:w="1034"/>
                    <w:gridCol w:w="1550"/>
                  </w:tblGrid>
                  <w:tr>
                    <w:trPr>
                      <w:trHeight w:val="230"/>
                      <w:tblHeader/>
                    </w:trPr>
                    <w:tc>
                      <w:tcPr>
                        <w:tcW w:w="767"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027"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455"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1" w:type="pct"/>
                        <w:vMerge w:val="restart"/>
                        <w:shd w:val="clear" w:color="auto" w:fill="FFE8CB"/>
                      </w:tcPr>
                      <w:p>
                        <w:pPr>
                          <w:spacing w:line="256" w:lineRule="auto"/>
                          <w:jc w:val="center"/>
                          <w:rPr>
                            <w:b/>
                            <w:bCs/>
                            <w:color w:val="000000"/>
                            <w:lang w:eastAsia="lt-LT"/>
                          </w:rPr>
                        </w:pPr>
                        <w:r>
                          <w:rPr>
                            <w:b/>
                            <w:bCs/>
                            <w:color w:val="000000"/>
                            <w:lang w:eastAsia="lt-LT"/>
                          </w:rPr>
                          <w:t>Savivaldybės strateginio plėtros plano rodiklis</w:t>
                        </w:r>
                      </w:p>
                    </w:tc>
                  </w:tr>
                  <w:tr>
                    <w:trPr>
                      <w:trHeight w:val="230"/>
                      <w:tblHeader/>
                    </w:trPr>
                    <w:tc>
                      <w:tcPr>
                        <w:tcW w:w="767" w:type="pct"/>
                        <w:vMerge/>
                        <w:shd w:val="clear" w:color="auto" w:fill="FFE8CB"/>
                        <w:vAlign w:val="center"/>
                        <w:hideMark/>
                      </w:tcPr>
                      <w:p>
                        <w:pPr>
                          <w:spacing w:line="256" w:lineRule="auto"/>
                          <w:rPr>
                            <w:b/>
                            <w:bCs/>
                            <w:lang w:eastAsia="lt-LT"/>
                          </w:rPr>
                        </w:pPr>
                      </w:p>
                    </w:tc>
                    <w:tc>
                      <w:tcPr>
                        <w:tcW w:w="2027" w:type="pct"/>
                        <w:vMerge/>
                        <w:shd w:val="clear" w:color="auto" w:fill="FFE8CB"/>
                        <w:vAlign w:val="center"/>
                        <w:hideMark/>
                      </w:tcPr>
                      <w:p>
                        <w:pPr>
                          <w:spacing w:line="256" w:lineRule="auto"/>
                          <w:rPr>
                            <w:b/>
                            <w:bCs/>
                            <w:color w:val="000000"/>
                            <w:lang w:eastAsia="lt-LT"/>
                          </w:rPr>
                        </w:pPr>
                      </w:p>
                    </w:tc>
                    <w:tc>
                      <w:tcPr>
                        <w:tcW w:w="423"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532"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501"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751" w:type="pct"/>
                        <w:vMerge/>
                        <w:shd w:val="clear" w:color="auto" w:fill="FFE8CB"/>
                      </w:tcPr>
                      <w:p>
                        <w:pPr>
                          <w:spacing w:line="256" w:lineRule="auto"/>
                          <w:jc w:val="center"/>
                          <w:rPr>
                            <w:b/>
                            <w:bCs/>
                            <w:i/>
                            <w:color w:val="000000"/>
                            <w:lang w:eastAsia="lt-LT"/>
                          </w:rPr>
                        </w:pPr>
                      </w:p>
                    </w:tc>
                  </w:tr>
                  <w:tr>
                    <w:trPr>
                      <w:trHeight w:val="42"/>
                      <w:tblHeader/>
                    </w:trPr>
                    <w:tc>
                      <w:tcPr>
                        <w:tcW w:w="767"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027"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2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53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501"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751" w:type="pct"/>
                        <w:shd w:val="clear" w:color="auto" w:fill="FFE8CB"/>
                      </w:tcPr>
                      <w:p>
                        <w:pPr>
                          <w:spacing w:line="256" w:lineRule="auto"/>
                          <w:jc w:val="center"/>
                          <w:rPr>
                            <w:color w:val="000000"/>
                            <w:lang w:eastAsia="lt-LT"/>
                          </w:rPr>
                        </w:pPr>
                        <w:r>
                          <w:rPr>
                            <w:color w:val="000000"/>
                            <w:lang w:eastAsia="lt-LT"/>
                          </w:rPr>
                          <w:t>6</w:t>
                        </w:r>
                      </w:p>
                    </w:tc>
                  </w:tr>
                  <w:tr>
                    <w:tc>
                      <w:tcPr>
                        <w:tcW w:w="767" w:type="pct"/>
                        <w:tcMar>
                          <w:top w:w="28" w:type="dxa"/>
                          <w:left w:w="57" w:type="dxa"/>
                          <w:bottom w:w="28" w:type="dxa"/>
                          <w:right w:w="57" w:type="dxa"/>
                        </w:tcMar>
                      </w:tcPr>
                      <w:p>
                        <w:pPr>
                          <w:spacing w:line="256" w:lineRule="auto"/>
                          <w:rPr>
                            <w:sz w:val="18"/>
                            <w:szCs w:val="18"/>
                            <w:lang w:eastAsia="lt-LT"/>
                          </w:rPr>
                        </w:pPr>
                      </w:p>
                    </w:tc>
                    <w:tc>
                      <w:tcPr>
                        <w:tcW w:w="2027" w:type="pct"/>
                        <w:tcMar>
                          <w:top w:w="28" w:type="dxa"/>
                          <w:left w:w="57" w:type="dxa"/>
                          <w:bottom w:w="28" w:type="dxa"/>
                          <w:right w:w="57" w:type="dxa"/>
                        </w:tcMar>
                      </w:tcPr>
                      <w:p>
                        <w:pPr>
                          <w:spacing w:line="256" w:lineRule="auto"/>
                          <w:rPr>
                            <w:b/>
                            <w:bCs/>
                            <w:sz w:val="18"/>
                            <w:szCs w:val="18"/>
                            <w:lang w:eastAsia="lt-LT"/>
                          </w:rPr>
                        </w:pPr>
                        <w:r>
                          <w:rPr>
                            <w:b/>
                            <w:bCs/>
                            <w:sz w:val="18"/>
                            <w:szCs w:val="18"/>
                          </w:rPr>
                          <w:t xml:space="preserve">1 uždavinys gerinti socialinių paslaugų kokybę, pakankamumą ir pasiekiamumą </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widowControl w:val="0"/>
                          <w:spacing w:line="244" w:lineRule="exact"/>
                          <w:rPr>
                            <w:color w:val="000000"/>
                            <w:sz w:val="18"/>
                            <w:szCs w:val="18"/>
                          </w:rPr>
                        </w:pPr>
                        <w:r>
                          <w:rPr>
                            <w:color w:val="000000"/>
                            <w:sz w:val="18"/>
                            <w:szCs w:val="18"/>
                          </w:rPr>
                          <w:t xml:space="preserve">Socialines </w:t>
                        </w:r>
                        <w:r>
                          <w:rPr>
                            <w:color w:val="000000"/>
                            <w:spacing w:val="-1"/>
                            <w:sz w:val="18"/>
                            <w:szCs w:val="18"/>
                          </w:rPr>
                          <w:t>paslaugas</w:t>
                        </w:r>
                        <w:r>
                          <w:rPr>
                            <w:color w:val="000000"/>
                            <w:spacing w:val="1"/>
                            <w:sz w:val="18"/>
                            <w:szCs w:val="18"/>
                          </w:rPr>
                          <w:t xml:space="preserve"> </w:t>
                        </w:r>
                        <w:r>
                          <w:rPr>
                            <w:color w:val="000000"/>
                            <w:sz w:val="18"/>
                            <w:szCs w:val="18"/>
                          </w:rPr>
                          <w:t>gaunančių</w:t>
                        </w:r>
                      </w:p>
                      <w:p>
                        <w:pPr>
                          <w:widowControl w:val="0"/>
                          <w:spacing w:line="244" w:lineRule="exact"/>
                          <w:rPr>
                            <w:color w:val="000000"/>
                            <w:sz w:val="18"/>
                            <w:szCs w:val="18"/>
                          </w:rPr>
                        </w:pPr>
                        <w:r>
                          <w:rPr>
                            <w:color w:val="000000"/>
                            <w:sz w:val="18"/>
                            <w:szCs w:val="18"/>
                          </w:rPr>
                          <w:t>asmenų</w:t>
                        </w:r>
                        <w:r>
                          <w:rPr>
                            <w:color w:val="000000"/>
                            <w:spacing w:val="-3"/>
                            <w:sz w:val="18"/>
                            <w:szCs w:val="18"/>
                          </w:rPr>
                          <w:t xml:space="preserve"> </w:t>
                        </w:r>
                        <w:r>
                          <w:rPr>
                            <w:color w:val="000000"/>
                            <w:sz w:val="18"/>
                            <w:szCs w:val="18"/>
                          </w:rPr>
                          <w:t xml:space="preserve">skaičius, </w:t>
                        </w:r>
                        <w:r>
                          <w:rPr>
                            <w:color w:val="000000"/>
                            <w:spacing w:val="-1"/>
                            <w:sz w:val="18"/>
                            <w:szCs w:val="18"/>
                          </w:rPr>
                          <w:t>asm.</w:t>
                        </w:r>
                      </w:p>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p>
                    </w:tc>
                    <w:tc>
                      <w:tcPr>
                        <w:tcW w:w="2027" w:type="pct"/>
                        <w:tcMar>
                          <w:top w:w="28" w:type="dxa"/>
                          <w:left w:w="57" w:type="dxa"/>
                          <w:bottom w:w="28" w:type="dxa"/>
                          <w:right w:w="57" w:type="dxa"/>
                        </w:tcMar>
                      </w:tcPr>
                      <w:p>
                        <w:pPr>
                          <w:spacing w:line="256" w:lineRule="auto"/>
                          <w:rPr>
                            <w:sz w:val="18"/>
                            <w:szCs w:val="18"/>
                            <w:lang w:eastAsia="lt-LT"/>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03-01-01.1</w:t>
                        </w:r>
                      </w:p>
                    </w:tc>
                    <w:tc>
                      <w:tcPr>
                        <w:tcW w:w="2027" w:type="pct"/>
                        <w:tcMar>
                          <w:top w:w="28" w:type="dxa"/>
                          <w:left w:w="57" w:type="dxa"/>
                          <w:bottom w:w="28" w:type="dxa"/>
                          <w:right w:w="57" w:type="dxa"/>
                        </w:tcMar>
                      </w:tcPr>
                      <w:p>
                        <w:pPr>
                          <w:spacing w:line="256" w:lineRule="auto"/>
                          <w:rPr>
                            <w:sz w:val="18"/>
                            <w:szCs w:val="18"/>
                            <w:lang w:eastAsia="lt-LT"/>
                          </w:rPr>
                        </w:pPr>
                        <w:r>
                          <w:rPr>
                            <w:sz w:val="18"/>
                            <w:szCs w:val="18"/>
                          </w:rPr>
                          <w:t>Prevencinės socialinės paslaugos (p</w:t>
                        </w:r>
                        <w:r>
                          <w:rPr>
                            <w:sz w:val="18"/>
                            <w:szCs w:val="18"/>
                            <w:lang w:eastAsia="lt-LT"/>
                          </w:rPr>
                          <w:t>otenciali socialinių paslaugų gavėjų paieška, kompleksinės paslaugos šeimai, darbas su bendruomene, šeimos konferencija)</w:t>
                        </w:r>
                      </w:p>
                      <w:p>
                        <w:pPr>
                          <w:spacing w:line="256" w:lineRule="auto"/>
                          <w:rPr>
                            <w:sz w:val="18"/>
                            <w:szCs w:val="18"/>
                          </w:rPr>
                        </w:pPr>
                      </w:p>
                    </w:tc>
                    <w:tc>
                      <w:tcPr>
                        <w:tcW w:w="423"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250</w:t>
                        </w:r>
                      </w:p>
                    </w:tc>
                    <w:tc>
                      <w:tcPr>
                        <w:tcW w:w="532"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250</w:t>
                        </w:r>
                      </w:p>
                    </w:tc>
                    <w:tc>
                      <w:tcPr>
                        <w:tcW w:w="501"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250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03-01-01.2</w:t>
                        </w:r>
                      </w:p>
                    </w:tc>
                    <w:tc>
                      <w:tcPr>
                        <w:tcW w:w="2027" w:type="pct"/>
                        <w:tcMar>
                          <w:top w:w="28" w:type="dxa"/>
                          <w:left w:w="57" w:type="dxa"/>
                          <w:bottom w:w="28" w:type="dxa"/>
                          <w:right w:w="57" w:type="dxa"/>
                        </w:tcMar>
                      </w:tcPr>
                      <w:p>
                        <w:pPr>
                          <w:spacing w:line="256" w:lineRule="auto"/>
                          <w:rPr>
                            <w:bCs/>
                            <w:sz w:val="18"/>
                            <w:szCs w:val="18"/>
                          </w:rPr>
                        </w:pPr>
                        <w:r>
                          <w:rPr>
                            <w:sz w:val="18"/>
                            <w:szCs w:val="18"/>
                            <w:lang w:eastAsia="lt-LT"/>
                          </w:rPr>
                          <w:t>Bendrosios paslaugos (informavimas, konsultavimas, tarpininkavimas ir atstovavimas, aprūpinimas būtiniausiais drabužiais ir avalyne, transporto paslaugų organizavimas, aprūpinimas techninės pagalbos priemonėmis, sociokultūrinių paslaugų organizavimas)</w:t>
                        </w:r>
                      </w:p>
                    </w:tc>
                    <w:tc>
                      <w:tcPr>
                        <w:tcW w:w="423"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1600</w:t>
                        </w:r>
                      </w:p>
                    </w:tc>
                    <w:tc>
                      <w:tcPr>
                        <w:tcW w:w="532"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1600</w:t>
                        </w:r>
                      </w:p>
                    </w:tc>
                    <w:tc>
                      <w:tcPr>
                        <w:tcW w:w="501"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1600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w:t>
                        </w:r>
                      </w:p>
                    </w:tc>
                    <w:tc>
                      <w:tcPr>
                        <w:tcW w:w="2027" w:type="pct"/>
                        <w:tcMar>
                          <w:top w:w="28" w:type="dxa"/>
                          <w:left w:w="57" w:type="dxa"/>
                          <w:bottom w:w="28" w:type="dxa"/>
                          <w:right w:w="57" w:type="dxa"/>
                        </w:tcMar>
                      </w:tcPr>
                      <w:p>
                        <w:pPr>
                          <w:spacing w:line="256" w:lineRule="auto"/>
                          <w:rPr>
                            <w:sz w:val="18"/>
                            <w:szCs w:val="18"/>
                            <w:lang w:eastAsia="lt-LT"/>
                          </w:rPr>
                        </w:pPr>
                        <w:r>
                          <w:rPr>
                            <w:sz w:val="18"/>
                            <w:szCs w:val="18"/>
                            <w:lang w:eastAsia="lt-LT"/>
                          </w:rPr>
                          <w:t>Akredituotos socialinės priežiūros paslaugos (gavėjų skaičius):</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03-01-01.3.1</w:t>
                        </w:r>
                      </w:p>
                    </w:tc>
                    <w:tc>
                      <w:tcPr>
                        <w:tcW w:w="2027" w:type="pct"/>
                        <w:tcMar>
                          <w:top w:w="28" w:type="dxa"/>
                          <w:left w:w="57" w:type="dxa"/>
                          <w:bottom w:w="28" w:type="dxa"/>
                          <w:right w:w="57" w:type="dxa"/>
                        </w:tcMar>
                      </w:tcPr>
                      <w:p>
                        <w:pPr>
                          <w:spacing w:line="256" w:lineRule="auto"/>
                          <w:ind w:firstLine="240"/>
                          <w:rPr>
                            <w:sz w:val="18"/>
                            <w:szCs w:val="18"/>
                            <w:lang w:eastAsia="lt-LT"/>
                          </w:rPr>
                        </w:pPr>
                        <w:r>
                          <w:rPr>
                            <w:bCs/>
                            <w:sz w:val="18"/>
                            <w:szCs w:val="18"/>
                          </w:rPr>
                          <w:t>pagalba į namus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552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550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03-01-01.3.2</w:t>
                        </w:r>
                      </w:p>
                    </w:tc>
                    <w:tc>
                      <w:tcPr>
                        <w:tcW w:w="2027" w:type="pct"/>
                        <w:tcMar>
                          <w:top w:w="28" w:type="dxa"/>
                          <w:left w:w="57" w:type="dxa"/>
                          <w:bottom w:w="28" w:type="dxa"/>
                          <w:right w:w="57" w:type="dxa"/>
                        </w:tcMar>
                      </w:tcPr>
                      <w:p>
                        <w:pPr>
                          <w:spacing w:line="256" w:lineRule="auto"/>
                          <w:ind w:firstLine="240"/>
                          <w:rPr>
                            <w:sz w:val="18"/>
                            <w:szCs w:val="18"/>
                            <w:lang w:eastAsia="lt-LT"/>
                          </w:rPr>
                        </w:pPr>
                        <w:r>
                          <w:rPr>
                            <w:sz w:val="18"/>
                            <w:szCs w:val="18"/>
                            <w:lang w:eastAsia="lt-LT"/>
                          </w:rPr>
                          <w:t>psichosocialinė pagalba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03-01-01.3.3</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socialinių įgūdžių ugdymas, palaikymas ir (ar) atkūrimas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03-01-01.3.4</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socialinė priežiūra šeimoms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270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270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270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03-01-01.3.5</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apgyvendinimas Savarankiško gyvenimo namuose</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03-01-01.3.6</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vaikų dienos socialinė priežiūra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242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242</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242</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03-01-01.3.7</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laikina nakvynė</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03-01-01.3.8</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apgyvendinimas apsaugotame būste;</w:t>
                        </w:r>
                      </w:p>
                      <w:p>
                        <w:pPr>
                          <w:spacing w:line="256" w:lineRule="auto"/>
                          <w:rPr>
                            <w:sz w:val="18"/>
                            <w:szCs w:val="18"/>
                          </w:rPr>
                        </w:pP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03-01-01.3.9</w:t>
                        </w:r>
                      </w:p>
                    </w:tc>
                    <w:tc>
                      <w:tcPr>
                        <w:tcW w:w="2027" w:type="pct"/>
                        <w:tcMar>
                          <w:top w:w="28" w:type="dxa"/>
                          <w:left w:w="57" w:type="dxa"/>
                          <w:bottom w:w="28" w:type="dxa"/>
                          <w:right w:w="57" w:type="dxa"/>
                        </w:tcMar>
                      </w:tcPr>
                      <w:p>
                        <w:pPr>
                          <w:ind w:left="360"/>
                          <w:rPr>
                            <w:sz w:val="18"/>
                            <w:szCs w:val="18"/>
                          </w:rPr>
                        </w:pPr>
                        <w:r>
                          <w:rPr>
                            <w:sz w:val="18"/>
                            <w:szCs w:val="18"/>
                            <w:lang w:eastAsia="lt-LT"/>
                          </w:rPr>
                          <w:t>asmeninė pagalba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03-01-01.3.10</w:t>
                        </w:r>
                      </w:p>
                    </w:tc>
                    <w:tc>
                      <w:tcPr>
                        <w:tcW w:w="2027" w:type="pct"/>
                        <w:tcMar>
                          <w:top w:w="28" w:type="dxa"/>
                          <w:left w:w="57" w:type="dxa"/>
                          <w:bottom w:w="28" w:type="dxa"/>
                          <w:right w:w="57" w:type="dxa"/>
                        </w:tcMar>
                      </w:tcPr>
                      <w:p>
                        <w:pPr>
                          <w:ind w:left="360"/>
                          <w:rPr>
                            <w:sz w:val="18"/>
                            <w:szCs w:val="18"/>
                          </w:rPr>
                        </w:pPr>
                        <w:r>
                          <w:rPr>
                            <w:sz w:val="18"/>
                            <w:szCs w:val="18"/>
                            <w:lang w:eastAsia="lt-LT"/>
                          </w:rPr>
                          <w:t>intensyvi krizių įveikimo pagalba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35</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03-01-01.3.11</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pagalba globėjams (rūpintojams),budintiems ir nuolatiniams globotojams, įtėviams ir šeimynų dalyviams ar besirengiantiems jais tapti</w:t>
                        </w:r>
                      </w:p>
                      <w:p>
                        <w:pPr>
                          <w:spacing w:line="256" w:lineRule="auto"/>
                          <w:rPr>
                            <w:bCs/>
                            <w:sz w:val="18"/>
                            <w:szCs w:val="18"/>
                          </w:rPr>
                        </w:pP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119</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120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120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03-01-01.3.12</w:t>
                        </w:r>
                      </w:p>
                    </w:tc>
                    <w:tc>
                      <w:tcPr>
                        <w:tcW w:w="2027" w:type="pct"/>
                        <w:tcMar>
                          <w:top w:w="28" w:type="dxa"/>
                          <w:left w:w="57" w:type="dxa"/>
                          <w:bottom w:w="28" w:type="dxa"/>
                          <w:right w:w="57" w:type="dxa"/>
                        </w:tcMar>
                      </w:tcPr>
                      <w:p>
                        <w:pPr>
                          <w:ind w:left="360"/>
                          <w:rPr>
                            <w:bCs/>
                            <w:sz w:val="18"/>
                            <w:szCs w:val="18"/>
                          </w:rPr>
                        </w:pPr>
                        <w:r>
                          <w:rPr>
                            <w:sz w:val="18"/>
                            <w:szCs w:val="18"/>
                            <w:lang w:eastAsia="lt-LT"/>
                          </w:rPr>
                          <w:t>vaiko laikinoji priežiūra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71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70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70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03-01-01.3.13</w:t>
                        </w:r>
                      </w:p>
                    </w:tc>
                    <w:tc>
                      <w:tcPr>
                        <w:tcW w:w="2027" w:type="pct"/>
                        <w:tcMar>
                          <w:top w:w="28" w:type="dxa"/>
                          <w:left w:w="57" w:type="dxa"/>
                          <w:bottom w:w="28" w:type="dxa"/>
                          <w:right w:w="57" w:type="dxa"/>
                        </w:tcMar>
                      </w:tcPr>
                      <w:p>
                        <w:pPr>
                          <w:ind w:left="360"/>
                          <w:rPr>
                            <w:bCs/>
                            <w:sz w:val="18"/>
                            <w:szCs w:val="18"/>
                          </w:rPr>
                        </w:pPr>
                        <w:r>
                          <w:rPr>
                            <w:sz w:val="18"/>
                            <w:szCs w:val="18"/>
                            <w:lang w:eastAsia="lt-LT"/>
                          </w:rPr>
                          <w:t>vaiko laikinoji priežiūra tėvų prašymu</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03-01-01.3.14</w:t>
                        </w:r>
                      </w:p>
                    </w:tc>
                    <w:tc>
                      <w:tcPr>
                        <w:tcW w:w="2027" w:type="pct"/>
                        <w:tcMar>
                          <w:top w:w="28" w:type="dxa"/>
                          <w:left w:w="57" w:type="dxa"/>
                          <w:bottom w:w="28" w:type="dxa"/>
                          <w:right w:w="57" w:type="dxa"/>
                        </w:tcMar>
                      </w:tcPr>
                      <w:p>
                        <w:pPr>
                          <w:ind w:left="360"/>
                          <w:rPr>
                            <w:bCs/>
                            <w:sz w:val="18"/>
                            <w:szCs w:val="18"/>
                          </w:rPr>
                        </w:pPr>
                        <w:r>
                          <w:rPr>
                            <w:sz w:val="18"/>
                            <w:szCs w:val="18"/>
                            <w:lang w:eastAsia="lt-LT"/>
                          </w:rPr>
                          <w:t>socialinė reabilitacija asmenims su negalia bendruomenėje</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170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170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170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03-01-01.4</w:t>
                        </w:r>
                      </w:p>
                    </w:tc>
                    <w:tc>
                      <w:tcPr>
                        <w:tcW w:w="2027" w:type="pct"/>
                        <w:tcMar>
                          <w:top w:w="28" w:type="dxa"/>
                          <w:left w:w="57" w:type="dxa"/>
                          <w:bottom w:w="28" w:type="dxa"/>
                          <w:right w:w="57" w:type="dxa"/>
                        </w:tcMar>
                      </w:tcPr>
                      <w:p>
                        <w:pPr>
                          <w:spacing w:line="256" w:lineRule="auto"/>
                          <w:ind w:firstLine="48"/>
                          <w:rPr>
                            <w:bCs/>
                            <w:sz w:val="18"/>
                            <w:szCs w:val="18"/>
                          </w:rPr>
                        </w:pPr>
                        <w:r>
                          <w:rPr>
                            <w:bCs/>
                            <w:sz w:val="18"/>
                            <w:szCs w:val="18"/>
                          </w:rPr>
                          <w:t>Dienos socialinė globa įstaigoje</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41</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03-01-01.5</w:t>
                        </w:r>
                      </w:p>
                    </w:tc>
                    <w:tc>
                      <w:tcPr>
                        <w:tcW w:w="2027" w:type="pct"/>
                        <w:tcMar>
                          <w:top w:w="28" w:type="dxa"/>
                          <w:left w:w="57" w:type="dxa"/>
                          <w:bottom w:w="28" w:type="dxa"/>
                          <w:right w:w="57" w:type="dxa"/>
                        </w:tcMar>
                      </w:tcPr>
                      <w:p>
                        <w:pPr>
                          <w:spacing w:line="256" w:lineRule="auto"/>
                          <w:rPr>
                            <w:sz w:val="18"/>
                            <w:szCs w:val="18"/>
                          </w:rPr>
                        </w:pPr>
                        <w:r>
                          <w:rPr>
                            <w:bCs/>
                            <w:sz w:val="18"/>
                            <w:szCs w:val="18"/>
                          </w:rPr>
                          <w:t>Dienos socialinė globa namuose</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107</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03-01-01.6</w:t>
                        </w:r>
                      </w:p>
                    </w:tc>
                    <w:tc>
                      <w:tcPr>
                        <w:tcW w:w="2027" w:type="pct"/>
                        <w:tcMar>
                          <w:top w:w="28" w:type="dxa"/>
                          <w:left w:w="57" w:type="dxa"/>
                          <w:bottom w:w="28" w:type="dxa"/>
                          <w:right w:w="57" w:type="dxa"/>
                        </w:tcMar>
                      </w:tcPr>
                      <w:p>
                        <w:pPr>
                          <w:spacing w:line="256" w:lineRule="auto"/>
                          <w:rPr>
                            <w:sz w:val="18"/>
                            <w:szCs w:val="18"/>
                          </w:rPr>
                        </w:pPr>
                        <w:r>
                          <w:rPr>
                            <w:sz w:val="18"/>
                            <w:szCs w:val="18"/>
                            <w:lang w:eastAsia="lt-LT"/>
                          </w:rPr>
                          <w:t>Vaiko laikinoji globa (rūpyba)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03-01-01.7</w:t>
                        </w:r>
                      </w:p>
                    </w:tc>
                    <w:tc>
                      <w:tcPr>
                        <w:tcW w:w="2027" w:type="pct"/>
                        <w:tcMar>
                          <w:top w:w="28" w:type="dxa"/>
                          <w:left w:w="57" w:type="dxa"/>
                          <w:bottom w:w="28" w:type="dxa"/>
                          <w:right w:w="57" w:type="dxa"/>
                        </w:tcMar>
                      </w:tcPr>
                      <w:p>
                        <w:pPr>
                          <w:spacing w:line="256" w:lineRule="auto"/>
                          <w:rPr>
                            <w:sz w:val="18"/>
                            <w:szCs w:val="18"/>
                          </w:rPr>
                        </w:pPr>
                        <w:r>
                          <w:rPr>
                            <w:sz w:val="18"/>
                            <w:szCs w:val="18"/>
                            <w:lang w:eastAsia="lt-LT"/>
                          </w:rPr>
                          <w:t>Laikino atokvėpio paslauga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w:t>
                        </w:r>
                      </w:p>
                    </w:tc>
                    <w:tc>
                      <w:tcPr>
                        <w:tcW w:w="2027" w:type="pct"/>
                        <w:tcMar>
                          <w:top w:w="28" w:type="dxa"/>
                          <w:left w:w="57" w:type="dxa"/>
                          <w:bottom w:w="28" w:type="dxa"/>
                          <w:right w:w="57" w:type="dxa"/>
                        </w:tcMar>
                      </w:tcPr>
                      <w:p>
                        <w:pPr>
                          <w:rPr>
                            <w:bCs/>
                            <w:sz w:val="18"/>
                            <w:szCs w:val="18"/>
                          </w:rPr>
                        </w:pPr>
                        <w:r>
                          <w:rPr>
                            <w:sz w:val="18"/>
                            <w:szCs w:val="18"/>
                            <w:lang w:eastAsia="lt-LT"/>
                          </w:rPr>
                          <w:t>Ilgalaikė/trumpalaikė socialinė globa: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03-01-01.8.1</w:t>
                        </w:r>
                      </w:p>
                    </w:tc>
                    <w:tc>
                      <w:tcPr>
                        <w:tcW w:w="2027" w:type="pct"/>
                        <w:tcMar>
                          <w:top w:w="28" w:type="dxa"/>
                          <w:left w:w="57" w:type="dxa"/>
                          <w:bottom w:w="28" w:type="dxa"/>
                          <w:right w:w="57" w:type="dxa"/>
                        </w:tcMar>
                      </w:tcPr>
                      <w:p>
                        <w:pPr>
                          <w:ind w:firstLine="144"/>
                          <w:rPr>
                            <w:sz w:val="18"/>
                            <w:szCs w:val="18"/>
                          </w:rPr>
                        </w:pPr>
                        <w:r>
                          <w:rPr>
                            <w:sz w:val="18"/>
                            <w:szCs w:val="18"/>
                            <w:lang w:eastAsia="lt-LT"/>
                          </w:rPr>
                          <w:t>senyvo amžiaus asmenims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03-01-01.8.2</w:t>
                        </w:r>
                      </w:p>
                    </w:tc>
                    <w:tc>
                      <w:tcPr>
                        <w:tcW w:w="2027" w:type="pct"/>
                        <w:tcMar>
                          <w:top w:w="28" w:type="dxa"/>
                          <w:left w:w="57" w:type="dxa"/>
                          <w:bottom w:w="28" w:type="dxa"/>
                          <w:right w:w="57" w:type="dxa"/>
                        </w:tcMar>
                      </w:tcPr>
                      <w:p>
                        <w:pPr>
                          <w:ind w:firstLine="144"/>
                          <w:rPr>
                            <w:sz w:val="18"/>
                            <w:szCs w:val="18"/>
                          </w:rPr>
                        </w:pPr>
                        <w:r>
                          <w:rPr>
                            <w:sz w:val="18"/>
                            <w:szCs w:val="18"/>
                            <w:lang w:eastAsia="lt-LT"/>
                          </w:rPr>
                          <w:t>suaugusiems asmenims su negalia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35</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03-01-01.8.3</w:t>
                        </w:r>
                      </w:p>
                    </w:tc>
                    <w:tc>
                      <w:tcPr>
                        <w:tcW w:w="2027" w:type="pct"/>
                        <w:tcMar>
                          <w:top w:w="28" w:type="dxa"/>
                          <w:left w:w="57" w:type="dxa"/>
                          <w:bottom w:w="28" w:type="dxa"/>
                          <w:right w:w="57" w:type="dxa"/>
                        </w:tcMar>
                      </w:tcPr>
                      <w:p>
                        <w:pPr>
                          <w:ind w:firstLine="144"/>
                          <w:rPr>
                            <w:sz w:val="18"/>
                            <w:szCs w:val="18"/>
                          </w:rPr>
                        </w:pPr>
                        <w:r>
                          <w:rPr>
                            <w:sz w:val="18"/>
                            <w:szCs w:val="18"/>
                            <w:lang w:eastAsia="lt-LT"/>
                          </w:rPr>
                          <w:t>asmenims su sunkia negalia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03-01-01.8.4</w:t>
                        </w:r>
                      </w:p>
                    </w:tc>
                    <w:tc>
                      <w:tcPr>
                        <w:tcW w:w="2027" w:type="pct"/>
                        <w:tcMar>
                          <w:top w:w="28" w:type="dxa"/>
                          <w:left w:w="57" w:type="dxa"/>
                          <w:bottom w:w="28" w:type="dxa"/>
                          <w:right w:w="57" w:type="dxa"/>
                        </w:tcMar>
                      </w:tcPr>
                      <w:p>
                        <w:pPr>
                          <w:ind w:firstLine="144"/>
                          <w:rPr>
                            <w:sz w:val="18"/>
                            <w:szCs w:val="18"/>
                          </w:rPr>
                        </w:pPr>
                        <w:r>
                          <w:rPr>
                            <w:sz w:val="18"/>
                            <w:szCs w:val="18"/>
                            <w:lang w:eastAsia="lt-LT"/>
                          </w:rPr>
                          <w:t>vaikams su negalia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751" w:type="pct"/>
                      </w:tcPr>
                      <w:p>
                        <w:pPr>
                          <w:spacing w:line="256" w:lineRule="auto"/>
                          <w:rPr>
                            <w:b/>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03-01-01.8.5</w:t>
                        </w:r>
                      </w:p>
                    </w:tc>
                    <w:tc>
                      <w:tcPr>
                        <w:tcW w:w="2027" w:type="pct"/>
                        <w:tcMar>
                          <w:top w:w="28" w:type="dxa"/>
                          <w:left w:w="57" w:type="dxa"/>
                          <w:bottom w:w="28" w:type="dxa"/>
                          <w:right w:w="57" w:type="dxa"/>
                        </w:tcMar>
                      </w:tcPr>
                      <w:p>
                        <w:pPr>
                          <w:ind w:firstLine="144"/>
                          <w:rPr>
                            <w:sz w:val="18"/>
                            <w:szCs w:val="18"/>
                            <w:lang w:eastAsia="lt-LT"/>
                          </w:rPr>
                        </w:pPr>
                        <w:r>
                          <w:rPr>
                            <w:sz w:val="18"/>
                            <w:szCs w:val="18"/>
                            <w:lang w:eastAsia="lt-LT"/>
                          </w:rPr>
                          <w:t>vaikams su sunkia negalia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751" w:type="pct"/>
                      </w:tcPr>
                      <w:p>
                        <w:pPr>
                          <w:spacing w:line="256" w:lineRule="auto"/>
                          <w:rPr>
                            <w:b/>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03-01-01.8.6</w:t>
                        </w:r>
                      </w:p>
                    </w:tc>
                    <w:tc>
                      <w:tcPr>
                        <w:tcW w:w="2027" w:type="pct"/>
                        <w:tcMar>
                          <w:top w:w="28" w:type="dxa"/>
                          <w:left w:w="57" w:type="dxa"/>
                          <w:bottom w:w="28" w:type="dxa"/>
                          <w:right w:w="57" w:type="dxa"/>
                        </w:tcMar>
                      </w:tcPr>
                      <w:p>
                        <w:pPr>
                          <w:spacing w:line="256" w:lineRule="auto"/>
                          <w:ind w:firstLine="144"/>
                          <w:rPr>
                            <w:sz w:val="18"/>
                            <w:szCs w:val="18"/>
                          </w:rPr>
                        </w:pPr>
                        <w:r>
                          <w:rPr>
                            <w:sz w:val="18"/>
                            <w:szCs w:val="18"/>
                            <w:lang w:eastAsia="lt-LT"/>
                          </w:rPr>
                          <w:t>vaikams likusiems be tėvų globos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16</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16</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03-0101.9</w:t>
                        </w:r>
                      </w:p>
                    </w:tc>
                    <w:tc>
                      <w:tcPr>
                        <w:tcW w:w="2027" w:type="pct"/>
                        <w:tcMar>
                          <w:top w:w="28" w:type="dxa"/>
                          <w:left w:w="57" w:type="dxa"/>
                          <w:bottom w:w="28" w:type="dxa"/>
                          <w:right w:w="57" w:type="dxa"/>
                        </w:tcMar>
                      </w:tcPr>
                      <w:p>
                        <w:pPr>
                          <w:spacing w:line="256" w:lineRule="auto"/>
                          <w:rPr>
                            <w:sz w:val="18"/>
                            <w:szCs w:val="18"/>
                            <w:lang w:eastAsia="lt-LT"/>
                          </w:rPr>
                        </w:pPr>
                        <w:r>
                          <w:rPr>
                            <w:kern w:val="2"/>
                            <w:sz w:val="18"/>
                            <w:szCs w:val="18"/>
                            <w:lang w:eastAsia="lt-LT"/>
                            <w14:ligatures w14:val="standardContextual"/>
                          </w:rPr>
                          <w:t xml:space="preserve">Mažinant administracinę naštą, didinti gyventojų, kuriems nereikia vykti dėl paslaugų teikimo į savivaldybės administraciją skaičių (didėjimas procentais kas metais)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p>
                    </w:tc>
                    <w:tc>
                      <w:tcPr>
                        <w:tcW w:w="2027" w:type="pct"/>
                        <w:tcMar>
                          <w:top w:w="28" w:type="dxa"/>
                          <w:left w:w="57" w:type="dxa"/>
                          <w:bottom w:w="28" w:type="dxa"/>
                          <w:right w:w="57" w:type="dxa"/>
                        </w:tcMar>
                      </w:tcPr>
                      <w:p>
                        <w:pPr>
                          <w:spacing w:line="256" w:lineRule="auto"/>
                          <w:rPr>
                            <w:b/>
                            <w:bCs/>
                            <w:sz w:val="18"/>
                            <w:szCs w:val="18"/>
                          </w:rPr>
                        </w:pPr>
                        <w:r>
                          <w:rPr>
                            <w:b/>
                            <w:bCs/>
                            <w:sz w:val="18"/>
                            <w:szCs w:val="18"/>
                          </w:rPr>
                          <w:t>2 uždavinys „Didinti socialinę integraciją mažinti atskirti“</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widowControl w:val="0"/>
                          <w:spacing w:line="244" w:lineRule="exact"/>
                          <w:rPr>
                            <w:color w:val="000000"/>
                            <w:sz w:val="18"/>
                            <w:szCs w:val="18"/>
                          </w:rPr>
                        </w:pPr>
                        <w:r>
                          <w:rPr>
                            <w:color w:val="000000"/>
                            <w:sz w:val="18"/>
                            <w:szCs w:val="18"/>
                          </w:rPr>
                          <w:t xml:space="preserve">Socialines </w:t>
                        </w:r>
                        <w:r>
                          <w:rPr>
                            <w:color w:val="000000"/>
                            <w:spacing w:val="-1"/>
                            <w:sz w:val="18"/>
                            <w:szCs w:val="18"/>
                          </w:rPr>
                          <w:t>paslaugas</w:t>
                        </w:r>
                        <w:r>
                          <w:rPr>
                            <w:color w:val="000000"/>
                            <w:spacing w:val="1"/>
                            <w:sz w:val="18"/>
                            <w:szCs w:val="18"/>
                          </w:rPr>
                          <w:t xml:space="preserve"> </w:t>
                        </w:r>
                        <w:r>
                          <w:rPr>
                            <w:color w:val="000000"/>
                            <w:sz w:val="18"/>
                            <w:szCs w:val="18"/>
                          </w:rPr>
                          <w:t>gaunančių</w:t>
                        </w:r>
                      </w:p>
                      <w:p>
                        <w:pPr>
                          <w:widowControl w:val="0"/>
                          <w:spacing w:line="244" w:lineRule="exact"/>
                          <w:rPr>
                            <w:color w:val="000000"/>
                            <w:sz w:val="18"/>
                            <w:szCs w:val="18"/>
                          </w:rPr>
                        </w:pPr>
                        <w:r>
                          <w:rPr>
                            <w:color w:val="000000"/>
                            <w:sz w:val="18"/>
                            <w:szCs w:val="18"/>
                          </w:rPr>
                          <w:t>asmenų</w:t>
                        </w:r>
                        <w:r>
                          <w:rPr>
                            <w:color w:val="000000"/>
                            <w:spacing w:val="-3"/>
                            <w:sz w:val="18"/>
                            <w:szCs w:val="18"/>
                          </w:rPr>
                          <w:t xml:space="preserve"> </w:t>
                        </w:r>
                        <w:r>
                          <w:rPr>
                            <w:color w:val="000000"/>
                            <w:sz w:val="18"/>
                            <w:szCs w:val="18"/>
                          </w:rPr>
                          <w:t xml:space="preserve">skaičius, </w:t>
                        </w:r>
                        <w:r>
                          <w:rPr>
                            <w:color w:val="000000"/>
                            <w:spacing w:val="-1"/>
                            <w:sz w:val="18"/>
                            <w:szCs w:val="18"/>
                          </w:rPr>
                          <w:t>asm.</w:t>
                        </w:r>
                      </w:p>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R-03-01-02-01</w:t>
                        </w:r>
                      </w:p>
                    </w:tc>
                    <w:tc>
                      <w:tcPr>
                        <w:tcW w:w="2027" w:type="pct"/>
                        <w:tcMar>
                          <w:top w:w="28" w:type="dxa"/>
                          <w:left w:w="57" w:type="dxa"/>
                          <w:bottom w:w="28" w:type="dxa"/>
                          <w:right w:w="57" w:type="dxa"/>
                        </w:tcMar>
                      </w:tcPr>
                      <w:p>
                        <w:pPr>
                          <w:spacing w:line="256" w:lineRule="auto"/>
                          <w:rPr>
                            <w:sz w:val="18"/>
                            <w:szCs w:val="18"/>
                          </w:rPr>
                        </w:pPr>
                        <w:r>
                          <w:rPr>
                            <w:sz w:val="18"/>
                            <w:szCs w:val="18"/>
                          </w:rPr>
                          <w:t>Individualios pagalbos teikimo išlaidų kompensacijų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1630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1640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1650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R-03-01-02-03</w:t>
                        </w:r>
                      </w:p>
                    </w:tc>
                    <w:tc>
                      <w:tcPr>
                        <w:tcW w:w="2027" w:type="pct"/>
                        <w:tcMar>
                          <w:top w:w="28" w:type="dxa"/>
                          <w:left w:w="57" w:type="dxa"/>
                          <w:bottom w:w="28" w:type="dxa"/>
                          <w:right w:w="57" w:type="dxa"/>
                        </w:tcMar>
                      </w:tcPr>
                      <w:p>
                        <w:pPr>
                          <w:spacing w:line="256" w:lineRule="auto"/>
                          <w:rPr>
                            <w:sz w:val="18"/>
                            <w:szCs w:val="18"/>
                          </w:rPr>
                        </w:pPr>
                        <w:r>
                          <w:rPr>
                            <w:sz w:val="18"/>
                            <w:szCs w:val="18"/>
                          </w:rPr>
                          <w:t>Išmokų vaikams gavėjų skaičius (metinis vidutinis)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5490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5500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5520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R-03-01-02-04</w:t>
                        </w:r>
                      </w:p>
                    </w:tc>
                    <w:tc>
                      <w:tcPr>
                        <w:tcW w:w="2027" w:type="pct"/>
                        <w:tcMar>
                          <w:top w:w="28" w:type="dxa"/>
                          <w:left w:w="57" w:type="dxa"/>
                          <w:bottom w:w="28" w:type="dxa"/>
                          <w:right w:w="57" w:type="dxa"/>
                        </w:tcMar>
                      </w:tcPr>
                      <w:p>
                        <w:pPr>
                          <w:spacing w:line="256" w:lineRule="auto"/>
                          <w:rPr>
                            <w:sz w:val="18"/>
                            <w:szCs w:val="18"/>
                          </w:rPr>
                        </w:pPr>
                        <w:r>
                          <w:rPr>
                            <w:sz w:val="18"/>
                            <w:szCs w:val="18"/>
                          </w:rPr>
                          <w:t>Socialinės paramos gavėjų skaičius (socialinės pašalpos ir kompensacijos) (metinis vidutinis)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7200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7150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7100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R-03-01-02-05</w:t>
                        </w:r>
                      </w:p>
                    </w:tc>
                    <w:tc>
                      <w:tcPr>
                        <w:tcW w:w="2027" w:type="pct"/>
                        <w:tcMar>
                          <w:top w:w="28" w:type="dxa"/>
                          <w:left w:w="57" w:type="dxa"/>
                          <w:bottom w:w="28" w:type="dxa"/>
                          <w:right w:w="57" w:type="dxa"/>
                        </w:tcMar>
                      </w:tcPr>
                      <w:p>
                        <w:pPr>
                          <w:spacing w:line="256" w:lineRule="auto"/>
                          <w:rPr>
                            <w:sz w:val="18"/>
                            <w:szCs w:val="18"/>
                          </w:rPr>
                        </w:pPr>
                        <w:r>
                          <w:rPr>
                            <w:sz w:val="18"/>
                            <w:szCs w:val="18"/>
                          </w:rPr>
                          <w:t>Laidojimo pašalpos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580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560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540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R-03-01-02-06</w:t>
                        </w:r>
                      </w:p>
                    </w:tc>
                    <w:tc>
                      <w:tcPr>
                        <w:tcW w:w="2027" w:type="pct"/>
                        <w:tcMar>
                          <w:top w:w="28" w:type="dxa"/>
                          <w:left w:w="57" w:type="dxa"/>
                          <w:bottom w:w="28" w:type="dxa"/>
                          <w:right w:w="57" w:type="dxa"/>
                        </w:tcMar>
                      </w:tcPr>
                      <w:p>
                        <w:pPr>
                          <w:spacing w:line="256" w:lineRule="auto"/>
                          <w:rPr>
                            <w:sz w:val="18"/>
                            <w:szCs w:val="18"/>
                          </w:rPr>
                        </w:pPr>
                        <w:r>
                          <w:rPr>
                            <w:sz w:val="18"/>
                            <w:szCs w:val="18"/>
                          </w:rPr>
                          <w:t>Paramos mokinio aprūpinimo mokinio reikmenims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960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950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940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R-03-01-02-07</w:t>
                        </w:r>
                      </w:p>
                    </w:tc>
                    <w:tc>
                      <w:tcPr>
                        <w:tcW w:w="2027" w:type="pct"/>
                        <w:tcMar>
                          <w:top w:w="28" w:type="dxa"/>
                          <w:left w:w="57" w:type="dxa"/>
                          <w:bottom w:w="28" w:type="dxa"/>
                          <w:right w:w="57" w:type="dxa"/>
                        </w:tcMar>
                      </w:tcPr>
                      <w:p>
                        <w:pPr>
                          <w:spacing w:line="256" w:lineRule="auto"/>
                          <w:rPr>
                            <w:sz w:val="18"/>
                            <w:szCs w:val="18"/>
                          </w:rPr>
                        </w:pPr>
                        <w:r>
                          <w:rPr>
                            <w:sz w:val="18"/>
                            <w:szCs w:val="18"/>
                          </w:rPr>
                          <w:t>Paramos išimties tvarka ir nelaimės atveju gavėjų skaičius (metinis vidutinis)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3</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2</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R-03-01-02-08</w:t>
                        </w:r>
                      </w:p>
                    </w:tc>
                    <w:tc>
                      <w:tcPr>
                        <w:tcW w:w="2027" w:type="pct"/>
                        <w:tcMar>
                          <w:top w:w="28" w:type="dxa"/>
                          <w:left w:w="57" w:type="dxa"/>
                          <w:bottom w:w="28" w:type="dxa"/>
                          <w:right w:w="57" w:type="dxa"/>
                        </w:tcMar>
                      </w:tcPr>
                      <w:p>
                        <w:pPr>
                          <w:spacing w:line="256" w:lineRule="auto"/>
                          <w:rPr>
                            <w:sz w:val="18"/>
                            <w:szCs w:val="18"/>
                          </w:rPr>
                        </w:pPr>
                        <w:r>
                          <w:rPr>
                            <w:sz w:val="18"/>
                            <w:szCs w:val="18"/>
                          </w:rPr>
                          <w:t xml:space="preserve">Materialinio nepritekliaus mažinimo programos gavėjų skaičius </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2000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2000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2000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R-03-01-02-10</w:t>
                        </w:r>
                      </w:p>
                    </w:tc>
                    <w:tc>
                      <w:tcPr>
                        <w:tcW w:w="2027" w:type="pct"/>
                        <w:tcMar>
                          <w:top w:w="28" w:type="dxa"/>
                          <w:left w:w="57" w:type="dxa"/>
                          <w:bottom w:w="28" w:type="dxa"/>
                          <w:right w:w="57" w:type="dxa"/>
                        </w:tcMar>
                      </w:tcPr>
                      <w:p>
                        <w:pPr>
                          <w:spacing w:line="256" w:lineRule="auto"/>
                          <w:rPr>
                            <w:sz w:val="18"/>
                            <w:szCs w:val="18"/>
                          </w:rPr>
                        </w:pPr>
                        <w:r>
                          <w:rPr>
                            <w:sz w:val="18"/>
                            <w:szCs w:val="18"/>
                          </w:rPr>
                          <w:t>Būsto ir gyvenamosios aplinkos pritaikymo programos gavėjų skaičius (metinis)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14</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15</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R-03-01-02-12</w:t>
                        </w:r>
                      </w:p>
                    </w:tc>
                    <w:tc>
                      <w:tcPr>
                        <w:tcW w:w="2027" w:type="pct"/>
                        <w:tcMar>
                          <w:top w:w="28" w:type="dxa"/>
                          <w:left w:w="57" w:type="dxa"/>
                          <w:bottom w:w="28" w:type="dxa"/>
                          <w:right w:w="57" w:type="dxa"/>
                        </w:tcMar>
                      </w:tcPr>
                      <w:p>
                        <w:pPr>
                          <w:spacing w:line="256" w:lineRule="auto"/>
                          <w:rPr>
                            <w:sz w:val="18"/>
                            <w:szCs w:val="18"/>
                          </w:rPr>
                        </w:pPr>
                        <w:r>
                          <w:rPr>
                            <w:sz w:val="18"/>
                            <w:szCs w:val="18"/>
                          </w:rPr>
                          <w:t>Prieglobsti gavusiems užsieniečiams paramos integracijai gavėjų skaičius (metinis vidutinis)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100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52</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b/>
                            <w:sz w:val="18"/>
                            <w:szCs w:val="18"/>
                          </w:rPr>
                        </w:pPr>
                      </w:p>
                    </w:tc>
                    <w:tc>
                      <w:tcPr>
                        <w:tcW w:w="2027" w:type="pct"/>
                        <w:tcMar>
                          <w:top w:w="28" w:type="dxa"/>
                          <w:left w:w="57" w:type="dxa"/>
                          <w:bottom w:w="28" w:type="dxa"/>
                          <w:right w:w="57" w:type="dxa"/>
                        </w:tcMar>
                      </w:tcPr>
                      <w:p>
                        <w:pPr>
                          <w:spacing w:line="256" w:lineRule="auto"/>
                          <w:rPr>
                            <w:b/>
                            <w:sz w:val="18"/>
                            <w:szCs w:val="18"/>
                          </w:rPr>
                        </w:pPr>
                        <w:r>
                          <w:rPr>
                            <w:sz w:val="18"/>
                            <w:szCs w:val="18"/>
                          </w:rPr>
                          <w:t>Piniginė socialinė paramos, užsieniečiams pasitraukusiems iš Ukrainos dėl Rusijos Federacijos veiksmų,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40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20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p>
                    </w:tc>
                    <w:tc>
                      <w:tcPr>
                        <w:tcW w:w="2027" w:type="pct"/>
                        <w:tcMar>
                          <w:top w:w="28" w:type="dxa"/>
                          <w:left w:w="57" w:type="dxa"/>
                          <w:bottom w:w="28" w:type="dxa"/>
                          <w:right w:w="57" w:type="dxa"/>
                        </w:tcMar>
                      </w:tcPr>
                      <w:p>
                        <w:pPr>
                          <w:spacing w:line="256" w:lineRule="auto"/>
                          <w:rPr>
                            <w:sz w:val="18"/>
                            <w:szCs w:val="18"/>
                          </w:rPr>
                        </w:pPr>
                        <w:r>
                          <w:rPr>
                            <w:sz w:val="18"/>
                            <w:szCs w:val="18"/>
                          </w:rPr>
                          <w:t>Išmokų vaikams, užsieniečiams pasitraukusiems iš Ukrainos dėl Rusijos Federacijos veiksmų,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50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30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p>
                    </w:tc>
                    <w:tc>
                      <w:tcPr>
                        <w:tcW w:w="2027" w:type="pct"/>
                        <w:tcMar>
                          <w:top w:w="28" w:type="dxa"/>
                          <w:left w:w="57" w:type="dxa"/>
                          <w:bottom w:w="28" w:type="dxa"/>
                          <w:right w:w="57" w:type="dxa"/>
                        </w:tcMar>
                      </w:tcPr>
                      <w:p>
                        <w:pPr>
                          <w:spacing w:line="256" w:lineRule="auto"/>
                          <w:rPr>
                            <w:sz w:val="18"/>
                            <w:szCs w:val="18"/>
                          </w:rPr>
                        </w:pPr>
                        <w:r>
                          <w:rPr>
                            <w:sz w:val="18"/>
                            <w:szCs w:val="18"/>
                          </w:rPr>
                          <w:t>Individualios pagalbos teikimo išlaidų kompensacijų, užsieniečiams pasitraukusiems iš Ukrainos dėl Rusijos Federacijos veiksmų,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R-03-01-02-14</w:t>
                        </w:r>
                      </w:p>
                    </w:tc>
                    <w:tc>
                      <w:tcPr>
                        <w:tcW w:w="2027" w:type="pct"/>
                        <w:tcMar>
                          <w:top w:w="28" w:type="dxa"/>
                          <w:left w:w="57" w:type="dxa"/>
                          <w:bottom w:w="28" w:type="dxa"/>
                          <w:right w:w="57" w:type="dxa"/>
                        </w:tcMar>
                      </w:tcPr>
                      <w:p>
                        <w:pPr>
                          <w:spacing w:line="256" w:lineRule="auto"/>
                          <w:rPr>
                            <w:sz w:val="18"/>
                            <w:szCs w:val="18"/>
                          </w:rPr>
                        </w:pPr>
                        <w:r>
                          <w:rPr>
                            <w:sz w:val="18"/>
                            <w:szCs w:val="18"/>
                          </w:rPr>
                          <w:t>Vienkartinės pašalpos gimus vaikui iš Savivaldybės biudžeto lėšų, gavėjų skaičius (metinis)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230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230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230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R-03-01-02-15</w:t>
                        </w:r>
                      </w:p>
                    </w:tc>
                    <w:tc>
                      <w:tcPr>
                        <w:tcW w:w="2027" w:type="pct"/>
                        <w:tcMar>
                          <w:top w:w="28" w:type="dxa"/>
                          <w:left w:w="57" w:type="dxa"/>
                          <w:bottom w:w="28" w:type="dxa"/>
                          <w:right w:w="57" w:type="dxa"/>
                        </w:tcMar>
                      </w:tcPr>
                      <w:p>
                        <w:pPr>
                          <w:spacing w:line="256" w:lineRule="auto"/>
                          <w:rPr>
                            <w:sz w:val="18"/>
                            <w:szCs w:val="18"/>
                          </w:rPr>
                        </w:pPr>
                        <w:r>
                          <w:rPr>
                            <w:sz w:val="18"/>
                            <w:szCs w:val="18"/>
                          </w:rPr>
                          <w:t>Užimtumo didinimo programos dalyvių skaičius (metinis)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80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80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80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b/>
                            <w:bCs/>
                            <w:sz w:val="18"/>
                            <w:szCs w:val="18"/>
                          </w:rPr>
                        </w:pPr>
                      </w:p>
                    </w:tc>
                    <w:tc>
                      <w:tcPr>
                        <w:tcW w:w="2027" w:type="pct"/>
                        <w:tcMar>
                          <w:top w:w="28" w:type="dxa"/>
                          <w:left w:w="57" w:type="dxa"/>
                          <w:bottom w:w="28" w:type="dxa"/>
                          <w:right w:w="57" w:type="dxa"/>
                        </w:tcMar>
                      </w:tcPr>
                      <w:p>
                        <w:pPr>
                          <w:spacing w:line="256" w:lineRule="auto"/>
                          <w:rPr>
                            <w:sz w:val="18"/>
                            <w:szCs w:val="18"/>
                          </w:rPr>
                        </w:pPr>
                      </w:p>
                    </w:tc>
                    <w:tc>
                      <w:tcPr>
                        <w:tcW w:w="423" w:type="pct"/>
                        <w:tcMar>
                          <w:top w:w="28" w:type="dxa"/>
                          <w:left w:w="57" w:type="dxa"/>
                          <w:bottom w:w="28" w:type="dxa"/>
                          <w:right w:w="57" w:type="dxa"/>
                        </w:tcMar>
                      </w:tcPr>
                      <w:p>
                        <w:pPr>
                          <w:spacing w:line="256" w:lineRule="auto"/>
                          <w:rPr>
                            <w:b/>
                            <w:bCs/>
                            <w:sz w:val="18"/>
                            <w:szCs w:val="18"/>
                            <w:lang w:eastAsia="lt-LT"/>
                          </w:rPr>
                        </w:pPr>
                      </w:p>
                    </w:tc>
                    <w:tc>
                      <w:tcPr>
                        <w:tcW w:w="532" w:type="pct"/>
                        <w:tcMar>
                          <w:top w:w="28" w:type="dxa"/>
                          <w:left w:w="57" w:type="dxa"/>
                          <w:bottom w:w="28" w:type="dxa"/>
                          <w:right w:w="57" w:type="dxa"/>
                        </w:tcMar>
                      </w:tcPr>
                      <w:p>
                        <w:pPr>
                          <w:spacing w:line="256" w:lineRule="auto"/>
                          <w:rPr>
                            <w:b/>
                            <w:bCs/>
                            <w:sz w:val="18"/>
                            <w:szCs w:val="18"/>
                            <w:lang w:eastAsia="lt-LT"/>
                          </w:rPr>
                        </w:pPr>
                      </w:p>
                    </w:tc>
                    <w:tc>
                      <w:tcPr>
                        <w:tcW w:w="501" w:type="pct"/>
                        <w:tcMar>
                          <w:top w:w="28" w:type="dxa"/>
                          <w:left w:w="57" w:type="dxa"/>
                          <w:bottom w:w="28" w:type="dxa"/>
                          <w:right w:w="57" w:type="dxa"/>
                        </w:tcMar>
                      </w:tcPr>
                      <w:p>
                        <w:pPr>
                          <w:spacing w:line="256" w:lineRule="auto"/>
                          <w:rPr>
                            <w:b/>
                            <w:bCs/>
                            <w:sz w:val="18"/>
                            <w:szCs w:val="18"/>
                            <w:lang w:eastAsia="lt-LT"/>
                          </w:rPr>
                        </w:pPr>
                      </w:p>
                    </w:tc>
                    <w:tc>
                      <w:tcPr>
                        <w:tcW w:w="751" w:type="pct"/>
                      </w:tcPr>
                      <w:p>
                        <w:pPr>
                          <w:spacing w:line="256" w:lineRule="auto"/>
                          <w:rPr>
                            <w:b/>
                            <w:bCs/>
                            <w:sz w:val="18"/>
                            <w:szCs w:val="18"/>
                            <w:lang w:eastAsia="lt-LT"/>
                          </w:rPr>
                        </w:pPr>
                      </w:p>
                    </w:tc>
                  </w:tr>
                  <w:tr>
                    <w:tc>
                      <w:tcPr>
                        <w:tcW w:w="767" w:type="pct"/>
                        <w:tcMar>
                          <w:top w:w="28" w:type="dxa"/>
                          <w:left w:w="57" w:type="dxa"/>
                          <w:bottom w:w="28" w:type="dxa"/>
                          <w:right w:w="57" w:type="dxa"/>
                        </w:tcMar>
                      </w:tcPr>
                      <w:p>
                        <w:pPr>
                          <w:spacing w:line="256" w:lineRule="auto"/>
                          <w:rPr>
                            <w:b/>
                            <w:bCs/>
                            <w:sz w:val="18"/>
                            <w:szCs w:val="18"/>
                          </w:rPr>
                        </w:pPr>
                      </w:p>
                    </w:tc>
                    <w:tc>
                      <w:tcPr>
                        <w:tcW w:w="2027" w:type="pct"/>
                        <w:tcMar>
                          <w:top w:w="28" w:type="dxa"/>
                          <w:left w:w="57" w:type="dxa"/>
                          <w:bottom w:w="28" w:type="dxa"/>
                          <w:right w:w="57" w:type="dxa"/>
                        </w:tcMar>
                      </w:tcPr>
                      <w:p>
                        <w:pPr>
                          <w:spacing w:line="256" w:lineRule="auto"/>
                          <w:rPr>
                            <w:b/>
                            <w:bCs/>
                            <w:sz w:val="18"/>
                            <w:szCs w:val="18"/>
                          </w:rPr>
                        </w:pPr>
                        <w:r>
                          <w:rPr>
                            <w:b/>
                            <w:bCs/>
                            <w:sz w:val="18"/>
                            <w:szCs w:val="18"/>
                          </w:rPr>
                          <w:t>3 Uždavinys „Kurti vaikui ir šeimai palankią aplinką</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b/>
                            <w:bCs/>
                            <w:sz w:val="18"/>
                            <w:szCs w:val="18"/>
                          </w:rPr>
                        </w:pPr>
                        <w:r>
                          <w:rPr>
                            <w:sz w:val="18"/>
                            <w:szCs w:val="18"/>
                          </w:rPr>
                          <w:t>R-03-01-03-01</w:t>
                        </w:r>
                      </w:p>
                    </w:tc>
                    <w:tc>
                      <w:tcPr>
                        <w:tcW w:w="2027" w:type="pct"/>
                        <w:tcMar>
                          <w:top w:w="28" w:type="dxa"/>
                          <w:left w:w="57" w:type="dxa"/>
                          <w:bottom w:w="28" w:type="dxa"/>
                          <w:right w:w="57" w:type="dxa"/>
                        </w:tcMar>
                      </w:tcPr>
                      <w:p>
                        <w:pPr>
                          <w:spacing w:line="256" w:lineRule="auto"/>
                          <w:rPr>
                            <w:sz w:val="18"/>
                            <w:szCs w:val="18"/>
                          </w:rPr>
                        </w:pPr>
                        <w:r>
                          <w:rPr>
                            <w:sz w:val="18"/>
                            <w:szCs w:val="18"/>
                          </w:rPr>
                          <w:t>Smurtinio elgesio mažinimo programa</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40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40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40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b/>
                            <w:bCs/>
                            <w:sz w:val="18"/>
                            <w:szCs w:val="18"/>
                          </w:rPr>
                        </w:pPr>
                        <w:r>
                          <w:rPr>
                            <w:sz w:val="18"/>
                            <w:szCs w:val="18"/>
                          </w:rPr>
                          <w:t>R-03-01-03-04</w:t>
                        </w:r>
                      </w:p>
                    </w:tc>
                    <w:tc>
                      <w:tcPr>
                        <w:tcW w:w="2027" w:type="pct"/>
                        <w:tcMar>
                          <w:top w:w="28" w:type="dxa"/>
                          <w:left w:w="57" w:type="dxa"/>
                          <w:bottom w:w="28" w:type="dxa"/>
                          <w:right w:w="57" w:type="dxa"/>
                        </w:tcMar>
                      </w:tcPr>
                      <w:p>
                        <w:pPr>
                          <w:spacing w:line="256" w:lineRule="auto"/>
                          <w:rPr>
                            <w:sz w:val="18"/>
                            <w:szCs w:val="18"/>
                          </w:rPr>
                        </w:pPr>
                        <w:r>
                          <w:rPr>
                            <w:sz w:val="18"/>
                            <w:szCs w:val="18"/>
                          </w:rPr>
                          <w:t>Ilgalaikės ir trumpalaikės socialinės globos teikimo Radviliškio rajono savivaldybės vaikams šeimynos veikla</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15</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15</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R-03-01-03-05</w:t>
                        </w:r>
                      </w:p>
                    </w:tc>
                    <w:tc>
                      <w:tcPr>
                        <w:tcW w:w="2027" w:type="pct"/>
                        <w:tcMar>
                          <w:top w:w="28" w:type="dxa"/>
                          <w:left w:w="57" w:type="dxa"/>
                          <w:bottom w:w="28" w:type="dxa"/>
                          <w:right w:w="57" w:type="dxa"/>
                        </w:tcMar>
                      </w:tcPr>
                      <w:p>
                        <w:pPr>
                          <w:spacing w:line="256" w:lineRule="auto"/>
                          <w:rPr>
                            <w:sz w:val="18"/>
                            <w:szCs w:val="18"/>
                          </w:rPr>
                        </w:pPr>
                        <w:r>
                          <w:rPr>
                            <w:sz w:val="18"/>
                            <w:szCs w:val="18"/>
                          </w:rPr>
                          <w:t>Vaikų gerovės ir saugumo didinimo, paslaugų šeimai, globėjams (rūpintojams) kokybės didinimo bei prieinamumo plėtra</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R-03-01-03-06</w:t>
                        </w:r>
                      </w:p>
                    </w:tc>
                    <w:tc>
                      <w:tcPr>
                        <w:tcW w:w="2027" w:type="pct"/>
                        <w:tcMar>
                          <w:top w:w="28" w:type="dxa"/>
                          <w:left w:w="57" w:type="dxa"/>
                          <w:bottom w:w="28" w:type="dxa"/>
                          <w:right w:w="57" w:type="dxa"/>
                        </w:tcMar>
                      </w:tcPr>
                      <w:p>
                        <w:pPr>
                          <w:spacing w:line="256" w:lineRule="auto"/>
                          <w:rPr>
                            <w:sz w:val="18"/>
                            <w:szCs w:val="18"/>
                          </w:rPr>
                        </w:pPr>
                        <w:r>
                          <w:rPr>
                            <w:sz w:val="18"/>
                            <w:szCs w:val="18"/>
                          </w:rPr>
                          <w:t>Kompleksinių paslaugų šeimai veikla</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R-03-02-01</w:t>
                        </w:r>
                      </w:p>
                    </w:tc>
                    <w:tc>
                      <w:tcPr>
                        <w:tcW w:w="2027" w:type="pct"/>
                        <w:tcMar>
                          <w:top w:w="28" w:type="dxa"/>
                          <w:left w:w="57" w:type="dxa"/>
                          <w:bottom w:w="28" w:type="dxa"/>
                          <w:right w:w="57" w:type="dxa"/>
                        </w:tcMar>
                      </w:tcPr>
                      <w:p>
                        <w:pPr>
                          <w:spacing w:line="256" w:lineRule="auto"/>
                          <w:rPr>
                            <w:b/>
                            <w:bCs/>
                            <w:sz w:val="18"/>
                            <w:szCs w:val="18"/>
                          </w:rPr>
                        </w:pPr>
                        <w:r>
                          <w:rPr>
                            <w:b/>
                            <w:bCs/>
                            <w:sz w:val="18"/>
                            <w:szCs w:val="18"/>
                          </w:rPr>
                          <w:t>4 Uždavinys „Galimybės mokytis užtikrinimas“</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R-03-02-01-01/18</w:t>
                        </w:r>
                      </w:p>
                    </w:tc>
                    <w:tc>
                      <w:tcPr>
                        <w:tcW w:w="2027" w:type="pct"/>
                        <w:tcMar>
                          <w:top w:w="28" w:type="dxa"/>
                          <w:left w:w="57" w:type="dxa"/>
                          <w:bottom w:w="28" w:type="dxa"/>
                          <w:right w:w="57" w:type="dxa"/>
                        </w:tcMar>
                      </w:tcPr>
                      <w:p>
                        <w:pPr>
                          <w:spacing w:line="256" w:lineRule="auto"/>
                          <w:rPr>
                            <w:sz w:val="18"/>
                            <w:szCs w:val="18"/>
                          </w:rPr>
                        </w:pPr>
                        <w:r>
                          <w:rPr>
                            <w:sz w:val="18"/>
                            <w:szCs w:val="18"/>
                          </w:rPr>
                          <w:t>1. Nemokamai maitinamų mokinių skaičius (metinis vidutinis)</w:t>
                        </w:r>
                      </w:p>
                    </w:tc>
                    <w:tc>
                      <w:tcPr>
                        <w:tcW w:w="423" w:type="pct"/>
                        <w:tcMar>
                          <w:top w:w="28" w:type="dxa"/>
                          <w:left w:w="57" w:type="dxa"/>
                          <w:bottom w:w="28" w:type="dxa"/>
                          <w:right w:w="57" w:type="dxa"/>
                        </w:tcMar>
                      </w:tcPr>
                      <w:p>
                        <w:pPr>
                          <w:rPr>
                            <w:sz w:val="18"/>
                            <w:szCs w:val="18"/>
                          </w:rPr>
                        </w:pPr>
                      </w:p>
                      <w:p>
                        <w:pPr>
                          <w:spacing w:line="256" w:lineRule="auto"/>
                          <w:rPr>
                            <w:bCs/>
                            <w:sz w:val="18"/>
                            <w:szCs w:val="18"/>
                            <w:lang w:eastAsia="lt-LT"/>
                          </w:rPr>
                        </w:pPr>
                        <w:r>
                          <w:rPr>
                            <w:bCs/>
                            <w:sz w:val="18"/>
                            <w:szCs w:val="18"/>
                            <w:lang w:eastAsia="lt-LT"/>
                          </w:rPr>
                          <w:t>1650</w:t>
                        </w:r>
                      </w:p>
                    </w:tc>
                    <w:tc>
                      <w:tcPr>
                        <w:tcW w:w="532" w:type="pct"/>
                        <w:tcMar>
                          <w:top w:w="28" w:type="dxa"/>
                          <w:left w:w="57" w:type="dxa"/>
                          <w:bottom w:w="28" w:type="dxa"/>
                          <w:right w:w="57" w:type="dxa"/>
                        </w:tcMar>
                      </w:tcPr>
                      <w:p>
                        <w:pPr>
                          <w:rPr>
                            <w:sz w:val="18"/>
                            <w:szCs w:val="18"/>
                          </w:rPr>
                        </w:pPr>
                      </w:p>
                      <w:p>
                        <w:pPr>
                          <w:spacing w:line="256" w:lineRule="auto"/>
                          <w:rPr>
                            <w:bCs/>
                            <w:sz w:val="18"/>
                            <w:szCs w:val="18"/>
                            <w:lang w:eastAsia="lt-LT"/>
                          </w:rPr>
                        </w:pPr>
                        <w:r>
                          <w:rPr>
                            <w:bCs/>
                            <w:sz w:val="18"/>
                            <w:szCs w:val="18"/>
                            <w:lang w:eastAsia="lt-LT"/>
                          </w:rPr>
                          <w:t>1630</w:t>
                        </w:r>
                      </w:p>
                    </w:tc>
                    <w:tc>
                      <w:tcPr>
                        <w:tcW w:w="501" w:type="pct"/>
                        <w:tcMar>
                          <w:top w:w="28" w:type="dxa"/>
                          <w:left w:w="57" w:type="dxa"/>
                          <w:bottom w:w="28" w:type="dxa"/>
                          <w:right w:w="57" w:type="dxa"/>
                        </w:tcMar>
                      </w:tcPr>
                      <w:p>
                        <w:pPr>
                          <w:rPr>
                            <w:sz w:val="18"/>
                            <w:szCs w:val="18"/>
                          </w:rPr>
                        </w:pPr>
                      </w:p>
                      <w:p>
                        <w:pPr>
                          <w:spacing w:line="256" w:lineRule="auto"/>
                          <w:rPr>
                            <w:bCs/>
                            <w:sz w:val="18"/>
                            <w:szCs w:val="18"/>
                            <w:lang w:eastAsia="lt-LT"/>
                          </w:rPr>
                        </w:pPr>
                        <w:r>
                          <w:rPr>
                            <w:bCs/>
                            <w:sz w:val="18"/>
                            <w:szCs w:val="18"/>
                            <w:lang w:eastAsia="lt-LT"/>
                          </w:rPr>
                          <w:t>1610</w:t>
                        </w:r>
                      </w:p>
                    </w:tc>
                    <w:tc>
                      <w:tcPr>
                        <w:tcW w:w="751" w:type="pct"/>
                      </w:tcPr>
                      <w:p>
                        <w:pPr>
                          <w:spacing w:line="256" w:lineRule="auto"/>
                          <w:rPr>
                            <w:bCs/>
                            <w:sz w:val="18"/>
                            <w:szCs w:val="18"/>
                            <w:lang w:eastAsia="lt-LT"/>
                          </w:rPr>
                        </w:pPr>
                      </w:p>
                    </w:tc>
                  </w:tr>
                </w:tbl>
                <w:p>
                  <w:pPr>
                    <w:jc w:val="both"/>
                    <w:rPr>
                      <w:rFonts w:eastAsia="Calibri"/>
                      <w:b/>
                      <w:bCs/>
                      <w:color w:val="000000"/>
                      <w:szCs w:val="24"/>
                    </w:rPr>
                  </w:pPr>
                </w:p>
                <w:tbl>
                  <w:tblPr>
                    <w:tblW w:w="1034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343"/>
                  </w:tblGrid>
                  <w:tr>
                    <w:trPr>
                      <w:jc w:val="center"/>
                    </w:trPr>
                    <w:tc>
                      <w:tcPr>
                        <w:tcW w:w="10343"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567"/>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rPr>
                            <w:bCs/>
                            <w:szCs w:val="24"/>
                            <w:lang w:eastAsia="lt-LT"/>
                          </w:rPr>
                        </w:pPr>
                        <w:r>
                          <w:rPr>
                            <w:szCs w:val="24"/>
                            <w:lang w:eastAsia="lt-LT"/>
                          </w:rPr>
                          <w:t>Radviliškio rajono savivaldybės administracijos Socialinės paramos skyriaus vedėja Rasa Miškinienė +370 422 69 033 rasa.miskiniene@radviliskis.lt</w:t>
                        </w:r>
                      </w:p>
                      <w:p>
                        <w:pPr>
                          <w:ind w:firstLine="731"/>
                          <w:jc w:val="both"/>
                          <w:rPr>
                            <w:bCs/>
                          </w:rPr>
                        </w:pPr>
                      </w:p>
                    </w:tc>
                  </w:tr>
                </w:tbl>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tabs>
                            <w:tab w:val="center" w:pos="4153"/>
                            <w:tab w:val="right" w:pos="8306"/>
                          </w:tabs>
                          <w:jc w:val="center"/>
                          <w:rPr>
                            <w:b/>
                            <w:bCs/>
                            <w:color w:val="000000"/>
                            <w:szCs w:val="24"/>
                          </w:rPr>
                        </w:pPr>
                        <w:r>
                          <w:rPr>
                            <w:b/>
                            <w:bCs/>
                            <w:szCs w:val="24"/>
                          </w:rPr>
                          <w:t xml:space="preserve">04    Infrastruktūros objektų modernizavimo ir plėtros programa</w:t>
                        </w:r>
                      </w:p>
                    </w:tc>
                  </w:tr>
                </w:tbl>
                <w:p/>
              </w:sdtContent>
            </w:sdt>
            <w:sdt>
              <w:sdtPr>
                <w:alias w:val="poskyris"/>
                <w:tag w:val="part_92259effbc99429cababd37e441e7008"/>
                <w:lock w:val="sdtLocked"/>
                <w:richText/>
              </w:sdtPr>
              <w:sdtContent>
                <w:sdt>
                  <w:sdtPr>
                    <w:alias w:val="Pavadinimas"/>
                    <w:tag w:val="title_92259effbc99429cababd37e441e7008"/>
                    <w:lock w:val="sdtLocked"/>
                    <w:richText/>
                  </w:sdtPr>
                  <w:sdtContent>
                    <w:p>
                      <w:pPr>
                        <w:tabs>
                          <w:tab w:val="left" w:pos="1843"/>
                        </w:tabs>
                        <w:ind w:firstLine="993"/>
                        <w:jc w:val="center"/>
                        <w:rPr>
                          <w:b/>
                          <w:bCs/>
                          <w:sz w:val="22"/>
                          <w:szCs w:val="22"/>
                        </w:rPr>
                      </w:pPr>
                      <w:r>
                        <w:rPr>
                          <w:b/>
                          <w:bCs/>
                          <w:sz w:val="22"/>
                          <w:szCs w:val="22"/>
                        </w:rPr>
                        <w:t xml:space="preserve">Rajono savivaldybės infrastruktūros objektų  modernizavimo ir plėtros</w:t>
                      </w:r>
                    </w:p>
                    <w:p>
                      <w:pPr>
                        <w:tabs>
                          <w:tab w:val="left" w:pos="1843"/>
                        </w:tabs>
                        <w:ind w:firstLine="993"/>
                        <w:jc w:val="center"/>
                        <w:rPr>
                          <w:b/>
                          <w:bCs/>
                          <w:sz w:val="22"/>
                          <w:szCs w:val="22"/>
                        </w:rPr>
                      </w:pPr>
                      <w:r>
                        <w:rPr>
                          <w:b/>
                          <w:bCs/>
                          <w:sz w:val="22"/>
                          <w:szCs w:val="22"/>
                        </w:rPr>
                        <w:t>programa ir jos uždaviniai</w:t>
                      </w:r>
                    </w:p>
                  </w:sdtContent>
                </w:sdt>
                <w:p>
                  <w:pPr>
                    <w:tabs>
                      <w:tab w:val="left" w:pos="1843"/>
                    </w:tabs>
                    <w:ind w:firstLine="993"/>
                    <w:jc w:val="both"/>
                    <w:rPr>
                      <w:b/>
                      <w:bCs/>
                      <w:sz w:val="22"/>
                      <w:szCs w:val="22"/>
                    </w:rPr>
                  </w:pPr>
                </w:p>
                <w:tbl>
                  <w:tblPr>
                    <w:tblW w:w="7365" w:type="dxa"/>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5"/>
                    <w:gridCol w:w="142"/>
                    <w:gridCol w:w="109"/>
                    <w:gridCol w:w="3999"/>
                  </w:tblGrid>
                  <w:tr>
                    <w:trPr>
                      <w:trHeight w:val="330"/>
                    </w:trPr>
                    <w:tc>
                      <w:tcPr>
                        <w:tcW w:w="7365" w:type="dxa"/>
                        <w:gridSpan w:val="4"/>
                        <w:tcBorders>
                          <w:top w:val="single" w:sz="4" w:space="0" w:color="auto"/>
                          <w:left w:val="single" w:sz="4" w:space="0" w:color="auto"/>
                          <w:bottom w:val="single" w:sz="4" w:space="0" w:color="auto"/>
                          <w:right w:val="single" w:sz="4" w:space="0" w:color="auto"/>
                        </w:tcBorders>
                        <w:shd w:val="clear" w:color="auto" w:fill="F4B183"/>
                        <w:noWrap/>
                        <w:hideMark/>
                      </w:tcPr>
                      <w:p>
                        <w:pPr>
                          <w:ind w:firstLine="29"/>
                          <w:jc w:val="center"/>
                          <w:rPr>
                            <w:b/>
                            <w:bCs/>
                            <w:sz w:val="22"/>
                            <w:szCs w:val="22"/>
                          </w:rPr>
                        </w:pPr>
                        <w:r>
                          <w:rPr>
                            <w:b/>
                            <w:bCs/>
                            <w:sz w:val="22"/>
                            <w:szCs w:val="22"/>
                          </w:rPr>
                          <w:t xml:space="preserve">4. Rajono savivaldybės infrastruktūros objektų  modernizavimo ir plėtros programa</w:t>
                        </w:r>
                      </w:p>
                    </w:tc>
                  </w:tr>
                  <w:tr>
                    <w:trPr>
                      <w:gridBefore w:val="1"/>
                      <w:wBefore w:w="3115" w:type="dxa"/>
                      <w:trHeight w:val="300"/>
                    </w:trPr>
                    <w:tc>
                      <w:tcPr>
                        <w:tcW w:w="251" w:type="dxa"/>
                        <w:gridSpan w:val="2"/>
                        <w:tcBorders>
                          <w:top w:val="nil"/>
                          <w:left w:val="nil"/>
                          <w:bottom w:val="nil"/>
                          <w:right w:val="nil"/>
                        </w:tcBorders>
                        <w:noWrap/>
                        <w:vAlign w:val="bottom"/>
                        <w:hideMark/>
                      </w:tcPr>
                      <w:p/>
                    </w:tc>
                    <w:tc>
                      <w:tcPr>
                        <w:tcW w:w="3999" w:type="dxa"/>
                        <w:tcBorders>
                          <w:top w:val="nil"/>
                          <w:left w:val="single" w:sz="4" w:space="0" w:color="auto"/>
                          <w:bottom w:val="single" w:sz="4" w:space="0" w:color="auto"/>
                          <w:right w:val="nil"/>
                        </w:tcBorders>
                        <w:noWrap/>
                        <w:vAlign w:val="bottom"/>
                        <w:hideMark/>
                      </w:tcPr>
                      <w:p>
                        <w:pPr>
                          <w:ind w:left="-501" w:right="500" w:firstLine="124"/>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ind w:right="500"/>
                          <w:jc w:val="center"/>
                          <w:rPr>
                            <w:color w:val="000000"/>
                            <w:sz w:val="22"/>
                            <w:szCs w:val="22"/>
                            <w:lang w:eastAsia="lt-LT"/>
                          </w:rPr>
                        </w:pPr>
                        <w:r>
                          <w:rPr>
                            <w:color w:val="000000"/>
                            <w:sz w:val="22"/>
                            <w:szCs w:val="22"/>
                            <w:lang w:eastAsia="lt-LT"/>
                          </w:rPr>
                          <w:t>4.1.1. uždavinys „Užtikrinti urbanistinių teritorijų darnią plėtrą“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single" w:sz="4" w:space="0" w:color="auto"/>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auto"/>
                        </w:tcBorders>
                        <w:shd w:val="clear" w:color="auto" w:fill="FFE8CB"/>
                        <w:vAlign w:val="center"/>
                        <w:hideMark/>
                      </w:tcPr>
                      <w:p>
                        <w:pPr>
                          <w:jc w:val="center"/>
                          <w:rPr>
                            <w:color w:val="000000"/>
                            <w:sz w:val="22"/>
                            <w:szCs w:val="22"/>
                            <w:lang w:eastAsia="lt-LT"/>
                          </w:rPr>
                        </w:pPr>
                        <w:r>
                          <w:rPr>
                            <w:color w:val="000000"/>
                            <w:sz w:val="22"/>
                            <w:szCs w:val="22"/>
                            <w:lang w:eastAsia="lt-LT"/>
                          </w:rPr>
                          <w:t>4.1.2. uždavinys „Modernizuoti susisiekimo infrastruktūrą, skatinti darnų judumą“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nil"/>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4.1.3. uždavinys „Modernizuoti ir išplėsti rajono savivaldybės inžinerinę infrastruktūrą, užtikrinti patrauklią gyvenamąją aplinką“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nil"/>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4.1.4. „Modernizuoti Radviliškio rajono savivaldybės viešuosius pastatus, siekiant mažinti šilumos energijos suvartojimą bei gerinti teikiamų paslaugų kokybę“</w:t>
                        </w:r>
                      </w:p>
                    </w:tc>
                  </w:tr>
                  <w:tr>
                    <w:trPr>
                      <w:trHeight w:val="330"/>
                    </w:trPr>
                    <w:tc>
                      <w:tcPr>
                        <w:tcW w:w="3257" w:type="dxa"/>
                        <w:gridSpan w:val="2"/>
                        <w:tcBorders>
                          <w:top w:val="nil"/>
                          <w:left w:val="nil"/>
                          <w:bottom w:val="nil"/>
                          <w:right w:val="nil"/>
                        </w:tcBorders>
                        <w:vAlign w:val="center"/>
                        <w:hideMark/>
                      </w:tcPr>
                      <w:p>
                        <w:pPr>
                          <w:rPr>
                            <w:color w:val="000000"/>
                            <w:sz w:val="22"/>
                            <w:szCs w:val="22"/>
                            <w:lang w:eastAsia="lt-LT"/>
                          </w:rPr>
                        </w:pPr>
                      </w:p>
                    </w:tc>
                    <w:tc>
                      <w:tcPr>
                        <w:tcW w:w="4108" w:type="dxa"/>
                        <w:gridSpan w:val="2"/>
                        <w:tcBorders>
                          <w:top w:val="nil"/>
                          <w:left w:val="single" w:sz="4" w:space="0" w:color="auto"/>
                          <w:bottom w:val="nil"/>
                          <w:right w:val="nil"/>
                        </w:tcBorders>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4.2.1. uždavinys „Pritaikyti gamtos ir kultūros paveldo objektus lankytojams, švietimui, kultūrai, edukacijai bei kitų paslaugų teikimui“</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single" w:sz="4" w:space="0" w:color="auto"/>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4.2.2. uždavinys „Didinti miesto ir kaimo gyvenamųjų erdvių ir kraštovaizdžio patrauklumą“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single" w:sz="4" w:space="0" w:color="auto"/>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4.2.3. uždavinys „Užtikrinti efektyvų viešąjį valdymą, gerinti paslaugų kokybę ir prieinamumą“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single" w:sz="4" w:space="0" w:color="auto"/>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4.3.1. uždavinys „Užtikrinti vienodas galimybes naudotis sveikatos priežiūros paslaugomis“</w:t>
                        </w:r>
                      </w:p>
                    </w:tc>
                  </w:tr>
                </w:tbl>
                <w:p>
                  <w:pPr>
                    <w:tabs>
                      <w:tab w:val="center" w:pos="4153"/>
                      <w:tab w:val="right" w:pos="8306"/>
                    </w:tabs>
                    <w:jc w:val="center"/>
                    <w:rPr>
                      <w:b/>
                      <w:bCs/>
                      <w:szCs w:val="24"/>
                    </w:rPr>
                  </w:pPr>
                </w:p>
                <w:tbl>
                  <w:tblPr>
                    <w:tblW w:w="998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252"/>
                    <w:gridCol w:w="3729"/>
                  </w:tblGrid>
                  <w:tr>
                    <w:trPr>
                      <w:jc w:val="center"/>
                    </w:trPr>
                    <w:tc>
                      <w:tcPr>
                        <w:tcW w:w="6252" w:type="dxa"/>
                        <w:shd w:val="clear" w:color="auto" w:fill="FFE8CB"/>
                      </w:tcPr>
                      <w:p>
                        <w:pPr>
                          <w:tabs>
                            <w:tab w:val="center" w:pos="4153"/>
                            <w:tab w:val="right" w:pos="8306"/>
                          </w:tabs>
                          <w:snapToGrid w:val="0"/>
                          <w:jc w:val="center"/>
                          <w:rPr>
                            <w:b/>
                            <w:szCs w:val="24"/>
                          </w:rPr>
                        </w:pPr>
                        <w:r>
                          <w:rPr>
                            <w:b/>
                            <w:szCs w:val="24"/>
                          </w:rPr>
                          <w:t>Programos vykdytojas</w:t>
                        </w:r>
                      </w:p>
                    </w:tc>
                    <w:tc>
                      <w:tcPr>
                        <w:tcW w:w="3729" w:type="dxa"/>
                        <w:shd w:val="clear" w:color="auto" w:fill="FFE8CB"/>
                      </w:tcPr>
                      <w:p>
                        <w:pPr>
                          <w:tabs>
                            <w:tab w:val="center" w:pos="4153"/>
                            <w:tab w:val="right" w:pos="8306"/>
                          </w:tabs>
                          <w:snapToGrid w:val="0"/>
                          <w:jc w:val="center"/>
                          <w:rPr>
                            <w:b/>
                            <w:bCs/>
                            <w:szCs w:val="24"/>
                          </w:rPr>
                        </w:pPr>
                        <w:r>
                          <w:rPr>
                            <w:b/>
                            <w:szCs w:val="24"/>
                          </w:rPr>
                          <w:t>Vykdytojo kodas</w:t>
                        </w:r>
                      </w:p>
                    </w:tc>
                  </w:tr>
                  <w:tr>
                    <w:trPr>
                      <w:jc w:val="center"/>
                    </w:trPr>
                    <w:tc>
                      <w:tcPr>
                        <w:tcW w:w="6252" w:type="dxa"/>
                        <w:vAlign w:val="bottom"/>
                      </w:tcPr>
                      <w:p>
                        <w:r>
                          <w:rPr>
                            <w:rFonts w:ascii="Calibri" w:hAnsi="Calibri" w:cs="Calibri"/>
                            <w:color w:val="000000"/>
                            <w:sz w:val="22"/>
                            <w:szCs w:val="22"/>
                          </w:rPr>
                          <w:t>Radviliškio rajono savivaldybės administracija</w:t>
                        </w:r>
                      </w:p>
                    </w:tc>
                    <w:tc>
                      <w:tcPr>
                        <w:tcW w:w="3729" w:type="dxa"/>
                        <w:vAlign w:val="bottom"/>
                      </w:tcPr>
                      <w:p>
                        <w:pPr>
                          <w:jc w:val="center"/>
                          <w:rPr>
                            <w:szCs w:val="24"/>
                          </w:rPr>
                        </w:pPr>
                        <w:r>
                          <w:rPr>
                            <w:rFonts w:ascii="Calibri" w:hAnsi="Calibri" w:cs="Calibri"/>
                            <w:color w:val="000000"/>
                            <w:sz w:val="22"/>
                            <w:szCs w:val="22"/>
                          </w:rPr>
                          <w:t>188726247</w:t>
                        </w:r>
                      </w:p>
                    </w:tc>
                  </w:tr>
                  <w:tr>
                    <w:trPr>
                      <w:jc w:val="center"/>
                    </w:trPr>
                    <w:tc>
                      <w:tcPr>
                        <w:tcW w:w="6252" w:type="dxa"/>
                        <w:vAlign w:val="bottom"/>
                      </w:tcPr>
                      <w:p>
                        <w:r>
                          <w:rPr>
                            <w:rFonts w:ascii="Calibri" w:hAnsi="Calibri" w:cs="Calibri"/>
                            <w:color w:val="000000"/>
                            <w:sz w:val="22"/>
                            <w:szCs w:val="22"/>
                          </w:rPr>
                          <w:t>Radviliškio rajono savivaldybės administracijos Investicijų ir turto valdymo skyrius</w:t>
                        </w:r>
                      </w:p>
                    </w:tc>
                    <w:tc>
                      <w:tcPr>
                        <w:tcW w:w="3729" w:type="dxa"/>
                        <w:vAlign w:val="bottom"/>
                      </w:tcPr>
                      <w:p>
                        <w:pPr>
                          <w:jc w:val="center"/>
                        </w:pPr>
                        <w:r>
                          <w:rPr>
                            <w:rFonts w:ascii="Calibri" w:hAnsi="Calibri" w:cs="Calibri"/>
                            <w:color w:val="000000"/>
                            <w:sz w:val="22"/>
                            <w:szCs w:val="22"/>
                          </w:rPr>
                          <w:t>188726247</w:t>
                        </w:r>
                      </w:p>
                    </w:tc>
                  </w:tr>
                  <w:tr>
                    <w:trPr>
                      <w:jc w:val="center"/>
                    </w:trPr>
                    <w:tc>
                      <w:tcPr>
                        <w:tcW w:w="6252" w:type="dxa"/>
                        <w:vAlign w:val="bottom"/>
                      </w:tcPr>
                      <w:p>
                        <w:r>
                          <w:rPr>
                            <w:rFonts w:ascii="Calibri" w:hAnsi="Calibri" w:cs="Calibri"/>
                            <w:color w:val="000000"/>
                            <w:sz w:val="22"/>
                            <w:szCs w:val="22"/>
                          </w:rPr>
                          <w:t>Radviliškio rajono visuomenės sveikatos biuras</w:t>
                        </w:r>
                      </w:p>
                    </w:tc>
                    <w:tc>
                      <w:tcPr>
                        <w:tcW w:w="3729" w:type="dxa"/>
                        <w:vAlign w:val="bottom"/>
                      </w:tcPr>
                      <w:p>
                        <w:pPr>
                          <w:jc w:val="center"/>
                        </w:pPr>
                        <w:r>
                          <w:rPr>
                            <w:rFonts w:ascii="Calibri" w:hAnsi="Calibri" w:cs="Calibri"/>
                            <w:color w:val="000000"/>
                            <w:sz w:val="22"/>
                            <w:szCs w:val="22"/>
                          </w:rPr>
                          <w:t>302296907</w:t>
                        </w:r>
                      </w:p>
                    </w:tc>
                  </w:tr>
                  <w:tr>
                    <w:trPr>
                      <w:jc w:val="center"/>
                    </w:trPr>
                    <w:tc>
                      <w:tcPr>
                        <w:tcW w:w="6252" w:type="dxa"/>
                        <w:vAlign w:val="bottom"/>
                      </w:tcPr>
                      <w:p>
                        <w:pPr>
                          <w:rPr>
                            <w:color w:val="000000"/>
                            <w:szCs w:val="24"/>
                          </w:rPr>
                        </w:pPr>
                        <w:r>
                          <w:rPr>
                            <w:rFonts w:ascii="Calibri" w:hAnsi="Calibri" w:cs="Calibri"/>
                            <w:color w:val="000000"/>
                            <w:sz w:val="22"/>
                            <w:szCs w:val="22"/>
                          </w:rPr>
                          <w:t>VšĮ Radviliškio rajono pirminės sveikatos priežiūros centras</w:t>
                        </w:r>
                      </w:p>
                    </w:tc>
                    <w:tc>
                      <w:tcPr>
                        <w:tcW w:w="3729" w:type="dxa"/>
                        <w:vAlign w:val="bottom"/>
                      </w:tcPr>
                      <w:p>
                        <w:pPr>
                          <w:jc w:val="center"/>
                          <w:rPr>
                            <w:color w:val="000000"/>
                            <w:szCs w:val="24"/>
                          </w:rPr>
                        </w:pPr>
                        <w:r>
                          <w:rPr>
                            <w:rFonts w:ascii="Calibri" w:hAnsi="Calibri" w:cs="Calibri"/>
                            <w:color w:val="000000"/>
                            <w:sz w:val="22"/>
                            <w:szCs w:val="22"/>
                          </w:rPr>
                          <w:t>171448918</w:t>
                        </w:r>
                      </w:p>
                    </w:tc>
                  </w:tr>
                </w:tbl>
                <w:p>
                  <w:pPr>
                    <w:tabs>
                      <w:tab w:val="center" w:pos="4153"/>
                      <w:tab w:val="right" w:pos="8306"/>
                    </w:tabs>
                    <w:jc w:val="center"/>
                    <w:rPr>
                      <w:b/>
                      <w:bCs/>
                      <w:szCs w:val="24"/>
                    </w:rPr>
                  </w:pPr>
                </w:p>
                <w:p>
                  <w:pPr>
                    <w:tabs>
                      <w:tab w:val="center" w:pos="4153"/>
                      <w:tab w:val="right" w:pos="8306"/>
                    </w:tabs>
                    <w:jc w:val="center"/>
                    <w:rPr>
                      <w:b/>
                      <w:bCs/>
                      <w:szCs w:val="24"/>
                    </w:rPr>
                  </w:pPr>
                </w:p>
                <w:p>
                  <w:pPr>
                    <w:tabs>
                      <w:tab w:val="center" w:pos="4153"/>
                      <w:tab w:val="right" w:pos="8306"/>
                    </w:tabs>
                    <w:jc w:val="center"/>
                    <w:rPr>
                      <w:b/>
                      <w:bCs/>
                      <w:szCs w:val="24"/>
                    </w:rPr>
                  </w:pPr>
                </w:p>
                <w:p>
                  <w:pPr>
                    <w:tabs>
                      <w:tab w:val="center" w:pos="4153"/>
                      <w:tab w:val="right" w:pos="8306"/>
                    </w:tabs>
                    <w:jc w:val="center"/>
                    <w:rPr>
                      <w:b/>
                      <w:bCs/>
                      <w:szCs w:val="24"/>
                    </w:rPr>
                  </w:pPr>
                </w:p>
                <w:p>
                  <w:pPr>
                    <w:tabs>
                      <w:tab w:val="center" w:pos="4153"/>
                      <w:tab w:val="right" w:pos="8306"/>
                    </w:tabs>
                    <w:jc w:val="center"/>
                    <w:rPr>
                      <w:b/>
                      <w:bCs/>
                      <w:szCs w:val="24"/>
                    </w:rPr>
                  </w:pPr>
                </w:p>
              </w:sdtContent>
            </w:sdt>
            <w:sdt>
              <w:sdtPr>
                <w:alias w:val="poskyris"/>
                <w:tag w:val="part_3d6c2e739dd24f9faaf3b23bfd4d7f9f"/>
                <w:lock w:val="sdtLocked"/>
                <w:richText/>
              </w:sdtPr>
              <w:sdtContent>
                <w:p>
                  <w:pPr>
                    <w:tabs>
                      <w:tab w:val="center" w:pos="4153"/>
                      <w:tab w:val="right" w:pos="8306"/>
                    </w:tabs>
                    <w:ind w:firstLine="124"/>
                    <w:jc w:val="center"/>
                    <w:rPr>
                      <w:b/>
                      <w:bCs/>
                      <w:szCs w:val="22"/>
                    </w:rPr>
                  </w:pPr>
                  <w:sdt>
                    <w:sdtPr>
                      <w:alias w:val="Pavadinimas"/>
                      <w:tag w:val="title_3d6c2e739dd24f9faaf3b23bfd4d7f9f"/>
                      <w:lock w:val="sdtLocked"/>
                      <w:richText/>
                    </w:sdtPr>
                    <w:sdtContent>
                      <w:r>
                        <w:rPr>
                          <w:b/>
                          <w:bCs/>
                          <w:szCs w:val="24"/>
                        </w:rPr>
                        <w:t>Infrastruktūros objektų modernizavimo ir plėtros programos</w:t>
                      </w:r>
                      <w:r>
                        <w:rPr>
                          <w:b/>
                          <w:bCs/>
                          <w:szCs w:val="22"/>
                        </w:rPr>
                        <w:t xml:space="preserve"> aprašymas</w:t>
                      </w:r>
                    </w:sdtContent>
                  </w:sdt>
                </w:p>
                <w:tbl>
                  <w:tblPr>
                    <w:tblW w:w="1034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24"/>
                    <w:gridCol w:w="3203"/>
                    <w:gridCol w:w="5412"/>
                    <w:gridCol w:w="994"/>
                    <w:gridCol w:w="710"/>
                  </w:tblGrid>
                  <w:tr>
                    <w:trPr>
                      <w:trHeight w:val="762"/>
                      <w:jc w:val="center"/>
                    </w:trPr>
                    <w:tc>
                      <w:tcPr>
                        <w:tcW w:w="10343" w:type="dxa"/>
                        <w:gridSpan w:val="5"/>
                      </w:tcPr>
                      <w:p>
                        <w:pPr>
                          <w:tabs>
                            <w:tab w:val="left" w:pos="0"/>
                            <w:tab w:val="center" w:pos="4153"/>
                            <w:tab w:val="right" w:pos="8306"/>
                          </w:tabs>
                          <w:ind w:firstLine="731"/>
                          <w:jc w:val="both"/>
                          <w:rPr>
                            <w:szCs w:val="24"/>
                          </w:rPr>
                        </w:pPr>
                        <w:r>
                          <w:rPr>
                            <w:b/>
                            <w:szCs w:val="24"/>
                          </w:rPr>
                          <w:t>Programos parengimo argumentai</w:t>
                        </w:r>
                      </w:p>
                      <w:p>
                        <w:pPr>
                          <w:tabs>
                            <w:tab w:val="left" w:pos="0"/>
                            <w:tab w:val="center" w:pos="4153"/>
                            <w:tab w:val="right" w:pos="8306"/>
                          </w:tabs>
                          <w:ind w:firstLine="731"/>
                          <w:jc w:val="both"/>
                          <w:rPr>
                            <w:szCs w:val="24"/>
                          </w:rPr>
                        </w:pPr>
                        <w:r>
                          <w:rPr>
                            <w:szCs w:val="24"/>
                          </w:rPr>
                          <w:t xml:space="preserve">Šios programos tikslai ir uždaviniai nukreipti į Radviliškio rajono savivaldybės 2021–2030 m. strateginio plėtros plano 1 prioriteto „Pažangi ir žalia ekonomika“ ir 3 prioriteto „Pasiekiama, modernios infrastruktūros  žalioji savivaldybė“ tikslų ir uždavinių įgyvendinimą:</w:t>
                        </w:r>
                      </w:p>
                      <w:p>
                        <w:pPr>
                          <w:tabs>
                            <w:tab w:val="left" w:pos="0"/>
                            <w:tab w:val="center" w:pos="4153"/>
                            <w:tab w:val="right" w:pos="8306"/>
                          </w:tabs>
                          <w:ind w:firstLine="731"/>
                          <w:jc w:val="both"/>
                          <w:rPr>
                            <w:szCs w:val="24"/>
                          </w:rPr>
                        </w:pPr>
                        <w:r>
                          <w:rPr>
                            <w:szCs w:val="24"/>
                          </w:rPr>
                          <w:t>Savivaldybės patrauklumo didinimą;</w:t>
                        </w:r>
                      </w:p>
                      <w:p>
                        <w:pPr>
                          <w:tabs>
                            <w:tab w:val="left" w:pos="0"/>
                            <w:tab w:val="center" w:pos="4153"/>
                            <w:tab w:val="right" w:pos="8306"/>
                          </w:tabs>
                          <w:ind w:firstLine="731"/>
                          <w:jc w:val="both"/>
                          <w:rPr>
                            <w:szCs w:val="24"/>
                          </w:rPr>
                        </w:pPr>
                        <w:r>
                          <w:rPr>
                            <w:szCs w:val="24"/>
                          </w:rPr>
                          <w:t>verslui palankios aplinkos sudarymą;</w:t>
                        </w:r>
                      </w:p>
                      <w:p>
                        <w:pPr>
                          <w:tabs>
                            <w:tab w:val="left" w:pos="0"/>
                            <w:tab w:val="center" w:pos="4153"/>
                            <w:tab w:val="right" w:pos="8306"/>
                          </w:tabs>
                          <w:ind w:firstLine="731"/>
                          <w:jc w:val="both"/>
                          <w:rPr>
                            <w:szCs w:val="24"/>
                          </w:rPr>
                        </w:pPr>
                        <w:r>
                          <w:rPr>
                            <w:szCs w:val="24"/>
                          </w:rPr>
                          <w:t xml:space="preserve">infrastruktūros objektų modernizavimą ir plėtrą įvairiose srityse – socialinio sektoriaus (socialinių paslaugų, sveikatos apsaugos, švietimo, kultūros, sporto ir kt.) paslaugų tinklo išplėtimą bei materialinės bazės gerinimą; </w:t>
                        </w:r>
                      </w:p>
                      <w:p>
                        <w:pPr>
                          <w:tabs>
                            <w:tab w:val="left" w:pos="0"/>
                            <w:tab w:val="center" w:pos="4153"/>
                            <w:tab w:val="right" w:pos="8306"/>
                          </w:tabs>
                          <w:ind w:firstLine="731"/>
                          <w:jc w:val="both"/>
                          <w:rPr>
                            <w:szCs w:val="24"/>
                          </w:rPr>
                        </w:pPr>
                        <w:r>
                          <w:rPr>
                            <w:szCs w:val="24"/>
                          </w:rPr>
                          <w:t xml:space="preserve">inžinerinių komunikacijų (vandens, šilumos tiekimo, vietinės reikšmės kelių ir gatvių infrastruktūros, gatvių apšvietimo tinklų) atnaujinimą ir išplėtojimą; </w:t>
                        </w:r>
                      </w:p>
                      <w:p>
                        <w:pPr>
                          <w:tabs>
                            <w:tab w:val="left" w:pos="0"/>
                            <w:tab w:val="center" w:pos="4153"/>
                            <w:tab w:val="right" w:pos="8306"/>
                          </w:tabs>
                          <w:ind w:firstLine="731"/>
                          <w:jc w:val="both"/>
                          <w:rPr>
                            <w:szCs w:val="24"/>
                          </w:rPr>
                        </w:pPr>
                        <w:r>
                          <w:rPr>
                            <w:szCs w:val="24"/>
                          </w:rPr>
                          <w:t>turizmo infrastruktūros objektų atnaujinimą ir patrauklumo skatinimą;</w:t>
                        </w:r>
                      </w:p>
                      <w:p>
                        <w:pPr>
                          <w:tabs>
                            <w:tab w:val="left" w:pos="0"/>
                            <w:tab w:val="center" w:pos="4153"/>
                            <w:tab w:val="right" w:pos="8306"/>
                          </w:tabs>
                          <w:ind w:firstLine="731"/>
                          <w:jc w:val="both"/>
                          <w:rPr>
                            <w:szCs w:val="24"/>
                          </w:rPr>
                        </w:pPr>
                        <w:r>
                          <w:rPr>
                            <w:bCs/>
                            <w:szCs w:val="24"/>
                          </w:rPr>
                          <w:t xml:space="preserve">efektyvų viešąjį valdymą, gerinant paslaugų kokybę ir prieinamumą gyventojams. </w:t>
                        </w:r>
                      </w:p>
                      <w:p>
                        <w:pPr>
                          <w:tabs>
                            <w:tab w:val="left" w:pos="0"/>
                            <w:tab w:val="center" w:pos="4153"/>
                            <w:tab w:val="right" w:pos="8306"/>
                          </w:tabs>
                          <w:ind w:firstLine="731"/>
                          <w:jc w:val="both"/>
                          <w:rPr>
                            <w:szCs w:val="24"/>
                          </w:rPr>
                        </w:pPr>
                        <w:r>
                          <w:rPr>
                            <w:szCs w:val="24"/>
                          </w:rPr>
                          <w:t>Programoje numatytoms priemonėms įgyvendinti naudojamos Savivaldybės, Lietuvos Respublikos valstybės biudžeto, Europos Sąjungos ir kitų finansinių mechanizmų lėšos.</w:t>
                        </w:r>
                      </w:p>
                      <w:p>
                        <w:pPr>
                          <w:tabs>
                            <w:tab w:val="left" w:pos="0"/>
                            <w:tab w:val="center" w:pos="4153"/>
                            <w:tab w:val="right" w:pos="8306"/>
                          </w:tabs>
                          <w:ind w:firstLine="731"/>
                          <w:jc w:val="both"/>
                          <w:rPr>
                            <w:szCs w:val="24"/>
                          </w:rPr>
                        </w:pPr>
                      </w:p>
                    </w:tc>
                  </w:tr>
                  <w:tr>
                    <w:tblPrEx>
                      <w:jc w:val="left"/>
                      <w:tblBorders>
                        <w:insideV w:val="single" w:sz="4" w:space="0" w:color="auto"/>
                      </w:tblBorders>
                      <w:tblLook w:val="04A0" w:firstRow="1" w:lastRow="0" w:firstColumn="1" w:lastColumn="0" w:noHBand="0" w:noVBand="1"/>
                    </w:tblPrEx>
                    <w:trPr>
                      <w:gridBefore w:val="1"/>
                      <w:wBefore w:w="24" w:type="dxa"/>
                      <w:trHeight w:val="844"/>
                    </w:trPr>
                    <w:tc>
                      <w:tcPr>
                        <w:tcW w:w="3203" w:type="dxa"/>
                        <w:tcBorders>
                          <w:right w:val="single" w:sz="4" w:space="0" w:color="FFC000"/>
                        </w:tcBorders>
                        <w:hideMark/>
                      </w:tcPr>
                      <w:p>
                        <w:pPr>
                          <w:tabs>
                            <w:tab w:val="left" w:pos="0"/>
                          </w:tabs>
                          <w:rPr>
                            <w:b/>
                            <w:szCs w:val="24"/>
                          </w:rPr>
                        </w:pPr>
                        <w:r>
                          <w:rPr>
                            <w:b/>
                            <w:szCs w:val="24"/>
                          </w:rPr>
                          <w:t>Ilgalaikis prioritetas (pagal RRSPP)</w:t>
                        </w:r>
                      </w:p>
                    </w:tc>
                    <w:tc>
                      <w:tcPr>
                        <w:tcW w:w="5412" w:type="dxa"/>
                        <w:tcBorders>
                          <w:left w:val="single" w:sz="4" w:space="0" w:color="FFC000"/>
                          <w:right w:val="single" w:sz="4" w:space="0" w:color="FFC000"/>
                        </w:tcBorders>
                      </w:tcPr>
                      <w:p>
                        <w:pPr>
                          <w:tabs>
                            <w:tab w:val="left" w:pos="0"/>
                          </w:tabs>
                          <w:rPr>
                            <w:szCs w:val="24"/>
                            <w:lang w:eastAsia="ar-SA"/>
                          </w:rPr>
                        </w:pPr>
                        <w:r>
                          <w:rPr>
                            <w:szCs w:val="24"/>
                            <w:lang w:eastAsia="ar-SA"/>
                          </w:rPr>
                          <w:t>Pažangi ir žalia ekonomika.</w:t>
                        </w:r>
                      </w:p>
                      <w:p>
                        <w:pPr>
                          <w:keepNext/>
                          <w:tabs>
                            <w:tab w:val="left" w:pos="0"/>
                          </w:tabs>
                          <w:suppressAutoHyphens/>
                          <w:outlineLvl w:val="4"/>
                          <w:rPr>
                            <w:szCs w:val="24"/>
                            <w:lang w:eastAsia="ar-SA"/>
                          </w:rPr>
                        </w:pPr>
                        <w:r>
                          <w:rPr>
                            <w:szCs w:val="24"/>
                            <w:lang w:eastAsia="ar-SA"/>
                          </w:rPr>
                          <w:t>Pasiekiama, modernios infrastruktūros žalioji savivaldybė.</w:t>
                        </w:r>
                      </w:p>
                      <w:p>
                        <w:pPr>
                          <w:tabs>
                            <w:tab w:val="left" w:pos="0"/>
                          </w:tabs>
                          <w:rPr>
                            <w:szCs w:val="24"/>
                            <w:lang w:eastAsia="ar-SA"/>
                          </w:rPr>
                        </w:pPr>
                      </w:p>
                      <w:p>
                        <w:pPr>
                          <w:tabs>
                            <w:tab w:val="left" w:pos="0"/>
                          </w:tabs>
                          <w:rPr>
                            <w:szCs w:val="24"/>
                            <w:lang w:eastAsia="ar-SA"/>
                          </w:rPr>
                        </w:pPr>
                      </w:p>
                    </w:tc>
                    <w:tc>
                      <w:tcPr>
                        <w:tcW w:w="994" w:type="dxa"/>
                        <w:tcBorders>
                          <w:left w:val="single" w:sz="4" w:space="0" w:color="FFC000"/>
                          <w:right w:val="single" w:sz="4" w:space="0" w:color="FFC000"/>
                        </w:tcBorders>
                        <w:hideMark/>
                      </w:tcPr>
                      <w:p>
                        <w:pPr>
                          <w:keepNext/>
                          <w:tabs>
                            <w:tab w:val="left" w:pos="0"/>
                          </w:tabs>
                          <w:suppressAutoHyphens/>
                          <w:snapToGrid w:val="0"/>
                          <w:outlineLvl w:val="4"/>
                          <w:rPr>
                            <w:b/>
                            <w:bCs/>
                            <w:szCs w:val="24"/>
                            <w:lang w:eastAsia="ar-SA"/>
                          </w:rPr>
                        </w:pPr>
                        <w:r>
                          <w:rPr>
                            <w:b/>
                            <w:bCs/>
                            <w:szCs w:val="24"/>
                            <w:lang w:eastAsia="ar-SA"/>
                          </w:rPr>
                          <w:t>Kodas</w:t>
                        </w:r>
                      </w:p>
                    </w:tc>
                    <w:tc>
                      <w:tcPr>
                        <w:tcW w:w="710" w:type="dxa"/>
                        <w:tcBorders>
                          <w:left w:val="single" w:sz="4" w:space="0" w:color="FFC000"/>
                        </w:tcBorders>
                        <w:hideMark/>
                      </w:tcPr>
                      <w:p>
                        <w:pPr>
                          <w:tabs>
                            <w:tab w:val="left" w:pos="0"/>
                          </w:tabs>
                          <w:jc w:val="center"/>
                          <w:rPr>
                            <w:szCs w:val="24"/>
                            <w:lang w:eastAsia="ar-SA"/>
                          </w:rPr>
                        </w:pPr>
                        <w:r>
                          <w:rPr>
                            <w:szCs w:val="24"/>
                            <w:lang w:eastAsia="ar-SA"/>
                          </w:rPr>
                          <w:t>1.</w:t>
                        </w:r>
                      </w:p>
                      <w:p>
                        <w:pPr>
                          <w:tabs>
                            <w:tab w:val="left" w:pos="0"/>
                          </w:tabs>
                          <w:jc w:val="center"/>
                          <w:rPr>
                            <w:szCs w:val="24"/>
                            <w:lang w:eastAsia="ar-SA"/>
                          </w:rPr>
                        </w:pPr>
                        <w:r>
                          <w:rPr>
                            <w:szCs w:val="24"/>
                            <w:lang w:eastAsia="ar-SA"/>
                          </w:rPr>
                          <w:t>3.</w:t>
                        </w:r>
                      </w:p>
                    </w:tc>
                  </w:tr>
                  <w:tr>
                    <w:tblPrEx>
                      <w:jc w:val="left"/>
                      <w:tblBorders>
                        <w:insideV w:val="single" w:sz="4" w:space="0" w:color="auto"/>
                      </w:tblBorders>
                      <w:tblLook w:val="04A0" w:firstRow="1" w:lastRow="0" w:firstColumn="1" w:lastColumn="0" w:noHBand="0" w:noVBand="1"/>
                    </w:tblPrEx>
                    <w:trPr>
                      <w:gridBefore w:val="1"/>
                      <w:wBefore w:w="24" w:type="dxa"/>
                      <w:trHeight w:val="1067"/>
                    </w:trPr>
                    <w:tc>
                      <w:tcPr>
                        <w:tcW w:w="3203" w:type="dxa"/>
                        <w:tcBorders>
                          <w:right w:val="single" w:sz="4" w:space="0" w:color="FFC000"/>
                        </w:tcBorders>
                        <w:hideMark/>
                      </w:tcPr>
                      <w:p>
                        <w:pPr>
                          <w:tabs>
                            <w:tab w:val="left" w:pos="0"/>
                          </w:tabs>
                          <w:rPr>
                            <w:b/>
                            <w:szCs w:val="24"/>
                          </w:rPr>
                        </w:pPr>
                        <w:r>
                          <w:rPr>
                            <w:b/>
                            <w:szCs w:val="24"/>
                          </w:rPr>
                          <w:t>Šia programa įgyvendinamas savivaldybės strateginis tikslas:</w:t>
                        </w:r>
                      </w:p>
                    </w:tc>
                    <w:tc>
                      <w:tcPr>
                        <w:tcW w:w="5412" w:type="dxa"/>
                        <w:tcBorders>
                          <w:left w:val="single" w:sz="4" w:space="0" w:color="FFC000"/>
                          <w:right w:val="single" w:sz="4" w:space="0" w:color="FFC000"/>
                        </w:tcBorders>
                        <w:hideMark/>
                      </w:tcPr>
                      <w:p>
                        <w:pPr>
                          <w:tabs>
                            <w:tab w:val="left" w:pos="0"/>
                          </w:tabs>
                          <w:rPr>
                            <w:szCs w:val="24"/>
                          </w:rPr>
                        </w:pPr>
                        <w:r>
                          <w:rPr>
                            <w:szCs w:val="24"/>
                          </w:rPr>
                          <w:t>Savivaldybės patrauklumo didinimas.</w:t>
                        </w:r>
                      </w:p>
                    </w:tc>
                    <w:tc>
                      <w:tcPr>
                        <w:tcW w:w="994" w:type="dxa"/>
                        <w:tcBorders>
                          <w:left w:val="single" w:sz="4" w:space="0" w:color="FFC000"/>
                          <w:right w:val="single" w:sz="4" w:space="0" w:color="FFC000"/>
                        </w:tcBorders>
                        <w:hideMark/>
                      </w:tcPr>
                      <w:p>
                        <w:pPr>
                          <w:keepNext/>
                          <w:tabs>
                            <w:tab w:val="left" w:pos="0"/>
                          </w:tabs>
                          <w:suppressAutoHyphens/>
                          <w:snapToGrid w:val="0"/>
                          <w:outlineLvl w:val="4"/>
                          <w:rPr>
                            <w:b/>
                            <w:bCs/>
                            <w:szCs w:val="24"/>
                            <w:lang w:eastAsia="ar-SA"/>
                          </w:rPr>
                        </w:pPr>
                        <w:r>
                          <w:rPr>
                            <w:b/>
                            <w:bCs/>
                            <w:szCs w:val="24"/>
                            <w:lang w:eastAsia="ar-SA"/>
                          </w:rPr>
                          <w:t>Kodas</w:t>
                        </w:r>
                      </w:p>
                    </w:tc>
                    <w:tc>
                      <w:tcPr>
                        <w:tcW w:w="710" w:type="dxa"/>
                        <w:tcBorders>
                          <w:left w:val="single" w:sz="4" w:space="0" w:color="FFC000"/>
                        </w:tcBorders>
                        <w:hideMark/>
                      </w:tcPr>
                      <w:p>
                        <w:pPr>
                          <w:tabs>
                            <w:tab w:val="left" w:pos="0"/>
                          </w:tabs>
                          <w:jc w:val="center"/>
                          <w:rPr>
                            <w:szCs w:val="24"/>
                            <w:lang w:eastAsia="ar-SA"/>
                          </w:rPr>
                        </w:pPr>
                        <w:r>
                          <w:rPr>
                            <w:szCs w:val="24"/>
                            <w:lang w:eastAsia="ar-SA"/>
                          </w:rPr>
                          <w:t>1.3.</w:t>
                        </w:r>
                      </w:p>
                    </w:tc>
                  </w:tr>
                  <w:tr>
                    <w:tblPrEx>
                      <w:jc w:val="left"/>
                      <w:tblBorders>
                        <w:insideV w:val="single" w:sz="4" w:space="0" w:color="auto"/>
                      </w:tblBorders>
                      <w:tblLook w:val="01E0" w:firstRow="1" w:lastRow="1" w:firstColumn="1" w:lastColumn="1" w:noHBand="0" w:noVBand="0"/>
                    </w:tblPrEx>
                    <w:trPr>
                      <w:gridBefore w:val="1"/>
                      <w:wBefore w:w="24" w:type="dxa"/>
                    </w:trPr>
                    <w:tc>
                      <w:tcPr>
                        <w:tcW w:w="3203" w:type="dxa"/>
                        <w:vMerge w:val="restart"/>
                        <w:tcBorders>
                          <w:right w:val="single" w:sz="4" w:space="0" w:color="FFC000"/>
                        </w:tcBorders>
                      </w:tcPr>
                      <w:p>
                        <w:pPr>
                          <w:tabs>
                            <w:tab w:val="left" w:pos="0"/>
                          </w:tabs>
                          <w:rPr>
                            <w:b/>
                            <w:szCs w:val="24"/>
                          </w:rPr>
                        </w:pPr>
                        <w:r>
                          <w:rPr>
                            <w:b/>
                            <w:szCs w:val="24"/>
                          </w:rPr>
                          <w:t>Programos tikslas</w:t>
                        </w:r>
                      </w:p>
                    </w:tc>
                    <w:tc>
                      <w:tcPr>
                        <w:tcW w:w="5412" w:type="dxa"/>
                        <w:tcBorders>
                          <w:left w:val="single" w:sz="4" w:space="0" w:color="FFC000"/>
                          <w:right w:val="single" w:sz="4" w:space="0" w:color="FFC000"/>
                        </w:tcBorders>
                      </w:tcPr>
                      <w:p>
                        <w:pPr>
                          <w:tabs>
                            <w:tab w:val="left" w:pos="0"/>
                            <w:tab w:val="left" w:pos="204"/>
                          </w:tabs>
                          <w:ind w:left="-11" w:firstLine="11"/>
                          <w:rPr>
                            <w:szCs w:val="24"/>
                          </w:rPr>
                        </w:pPr>
                        <w:r>
                          <w:rPr>
                            <w:szCs w:val="24"/>
                          </w:rPr>
                          <w:t>1.</w:t>
                          <w:tab/>
                          <w:t>Racionalus rajono savivaldybės infrastruktūros objektų atnaujinimas ir plėtra.</w:t>
                        </w:r>
                      </w:p>
                    </w:tc>
                    <w:tc>
                      <w:tcPr>
                        <w:tcW w:w="994" w:type="dxa"/>
                        <w:tcBorders>
                          <w:left w:val="single" w:sz="4" w:space="0" w:color="FFC000"/>
                          <w:right w:val="single" w:sz="4" w:space="0" w:color="FFC000"/>
                        </w:tcBorders>
                      </w:tcPr>
                      <w:p>
                        <w:pPr>
                          <w:tabs>
                            <w:tab w:val="left" w:pos="0"/>
                          </w:tabs>
                          <w:rPr>
                            <w:b/>
                            <w:szCs w:val="24"/>
                          </w:rPr>
                        </w:pPr>
                        <w:r>
                          <w:rPr>
                            <w:b/>
                            <w:szCs w:val="24"/>
                          </w:rPr>
                          <w:t>Kodas</w:t>
                        </w:r>
                      </w:p>
                    </w:tc>
                    <w:tc>
                      <w:tcPr>
                        <w:tcW w:w="710" w:type="dxa"/>
                        <w:tcBorders>
                          <w:left w:val="single" w:sz="4" w:space="0" w:color="FFC000"/>
                        </w:tcBorders>
                      </w:tcPr>
                      <w:p>
                        <w:pPr>
                          <w:tabs>
                            <w:tab w:val="left" w:pos="0"/>
                          </w:tabs>
                          <w:jc w:val="center"/>
                          <w:rPr>
                            <w:szCs w:val="24"/>
                          </w:rPr>
                        </w:pPr>
                        <w:r>
                          <w:rPr>
                            <w:szCs w:val="24"/>
                          </w:rPr>
                          <w:t>4.1.</w:t>
                        </w:r>
                      </w:p>
                    </w:tc>
                  </w:tr>
                  <w:tr>
                    <w:tblPrEx>
                      <w:jc w:val="left"/>
                      <w:tblBorders>
                        <w:insideV w:val="single" w:sz="4" w:space="0" w:color="auto"/>
                      </w:tblBorders>
                      <w:tblLook w:val="01E0" w:firstRow="1" w:lastRow="1" w:firstColumn="1" w:lastColumn="1" w:noHBand="0" w:noVBand="0"/>
                    </w:tblPrEx>
                    <w:trPr>
                      <w:gridBefore w:val="1"/>
                      <w:wBefore w:w="24" w:type="dxa"/>
                      <w:trHeight w:val="353"/>
                    </w:trPr>
                    <w:tc>
                      <w:tcPr>
                        <w:tcW w:w="3203" w:type="dxa"/>
                        <w:vMerge/>
                        <w:tcBorders>
                          <w:right w:val="single" w:sz="4" w:space="0" w:color="FFC000"/>
                        </w:tcBorders>
                      </w:tcPr>
                      <w:p>
                        <w:pPr>
                          <w:tabs>
                            <w:tab w:val="left" w:pos="0"/>
                          </w:tabs>
                          <w:rPr>
                            <w:b/>
                            <w:szCs w:val="24"/>
                          </w:rPr>
                        </w:pPr>
                      </w:p>
                    </w:tc>
                    <w:tc>
                      <w:tcPr>
                        <w:tcW w:w="5412" w:type="dxa"/>
                        <w:tcBorders>
                          <w:left w:val="single" w:sz="4" w:space="0" w:color="FFC000"/>
                          <w:right w:val="single" w:sz="4" w:space="0" w:color="FFC000"/>
                        </w:tcBorders>
                      </w:tcPr>
                      <w:p>
                        <w:pPr>
                          <w:tabs>
                            <w:tab w:val="left" w:pos="0"/>
                            <w:tab w:val="left" w:pos="152"/>
                            <w:tab w:val="left" w:pos="204"/>
                          </w:tabs>
                          <w:rPr>
                            <w:szCs w:val="24"/>
                          </w:rPr>
                        </w:pPr>
                        <w:r>
                          <w:rPr>
                            <w:szCs w:val="24"/>
                          </w:rPr>
                          <w:t>2.</w:t>
                          <w:tab/>
                          <w:t>Patrauklios gyvenamosios aplinkos užtikrinimas.</w:t>
                        </w:r>
                      </w:p>
                    </w:tc>
                    <w:tc>
                      <w:tcPr>
                        <w:tcW w:w="994" w:type="dxa"/>
                        <w:tcBorders>
                          <w:left w:val="single" w:sz="4" w:space="0" w:color="FFC000"/>
                          <w:right w:val="single" w:sz="4" w:space="0" w:color="FFC000"/>
                        </w:tcBorders>
                      </w:tcPr>
                      <w:p>
                        <w:pPr>
                          <w:tabs>
                            <w:tab w:val="left" w:pos="0"/>
                          </w:tabs>
                          <w:rPr>
                            <w:b/>
                            <w:szCs w:val="24"/>
                          </w:rPr>
                        </w:pPr>
                        <w:r>
                          <w:rPr>
                            <w:b/>
                            <w:szCs w:val="24"/>
                          </w:rPr>
                          <w:t>Kodas</w:t>
                        </w:r>
                      </w:p>
                    </w:tc>
                    <w:tc>
                      <w:tcPr>
                        <w:tcW w:w="710" w:type="dxa"/>
                        <w:tcBorders>
                          <w:left w:val="single" w:sz="4" w:space="0" w:color="FFC000"/>
                        </w:tcBorders>
                      </w:tcPr>
                      <w:p>
                        <w:pPr>
                          <w:tabs>
                            <w:tab w:val="left" w:pos="0"/>
                          </w:tabs>
                          <w:jc w:val="center"/>
                          <w:rPr>
                            <w:szCs w:val="24"/>
                          </w:rPr>
                        </w:pPr>
                        <w:r>
                          <w:rPr>
                            <w:szCs w:val="24"/>
                          </w:rPr>
                          <w:t>4.2.</w:t>
                        </w:r>
                      </w:p>
                    </w:tc>
                  </w:tr>
                  <w:tr>
                    <w:tblPrEx>
                      <w:jc w:val="left"/>
                      <w:tblBorders>
                        <w:insideV w:val="single" w:sz="4" w:space="0" w:color="auto"/>
                      </w:tblBorders>
                      <w:tblLook w:val="01E0" w:firstRow="1" w:lastRow="1" w:firstColumn="1" w:lastColumn="1" w:noHBand="0" w:noVBand="0"/>
                    </w:tblPrEx>
                    <w:trPr>
                      <w:gridBefore w:val="1"/>
                      <w:wBefore w:w="24" w:type="dxa"/>
                    </w:trPr>
                    <w:tc>
                      <w:tcPr>
                        <w:tcW w:w="3203" w:type="dxa"/>
                        <w:vMerge/>
                        <w:tcBorders>
                          <w:right w:val="single" w:sz="4" w:space="0" w:color="FFC000"/>
                        </w:tcBorders>
                      </w:tcPr>
                      <w:p>
                        <w:pPr>
                          <w:tabs>
                            <w:tab w:val="left" w:pos="0"/>
                          </w:tabs>
                          <w:rPr>
                            <w:b/>
                            <w:szCs w:val="24"/>
                          </w:rPr>
                        </w:pPr>
                      </w:p>
                    </w:tc>
                    <w:tc>
                      <w:tcPr>
                        <w:tcW w:w="5412" w:type="dxa"/>
                        <w:tcBorders>
                          <w:left w:val="single" w:sz="4" w:space="0" w:color="FFC000"/>
                          <w:right w:val="single" w:sz="4" w:space="0" w:color="FFC000"/>
                        </w:tcBorders>
                      </w:tcPr>
                      <w:p>
                        <w:pPr>
                          <w:tabs>
                            <w:tab w:val="left" w:pos="0"/>
                            <w:tab w:val="left" w:pos="346"/>
                          </w:tabs>
                          <w:rPr>
                            <w:szCs w:val="24"/>
                          </w:rPr>
                        </w:pPr>
                        <w:r>
                          <w:rPr>
                            <w:szCs w:val="24"/>
                          </w:rPr>
                          <w:t>3. Gyventojų sveikatos gerinimas, psichinės ir fizinės sveikatos stiprinimas</w:t>
                        </w:r>
                      </w:p>
                    </w:tc>
                    <w:tc>
                      <w:tcPr>
                        <w:tcW w:w="994" w:type="dxa"/>
                        <w:tcBorders>
                          <w:left w:val="single" w:sz="4" w:space="0" w:color="FFC000"/>
                          <w:right w:val="single" w:sz="4" w:space="0" w:color="FFC000"/>
                        </w:tcBorders>
                      </w:tcPr>
                      <w:p>
                        <w:pPr>
                          <w:tabs>
                            <w:tab w:val="left" w:pos="0"/>
                          </w:tabs>
                          <w:rPr>
                            <w:b/>
                            <w:szCs w:val="24"/>
                          </w:rPr>
                        </w:pPr>
                        <w:r>
                          <w:rPr>
                            <w:b/>
                            <w:szCs w:val="24"/>
                          </w:rPr>
                          <w:t>Kodas</w:t>
                        </w:r>
                      </w:p>
                    </w:tc>
                    <w:tc>
                      <w:tcPr>
                        <w:tcW w:w="710" w:type="dxa"/>
                        <w:tcBorders>
                          <w:left w:val="single" w:sz="4" w:space="0" w:color="FFC000"/>
                        </w:tcBorders>
                      </w:tcPr>
                      <w:p>
                        <w:pPr>
                          <w:tabs>
                            <w:tab w:val="left" w:pos="0"/>
                          </w:tabs>
                          <w:jc w:val="center"/>
                          <w:rPr>
                            <w:szCs w:val="24"/>
                          </w:rPr>
                        </w:pPr>
                        <w:r>
                          <w:rPr>
                            <w:szCs w:val="24"/>
                          </w:rPr>
                          <w:t>4.3.</w:t>
                        </w:r>
                      </w:p>
                    </w:tc>
                  </w:tr>
                  <w:tr>
                    <w:tblPrEx>
                      <w:jc w:val="left"/>
                      <w:tblBorders>
                        <w:insideV w:val="single" w:sz="4" w:space="0" w:color="auto"/>
                      </w:tblBorders>
                      <w:tblLook w:val="01E0" w:firstRow="1" w:lastRow="1" w:firstColumn="1" w:lastColumn="1" w:noHBand="0" w:noVBand="0"/>
                    </w:tblPrEx>
                    <w:trPr>
                      <w:gridBefore w:val="1"/>
                      <w:wBefore w:w="24" w:type="dxa"/>
                    </w:trPr>
                    <w:tc>
                      <w:tcPr>
                        <w:tcW w:w="3203" w:type="dxa"/>
                        <w:tcBorders>
                          <w:right w:val="single" w:sz="4" w:space="0" w:color="FFC000"/>
                        </w:tcBorders>
                      </w:tcPr>
                      <w:p>
                        <w:pPr>
                          <w:tabs>
                            <w:tab w:val="left" w:pos="0"/>
                          </w:tabs>
                          <w:rPr>
                            <w:b/>
                            <w:szCs w:val="24"/>
                          </w:rPr>
                        </w:pPr>
                      </w:p>
                    </w:tc>
                    <w:tc>
                      <w:tcPr>
                        <w:tcW w:w="5412" w:type="dxa"/>
                        <w:tcBorders>
                          <w:left w:val="single" w:sz="4" w:space="0" w:color="FFC000"/>
                          <w:right w:val="single" w:sz="4" w:space="0" w:color="FFC000"/>
                        </w:tcBorders>
                      </w:tcPr>
                      <w:p>
                        <w:pPr>
                          <w:tabs>
                            <w:tab w:val="left" w:pos="0"/>
                            <w:tab w:val="left" w:pos="346"/>
                          </w:tabs>
                          <w:rPr>
                            <w:szCs w:val="24"/>
                          </w:rPr>
                        </w:pPr>
                        <w:r>
                          <w:t>4. Verslo aplinkos gerinimas ir konkurencingumo skatinimas</w:t>
                        </w:r>
                      </w:p>
                    </w:tc>
                    <w:tc>
                      <w:tcPr>
                        <w:tcW w:w="994" w:type="dxa"/>
                        <w:tcBorders>
                          <w:left w:val="single" w:sz="4" w:space="0" w:color="FFC000"/>
                          <w:right w:val="single" w:sz="4" w:space="0" w:color="FFC000"/>
                        </w:tcBorders>
                      </w:tcPr>
                      <w:p>
                        <w:pPr>
                          <w:tabs>
                            <w:tab w:val="left" w:pos="0"/>
                          </w:tabs>
                          <w:rPr>
                            <w:b/>
                            <w:szCs w:val="24"/>
                          </w:rPr>
                        </w:pPr>
                        <w:r>
                          <w:t>Kodas</w:t>
                        </w:r>
                      </w:p>
                    </w:tc>
                    <w:tc>
                      <w:tcPr>
                        <w:tcW w:w="710" w:type="dxa"/>
                        <w:tcBorders>
                          <w:left w:val="single" w:sz="4" w:space="0" w:color="FFC000"/>
                        </w:tcBorders>
                      </w:tcPr>
                      <w:p>
                        <w:pPr>
                          <w:tabs>
                            <w:tab w:val="left" w:pos="0"/>
                          </w:tabs>
                          <w:jc w:val="center"/>
                          <w:rPr>
                            <w:szCs w:val="24"/>
                          </w:rPr>
                        </w:pPr>
                        <w:r>
                          <w:t>4.4.</w:t>
                        </w:r>
                      </w:p>
                    </w:tc>
                  </w:tr>
                  <w:tr>
                    <w:tblPrEx>
                      <w:jc w:val="left"/>
                      <w:tblBorders>
                        <w:insideV w:val="single" w:sz="4" w:space="0" w:color="auto"/>
                      </w:tblBorders>
                      <w:tblLook w:val="01E0" w:firstRow="1" w:lastRow="1" w:firstColumn="1" w:lastColumn="1" w:noHBand="0" w:noVBand="0"/>
                    </w:tblPrEx>
                    <w:trPr>
                      <w:gridBefore w:val="1"/>
                      <w:wBefore w:w="24" w:type="dxa"/>
                    </w:trPr>
                    <w:tc>
                      <w:tcPr>
                        <w:tcW w:w="3203" w:type="dxa"/>
                        <w:tcBorders>
                          <w:bottom w:val="single" w:sz="8" w:space="0" w:color="FFC000"/>
                          <w:right w:val="single" w:sz="4" w:space="0" w:color="FFC000"/>
                        </w:tcBorders>
                      </w:tcPr>
                      <w:p>
                        <w:pPr>
                          <w:tabs>
                            <w:tab w:val="left" w:pos="0"/>
                          </w:tabs>
                          <w:rPr>
                            <w:b/>
                            <w:szCs w:val="24"/>
                          </w:rPr>
                        </w:pPr>
                      </w:p>
                    </w:tc>
                    <w:tc>
                      <w:tcPr>
                        <w:tcW w:w="5412" w:type="dxa"/>
                        <w:tcBorders>
                          <w:left w:val="single" w:sz="4" w:space="0" w:color="FFC000"/>
                          <w:bottom w:val="single" w:sz="8" w:space="0" w:color="FFC000"/>
                          <w:right w:val="single" w:sz="4" w:space="0" w:color="FFC000"/>
                        </w:tcBorders>
                      </w:tcPr>
                      <w:p>
                        <w:pPr>
                          <w:tabs>
                            <w:tab w:val="left" w:pos="0"/>
                            <w:tab w:val="left" w:pos="346"/>
                          </w:tabs>
                          <w:rPr>
                            <w:szCs w:val="24"/>
                          </w:rPr>
                        </w:pPr>
                        <w:r>
                          <w:t>5. Socialinės pagalbos prieinamumo didinimas, socialinės atsakomybės stiprinimas</w:t>
                        </w:r>
                      </w:p>
                    </w:tc>
                    <w:tc>
                      <w:tcPr>
                        <w:tcW w:w="994" w:type="dxa"/>
                        <w:tcBorders>
                          <w:left w:val="single" w:sz="4" w:space="0" w:color="FFC000"/>
                          <w:bottom w:val="single" w:sz="8" w:space="0" w:color="FFC000"/>
                          <w:right w:val="single" w:sz="4" w:space="0" w:color="FFC000"/>
                        </w:tcBorders>
                      </w:tcPr>
                      <w:p>
                        <w:pPr>
                          <w:tabs>
                            <w:tab w:val="left" w:pos="0"/>
                          </w:tabs>
                          <w:rPr>
                            <w:b/>
                            <w:szCs w:val="24"/>
                          </w:rPr>
                        </w:pPr>
                        <w:r>
                          <w:t>Kodas</w:t>
                        </w:r>
                      </w:p>
                    </w:tc>
                    <w:tc>
                      <w:tcPr>
                        <w:tcW w:w="710" w:type="dxa"/>
                        <w:tcBorders>
                          <w:left w:val="single" w:sz="4" w:space="0" w:color="FFC000"/>
                          <w:bottom w:val="single" w:sz="8" w:space="0" w:color="FFC000"/>
                        </w:tcBorders>
                      </w:tcPr>
                      <w:p>
                        <w:pPr>
                          <w:tabs>
                            <w:tab w:val="left" w:pos="0"/>
                          </w:tabs>
                          <w:jc w:val="center"/>
                          <w:rPr>
                            <w:szCs w:val="24"/>
                          </w:rPr>
                        </w:pPr>
                        <w:r>
                          <w:t>4.5.</w:t>
                        </w:r>
                      </w:p>
                    </w:tc>
                  </w:tr>
                  <w:tr>
                    <w:tblPrEx>
                      <w:jc w:val="left"/>
                      <w:tblBorders>
                        <w:insideV w:val="single" w:sz="4" w:space="0" w:color="auto"/>
                      </w:tblBorders>
                      <w:tblLook w:val="01E0" w:firstRow="1" w:lastRow="1" w:firstColumn="1" w:lastColumn="1" w:noHBand="0" w:noVBand="0"/>
                    </w:tblPrEx>
                    <w:trPr>
                      <w:gridBefore w:val="1"/>
                      <w:wBefore w:w="24" w:type="dxa"/>
                    </w:trPr>
                    <w:tc>
                      <w:tcPr>
                        <w:tcW w:w="10319" w:type="dxa"/>
                        <w:gridSpan w:val="4"/>
                        <w:tcBorders>
                          <w:top w:val="single" w:sz="8" w:space="0" w:color="FFC000"/>
                          <w:left w:val="single" w:sz="8" w:space="0" w:color="FFC000"/>
                          <w:bottom w:val="single" w:sz="8" w:space="0" w:color="FFC000"/>
                          <w:right w:val="single" w:sz="8" w:space="0" w:color="FFC000"/>
                        </w:tcBorders>
                      </w:tcPr>
                      <w:p>
                        <w:pPr>
                          <w:tabs>
                            <w:tab w:val="left" w:pos="0"/>
                          </w:tabs>
                          <w:ind w:firstLine="716"/>
                          <w:jc w:val="both"/>
                          <w:rPr>
                            <w:szCs w:val="24"/>
                          </w:rPr>
                        </w:pPr>
                        <w:r>
                          <w:rPr>
                            <w:szCs w:val="24"/>
                          </w:rPr>
                          <w:t>1.</w:t>
                          <w:tab/>
                          <w:t>Programos tikslo „Racionalus rajono savivaldybės infrastruktūros objektų atnaujinimas ir plėtra“ įgyvendinimo aprašymas:</w:t>
                        </w:r>
                      </w:p>
                      <w:p>
                        <w:pPr>
                          <w:tabs>
                            <w:tab w:val="left" w:pos="0"/>
                          </w:tabs>
                          <w:ind w:firstLine="716"/>
                          <w:jc w:val="both"/>
                          <w:rPr>
                            <w:szCs w:val="24"/>
                          </w:rPr>
                        </w:pPr>
                        <w:r>
                          <w:rPr>
                            <w:szCs w:val="24"/>
                          </w:rPr>
                          <w:t>Tikslu siekiama įgyvendinant žemiau išvardytus uždavinius:</w:t>
                        </w:r>
                      </w:p>
                      <w:p>
                        <w:pPr>
                          <w:tabs>
                            <w:tab w:val="left" w:pos="0"/>
                          </w:tabs>
                          <w:ind w:firstLine="716"/>
                          <w:jc w:val="both"/>
                          <w:rPr>
                            <w:szCs w:val="24"/>
                          </w:rPr>
                        </w:pPr>
                        <w:r>
                          <w:rPr>
                            <w:szCs w:val="24"/>
                          </w:rPr>
                          <w:t>1 uždavinys. Užtikrinti urbanistinių teritorijų darnią plėtrą.</w:t>
                        </w:r>
                      </w:p>
                      <w:p>
                        <w:pPr>
                          <w:tabs>
                            <w:tab w:val="left" w:pos="0"/>
                          </w:tabs>
                          <w:ind w:firstLine="716"/>
                          <w:jc w:val="both"/>
                          <w:rPr>
                            <w:szCs w:val="24"/>
                          </w:rPr>
                        </w:pPr>
                        <w:r>
                          <w:rPr>
                            <w:szCs w:val="24"/>
                          </w:rPr>
                          <w:t>2025–2027 metų laikotarpiu numatoma parengti savivaldybės plėtrai, racionaliam viešųjų erdvių vystymui reikalingus teritorijų planavimo ir kitus dokumentus, įgyvendinant šias priemones:</w:t>
                        </w:r>
                      </w:p>
                      <w:p>
                        <w:pPr>
                          <w:tabs>
                            <w:tab w:val="left" w:pos="0"/>
                          </w:tabs>
                          <w:ind w:firstLine="716"/>
                          <w:jc w:val="both"/>
                          <w:rPr>
                            <w:szCs w:val="24"/>
                          </w:rPr>
                        </w:pPr>
                        <w:r>
                          <w:rPr>
                            <w:szCs w:val="24"/>
                          </w:rPr>
                          <w:t>Tęstinė Radviliškio rajono savivaldybės Baisogalos miestelio teritorijos bendrojo plano keitimo paslauga;</w:t>
                        </w:r>
                      </w:p>
                      <w:p>
                        <w:pPr>
                          <w:tabs>
                            <w:tab w:val="left" w:pos="0"/>
                          </w:tabs>
                          <w:ind w:firstLine="716"/>
                          <w:jc w:val="both"/>
                          <w:rPr>
                            <w:szCs w:val="24"/>
                          </w:rPr>
                        </w:pPr>
                        <w:r>
                          <w:rPr>
                            <w:szCs w:val="24"/>
                          </w:rPr>
                          <w:t>Tęstinė Radviliškio rajono savivaldybės teritorijos bendrojo plano koregavimo paslauga;</w:t>
                        </w:r>
                      </w:p>
                      <w:p>
                        <w:pPr>
                          <w:tabs>
                            <w:tab w:val="left" w:pos="0"/>
                          </w:tabs>
                          <w:ind w:firstLine="716"/>
                          <w:jc w:val="both"/>
                          <w:rPr>
                            <w:szCs w:val="24"/>
                          </w:rPr>
                        </w:pPr>
                        <w:r>
                          <w:rPr>
                            <w:szCs w:val="24"/>
                          </w:rPr>
                          <w:t>Tęstinė Radviliškio rajono šilumos ūkio specialiojo plano keitimo paslauga;</w:t>
                        </w:r>
                      </w:p>
                      <w:p>
                        <w:pPr>
                          <w:tabs>
                            <w:tab w:val="left" w:pos="0"/>
                          </w:tabs>
                          <w:ind w:firstLine="716"/>
                          <w:jc w:val="both"/>
                          <w:rPr>
                            <w:szCs w:val="24"/>
                          </w:rPr>
                        </w:pPr>
                        <w:r>
                          <w:rPr>
                            <w:szCs w:val="24"/>
                          </w:rPr>
                          <w:t>Tęstinė projektų ekspertavimo paslauga Lietuvos architektų rūmų Regioninėje architektūros taryboje (RAT);</w:t>
                        </w:r>
                      </w:p>
                      <w:p>
                        <w:pPr>
                          <w:tabs>
                            <w:tab w:val="left" w:pos="0"/>
                          </w:tabs>
                          <w:ind w:firstLine="716"/>
                          <w:jc w:val="both"/>
                          <w:rPr>
                            <w:szCs w:val="24"/>
                          </w:rPr>
                        </w:pPr>
                        <w:r>
                          <w:rPr>
                            <w:szCs w:val="24"/>
                          </w:rPr>
                          <w:t>Tęstinės kompleksinių teritorijų planavimo dokumentų koregavimo paslaugos.</w:t>
                        </w:r>
                      </w:p>
                      <w:p>
                        <w:pPr>
                          <w:tabs>
                            <w:tab w:val="left" w:pos="0"/>
                          </w:tabs>
                          <w:ind w:firstLine="716"/>
                          <w:jc w:val="both"/>
                          <w:rPr>
                            <w:szCs w:val="24"/>
                          </w:rPr>
                        </w:pPr>
                        <w:r>
                          <w:rPr>
                            <w:szCs w:val="24"/>
                          </w:rPr>
                          <w:t>Parengti, suderinti su atsakingomis institucijomis, apsvarstyti su visuomene ir Savivaldybės tarybos patvirtinti teritorijų planavimo dokumentai padės racionaliai planuoti Radviliškio rajono savivaldybės teritorijų plėtrą.</w:t>
                        </w:r>
                      </w:p>
                      <w:p>
                        <w:pPr>
                          <w:tabs>
                            <w:tab w:val="left" w:pos="0"/>
                          </w:tabs>
                          <w:ind w:firstLine="716"/>
                          <w:jc w:val="both"/>
                          <w:rPr>
                            <w:szCs w:val="24"/>
                          </w:rPr>
                        </w:pPr>
                        <w:r>
                          <w:rPr>
                            <w:szCs w:val="24"/>
                          </w:rPr>
                          <w:t>2 uždavinys. Modernizuoti susisiekimo infrastruktūrą, skatinti darnų judumą.</w:t>
                        </w:r>
                      </w:p>
                      <w:p>
                        <w:pPr>
                          <w:tabs>
                            <w:tab w:val="left" w:pos="0"/>
                          </w:tabs>
                          <w:ind w:firstLine="716"/>
                          <w:jc w:val="both"/>
                          <w:rPr>
                            <w:szCs w:val="24"/>
                          </w:rPr>
                        </w:pPr>
                        <w:r>
                          <w:rPr>
                            <w:szCs w:val="24"/>
                          </w:rPr>
                          <w:t>2025–2027 metais siekiant plėtoti transporto infrastruktūrą, formuoti reikiamo pralaidumo ir patikimumo susisiekimo infrastruktūros tinklą, diegti eismo saugumo priemones gatvėse ir keliuose numatoma įgyvendinti šias priemones:</w:t>
                        </w:r>
                      </w:p>
                      <w:p>
                        <w:pPr>
                          <w:tabs>
                            <w:tab w:val="left" w:pos="0"/>
                          </w:tabs>
                          <w:ind w:firstLine="716"/>
                          <w:jc w:val="both"/>
                          <w:rPr>
                            <w:szCs w:val="24"/>
                          </w:rPr>
                        </w:pPr>
                        <w:r>
                          <w:rPr>
                            <w:szCs w:val="24"/>
                          </w:rPr>
                          <w:t xml:space="preserve">Pažangos finansavimas Radviliškio r. savivaldybės viešojo keleivinio transporto infrastruktūros plėtrai ir modernizavimui. Numatoma modernizuoti šiuos svarbius viešojo transporto mazgus: Radviliškio m. autobusų stotį (Gedimino g. 31A, Radviliškio m.),  Šeduvos m. autobusų stotelę (Vytauto g. 28, Šeduvos m., Radviliškio r. sav.), Radviliškio r. savivaldybėje ir Šiaulių r., Radviliškio r. bei Šiaulių miesto savivaldybes jungiančiuose maršrutuose esančias viešojo keleivinio transporto stoteles (planuojamas objektų skaičius - 37 vnt.);</w:t>
                        </w:r>
                      </w:p>
                      <w:p>
                        <w:pPr>
                          <w:tabs>
                            <w:tab w:val="left" w:pos="0"/>
                          </w:tabs>
                          <w:ind w:firstLine="716"/>
                          <w:jc w:val="both"/>
                          <w:rPr>
                            <w:szCs w:val="24"/>
                          </w:rPr>
                        </w:pPr>
                        <w:r>
                          <w:rPr>
                            <w:szCs w:val="24"/>
                          </w:rPr>
                          <w:t>Pažangos finansavimas Radviliškio m. dalies Skirjočių g. RD8144 ir privažiavimo prie SB „Pušelė“ nuo Skirjočių g. RD8358 kapitaliniam remontui;</w:t>
                        </w:r>
                      </w:p>
                      <w:p>
                        <w:pPr>
                          <w:tabs>
                            <w:tab w:val="left" w:pos="0"/>
                          </w:tabs>
                          <w:ind w:firstLine="716"/>
                          <w:jc w:val="both"/>
                          <w:rPr>
                            <w:szCs w:val="24"/>
                          </w:rPr>
                        </w:pPr>
                        <w:r>
                          <w:rPr>
                            <w:szCs w:val="24"/>
                          </w:rPr>
                          <w:t>Pažangos finansavimas Savivaldybės prisidėjimui pagal bendradarbiavimo sutartis su AB Via Lietuva;</w:t>
                        </w:r>
                      </w:p>
                      <w:p>
                        <w:pPr>
                          <w:tabs>
                            <w:tab w:val="left" w:pos="0"/>
                          </w:tabs>
                          <w:ind w:firstLine="716"/>
                          <w:jc w:val="both"/>
                          <w:rPr>
                            <w:szCs w:val="24"/>
                          </w:rPr>
                        </w:pPr>
                        <w:r>
                          <w:rPr>
                            <w:szCs w:val="24"/>
                          </w:rPr>
                          <w:t>Pažangos finansavimas Radviliškio m. M. Mažvydo g. rekonstravimui tarp Maironio ir Miško g., atnaujinant pėsčiųjų takus;</w:t>
                        </w:r>
                      </w:p>
                      <w:p>
                        <w:pPr>
                          <w:tabs>
                            <w:tab w:val="left" w:pos="0"/>
                          </w:tabs>
                          <w:ind w:firstLine="716"/>
                          <w:jc w:val="both"/>
                          <w:rPr>
                            <w:szCs w:val="24"/>
                          </w:rPr>
                        </w:pPr>
                        <w:r>
                          <w:rPr>
                            <w:szCs w:val="24"/>
                          </w:rPr>
                          <w:t>Pažangos finansavimas Radviliškio m. Strazdelio RD8052, Kapų RD8053, M. Valančiaus RD8054, Trakų RD8055 gatvių kapitaliniam remontui, lietaus nuotekų tinklų statybai;</w:t>
                        </w:r>
                      </w:p>
                      <w:p>
                        <w:pPr>
                          <w:tabs>
                            <w:tab w:val="left" w:pos="0"/>
                          </w:tabs>
                          <w:ind w:firstLine="716"/>
                          <w:jc w:val="both"/>
                          <w:rPr>
                            <w:szCs w:val="24"/>
                          </w:rPr>
                        </w:pPr>
                        <w:r>
                          <w:rPr>
                            <w:szCs w:val="24"/>
                          </w:rPr>
                          <w:t>Pažangos finansavimas Radviliškio m. Kovo 11-sios, Prūsų, Dzūkų gatvių statybos darbams;</w:t>
                        </w:r>
                      </w:p>
                      <w:p>
                        <w:pPr>
                          <w:tabs>
                            <w:tab w:val="left" w:pos="0"/>
                          </w:tabs>
                          <w:ind w:firstLine="716"/>
                          <w:jc w:val="both"/>
                          <w:rPr>
                            <w:szCs w:val="24"/>
                          </w:rPr>
                        </w:pPr>
                        <w:r>
                          <w:rPr>
                            <w:szCs w:val="24"/>
                          </w:rPr>
                          <w:t>Pažangos finansavimas privažiuojamojo kelio RD8130 atkarpos, esančios Radviliškio m. nuo S. Dariaus ir S. Girėno g. iki geležinkelio kelio kapitaliniam remontui, ir lietaus trasos, nuo privažiuojamojo kelio iki melioracijos tinklų, esančių Geležinkelio gatvėje, statybai;</w:t>
                        </w:r>
                      </w:p>
                      <w:p>
                        <w:pPr>
                          <w:tabs>
                            <w:tab w:val="left" w:pos="0"/>
                          </w:tabs>
                          <w:ind w:firstLine="716"/>
                          <w:jc w:val="both"/>
                          <w:rPr>
                            <w:szCs w:val="24"/>
                          </w:rPr>
                        </w:pPr>
                        <w:r>
                          <w:rPr>
                            <w:szCs w:val="24"/>
                          </w:rPr>
                          <w:t>Pažangos finansavimas vietinės reikšmės kelio RD1215, privažiavimo prie Dariaus ir Girėno gatvės RD8002 nuo kelio A9, kapitaliniam remontui;</w:t>
                        </w:r>
                      </w:p>
                      <w:p>
                        <w:pPr>
                          <w:tabs>
                            <w:tab w:val="left" w:pos="0"/>
                          </w:tabs>
                          <w:ind w:firstLine="716"/>
                          <w:jc w:val="both"/>
                          <w:rPr>
                            <w:szCs w:val="24"/>
                          </w:rPr>
                        </w:pPr>
                        <w:r>
                          <w:rPr>
                            <w:szCs w:val="24"/>
                          </w:rPr>
                          <w:t xml:space="preserve">Pažangos finansavimas Radviliškio m. dalies Stadiono ir Liepų  g. kapitaliniam remontui (rekonstravimui), įrengiant pėsčiųjų (dviračių) taką;</w:t>
                        </w:r>
                      </w:p>
                      <w:p>
                        <w:pPr>
                          <w:tabs>
                            <w:tab w:val="left" w:pos="0"/>
                          </w:tabs>
                          <w:ind w:firstLine="716"/>
                          <w:jc w:val="both"/>
                          <w:rPr>
                            <w:szCs w:val="24"/>
                          </w:rPr>
                        </w:pPr>
                        <w:r>
                          <w:rPr>
                            <w:szCs w:val="24"/>
                          </w:rPr>
                          <w:t xml:space="preserve">Pažangos finansavimas vietinės reikšmės kelio RD0021, privažiavimui prie kareivinių nuo kelio A9, sutampančio su Linkaičių g. Karčemų k. Radviliškio r. sav., ruožo nuo 0,0 km iki 1,16 km rekonstravimui (kapitaliniam  remontui);</w:t>
                        </w:r>
                      </w:p>
                      <w:p>
                        <w:pPr>
                          <w:tabs>
                            <w:tab w:val="left" w:pos="0"/>
                          </w:tabs>
                          <w:ind w:firstLine="716"/>
                          <w:jc w:val="both"/>
                          <w:rPr>
                            <w:szCs w:val="24"/>
                          </w:rPr>
                        </w:pPr>
                        <w:r>
                          <w:rPr>
                            <w:szCs w:val="24"/>
                          </w:rPr>
                          <w:t>Pažangos finansavimas vietinės reikšmės kelio RD0319 Vadaktai-Ožaičiai, sutampančio su Vilties g., Ožaičių k., Sidabravo sen., Radviliškio r. sav., ruožo nuo 4,934 km iki 5,474 km kapitaliniam remontui;</w:t>
                        </w:r>
                      </w:p>
                      <w:p>
                        <w:pPr>
                          <w:tabs>
                            <w:tab w:val="left" w:pos="0"/>
                          </w:tabs>
                          <w:ind w:firstLine="778"/>
                          <w:jc w:val="both"/>
                          <w:rPr>
                            <w:szCs w:val="24"/>
                          </w:rPr>
                        </w:pPr>
                        <w:r>
                          <w:rPr>
                            <w:szCs w:val="24"/>
                          </w:rPr>
                          <w:t>Pažangos finansavimas vietinės reikšmės kelio RD0501 Šiaulėnai-Jokūbiškiai, sutampančio su Jasaičių g., Jokūbiškių k., Šiaulėnų sen., Radviliškio r. sav., ruožo nuo 2,1 km iki 2,8 km kapitaliniam remontui;</w:t>
                        </w:r>
                      </w:p>
                      <w:p>
                        <w:pPr>
                          <w:tabs>
                            <w:tab w:val="left" w:pos="0"/>
                          </w:tabs>
                          <w:ind w:firstLine="716"/>
                          <w:jc w:val="both"/>
                          <w:rPr>
                            <w:szCs w:val="24"/>
                          </w:rPr>
                        </w:pPr>
                        <w:r>
                          <w:rPr>
                            <w:szCs w:val="24"/>
                          </w:rPr>
                          <w:t>Pažangos finansavimas vietinės reikšmės kelio RD0241, privažiavimas prie dvaro nuo kelio RD0239, kapitaliniam remontui, įrengiant automobilių stovėjimo aikšteles;</w:t>
                        </w:r>
                      </w:p>
                      <w:p>
                        <w:pPr>
                          <w:tabs>
                            <w:tab w:val="left" w:pos="0"/>
                          </w:tabs>
                          <w:ind w:firstLine="716"/>
                          <w:jc w:val="both"/>
                          <w:rPr>
                            <w:szCs w:val="24"/>
                          </w:rPr>
                        </w:pPr>
                        <w:r>
                          <w:rPr>
                            <w:szCs w:val="24"/>
                          </w:rPr>
                          <w:t>Pažangos finansavimas vietinės reikšmės kelio RD0357 Juodžiai-Rudžiai-Grinkiškis, sutampančio su Rudžių g., Rudžių k., Grinkiškio sen., Radviliškio r. sav., kapitaliniam remontui;</w:t>
                        </w:r>
                      </w:p>
                      <w:p>
                        <w:pPr>
                          <w:tabs>
                            <w:tab w:val="left" w:pos="0"/>
                          </w:tabs>
                          <w:ind w:firstLine="716"/>
                          <w:jc w:val="both"/>
                          <w:rPr>
                            <w:szCs w:val="24"/>
                          </w:rPr>
                        </w:pPr>
                        <w:r>
                          <w:rPr>
                            <w:szCs w:val="24"/>
                          </w:rPr>
                          <w:t>Pažangos finansavimas Šeduvos m. Kėdainių, Panevėžio g. pėsčiųjų takų atnaujinimui;</w:t>
                        </w:r>
                      </w:p>
                      <w:p>
                        <w:pPr>
                          <w:tabs>
                            <w:tab w:val="left" w:pos="0"/>
                          </w:tabs>
                          <w:ind w:firstLine="716"/>
                          <w:jc w:val="both"/>
                          <w:rPr>
                            <w:szCs w:val="24"/>
                          </w:rPr>
                        </w:pPr>
                        <w:r>
                          <w:rPr>
                            <w:szCs w:val="24"/>
                          </w:rPr>
                          <w:t>Pažangos finansavimas pėsčiųjų ir dviračių takų plėtrai Šeduvos m.;</w:t>
                        </w:r>
                      </w:p>
                      <w:p>
                        <w:pPr>
                          <w:tabs>
                            <w:tab w:val="left" w:pos="0"/>
                          </w:tabs>
                          <w:ind w:firstLine="716"/>
                          <w:jc w:val="both"/>
                          <w:rPr>
                            <w:szCs w:val="24"/>
                          </w:rPr>
                        </w:pPr>
                        <w:r>
                          <w:rPr>
                            <w:szCs w:val="24"/>
                          </w:rPr>
                          <w:t>Pažangos finansavimas vietinės reikšmės kelio RD0288 Prasčiūnai-Dargėnai-Pakiršiniai, sutampančio su J. Žuko g., Pakiršinių k., Sidabravo sen., Radviliškio r. sav., kapitaliniam remontui;</w:t>
                        </w:r>
                      </w:p>
                      <w:p>
                        <w:pPr>
                          <w:tabs>
                            <w:tab w:val="left" w:pos="0"/>
                          </w:tabs>
                          <w:ind w:firstLine="716"/>
                          <w:jc w:val="both"/>
                          <w:rPr>
                            <w:szCs w:val="24"/>
                          </w:rPr>
                        </w:pPr>
                        <w:r>
                          <w:rPr>
                            <w:szCs w:val="24"/>
                          </w:rPr>
                          <w:t>Pažangos finansavimas Vietinės reikšmės kelio RD0380 Skomaičiai-Gražiškiai, sutampančio su Tuopų g., Skomaičių k., Skėmių sen., Radviliškio r. sav., kapitaliniam remontui;</w:t>
                        </w:r>
                      </w:p>
                      <w:p>
                        <w:pPr>
                          <w:tabs>
                            <w:tab w:val="left" w:pos="0"/>
                          </w:tabs>
                          <w:ind w:firstLine="716"/>
                          <w:jc w:val="both"/>
                          <w:rPr>
                            <w:szCs w:val="24"/>
                          </w:rPr>
                        </w:pPr>
                        <w:r>
                          <w:rPr>
                            <w:szCs w:val="24"/>
                          </w:rPr>
                          <w:t>Pažangos finansavimas Pakalniškių sen. Veliakiemių k. vietinės reikšmės kelio RD0245 Veliakiemiai-Vaižgai kapitaliniam remontui;</w:t>
                        </w:r>
                      </w:p>
                      <w:p>
                        <w:pPr>
                          <w:tabs>
                            <w:tab w:val="left" w:pos="0"/>
                          </w:tabs>
                          <w:ind w:firstLine="716"/>
                          <w:jc w:val="both"/>
                          <w:rPr>
                            <w:szCs w:val="24"/>
                          </w:rPr>
                        </w:pPr>
                        <w:r>
                          <w:rPr>
                            <w:szCs w:val="24"/>
                          </w:rPr>
                          <w:t>Pažangos finansavimas Radviliškio m. Kęstučio g. kapitaliniam remontui, apšvietimo atnaujinimui;</w:t>
                        </w:r>
                      </w:p>
                      <w:p>
                        <w:pPr>
                          <w:tabs>
                            <w:tab w:val="left" w:pos="0"/>
                          </w:tabs>
                          <w:ind w:firstLine="716"/>
                          <w:jc w:val="both"/>
                          <w:rPr>
                            <w:szCs w:val="24"/>
                          </w:rPr>
                        </w:pPr>
                        <w:r>
                          <w:rPr>
                            <w:szCs w:val="24"/>
                          </w:rPr>
                          <w:t>Pažangos finansavimas Radviliškio r. sav. Baisogalos mstl. Grinkiškio g., Taikos g. ir Maironio g. kapitaliniam remontui bei apšvietimo atnaujinimui;</w:t>
                        </w:r>
                      </w:p>
                      <w:p>
                        <w:pPr>
                          <w:tabs>
                            <w:tab w:val="left" w:pos="0"/>
                          </w:tabs>
                          <w:ind w:firstLine="716"/>
                          <w:jc w:val="both"/>
                          <w:rPr>
                            <w:szCs w:val="24"/>
                          </w:rPr>
                        </w:pPr>
                        <w:r>
                          <w:rPr>
                            <w:szCs w:val="24"/>
                          </w:rPr>
                          <w:t>Pažangos finansavimas vietinės reikšmės kelių RD1001 Baisogala-Moralinė, RD0635 Biliūnai-Augmėnai rekonstravimui;</w:t>
                        </w:r>
                      </w:p>
                      <w:p>
                        <w:pPr>
                          <w:tabs>
                            <w:tab w:val="left" w:pos="0"/>
                          </w:tabs>
                          <w:ind w:firstLine="716"/>
                          <w:jc w:val="both"/>
                          <w:rPr>
                            <w:szCs w:val="24"/>
                          </w:rPr>
                        </w:pPr>
                        <w:r>
                          <w:rPr>
                            <w:szCs w:val="24"/>
                          </w:rPr>
                          <w:t>Pažangos finansavimas vietinės reikšmės kelio RD0571 Žinėnai-Varnioniai, sutampančio su Klevų g., Varnionių k., Radviliškio sen., Radviliškio r. sav., kapitaliniam remontui;</w:t>
                        </w:r>
                      </w:p>
                      <w:p>
                        <w:pPr>
                          <w:tabs>
                            <w:tab w:val="left" w:pos="0"/>
                          </w:tabs>
                          <w:ind w:firstLine="716"/>
                          <w:jc w:val="both"/>
                          <w:rPr>
                            <w:szCs w:val="24"/>
                          </w:rPr>
                        </w:pPr>
                        <w:r>
                          <w:rPr>
                            <w:szCs w:val="24"/>
                          </w:rPr>
                          <w:t>Tęstinė vietinės reikšmės kelių, gatvių, jų priklausinių infrastruktūros pagerinimo, eismo saugumo priemonių diegimo veikla;</w:t>
                        </w:r>
                      </w:p>
                      <w:p>
                        <w:pPr>
                          <w:tabs>
                            <w:tab w:val="left" w:pos="0"/>
                          </w:tabs>
                          <w:ind w:firstLine="716"/>
                          <w:jc w:val="both"/>
                          <w:rPr>
                            <w:szCs w:val="24"/>
                          </w:rPr>
                        </w:pPr>
                        <w:r>
                          <w:rPr>
                            <w:szCs w:val="24"/>
                          </w:rPr>
                          <w:t>Tęstinė daugiabučių namų kiemų, susisiekimo komunikacijų ir jų inžinerinių tinklų statybos, rekonstravimo ir kapitalinio remonto, dalyvaujant fiziniams ir juridiniams asmenims, Savivaldybės prisidėjimo dalies veikla;</w:t>
                        </w:r>
                      </w:p>
                      <w:p>
                        <w:pPr>
                          <w:tabs>
                            <w:tab w:val="left" w:pos="0"/>
                          </w:tabs>
                          <w:ind w:firstLine="716"/>
                          <w:jc w:val="both"/>
                          <w:rPr>
                            <w:szCs w:val="24"/>
                          </w:rPr>
                        </w:pPr>
                        <w:r>
                          <w:rPr>
                            <w:szCs w:val="24"/>
                          </w:rPr>
                          <w:t>Tęstinė kaimiškųjų seniūnijų kelių priežiūros, eksplotavimo ir melioracijos statinių (žemės mokesčio lėšomis) veikla.</w:t>
                        </w:r>
                      </w:p>
                      <w:p>
                        <w:pPr>
                          <w:tabs>
                            <w:tab w:val="left" w:pos="0"/>
                          </w:tabs>
                          <w:ind w:firstLine="716"/>
                          <w:jc w:val="both"/>
                          <w:rPr>
                            <w:szCs w:val="24"/>
                          </w:rPr>
                        </w:pPr>
                        <w:r>
                          <w:rPr>
                            <w:szCs w:val="24"/>
                          </w:rPr>
                          <w:t>3 uždavinys. Modernizuoti ir išplėsti rajono savivaldybės inžinerinę infrastruktūrą, užtikrinti patrauklią gyvenamąją aplinką.</w:t>
                        </w:r>
                      </w:p>
                      <w:p>
                        <w:pPr>
                          <w:tabs>
                            <w:tab w:val="left" w:pos="0"/>
                          </w:tabs>
                          <w:ind w:firstLine="716"/>
                          <w:jc w:val="both"/>
                          <w:rPr>
                            <w:szCs w:val="24"/>
                          </w:rPr>
                        </w:pPr>
                        <w:r>
                          <w:rPr>
                            <w:szCs w:val="24"/>
                          </w:rPr>
                          <w:t xml:space="preserve">2025–2027 metais numatoma įgyvendinti šiuos inžinerinės infrastruktūros modernizavimo ir plėtros  priemones:</w:t>
                        </w:r>
                      </w:p>
                      <w:p>
                        <w:pPr>
                          <w:tabs>
                            <w:tab w:val="left" w:pos="0"/>
                          </w:tabs>
                          <w:ind w:firstLine="716"/>
                          <w:jc w:val="both"/>
                          <w:rPr>
                            <w:szCs w:val="24"/>
                          </w:rPr>
                        </w:pPr>
                        <w:r>
                          <w:rPr>
                            <w:szCs w:val="24"/>
                          </w:rPr>
                          <w:t>Tęstinė techninių projektų rengimo, koregavimo, statinių ir projektų ekspertizių, projektų vykdymo priežiūros, kelių saugumo auditų, statinių statybos techninės priežiūros, kadastrinių matavimų ir kitų panašių techninių inžinerinių paslaugų veikla;</w:t>
                        </w:r>
                      </w:p>
                      <w:p>
                        <w:pPr>
                          <w:tabs>
                            <w:tab w:val="left" w:pos="0"/>
                          </w:tabs>
                          <w:ind w:firstLine="716"/>
                          <w:jc w:val="both"/>
                          <w:rPr>
                            <w:szCs w:val="24"/>
                          </w:rPr>
                        </w:pPr>
                        <w:r>
                          <w:rPr>
                            <w:szCs w:val="24"/>
                          </w:rPr>
                          <w:t>Pažangos finansavimas plėtojant nuotekų tinklą Radviliškio aglomeracijoje (SB „Bitutė“, SB „Vyturėlis“);</w:t>
                        </w:r>
                      </w:p>
                      <w:p>
                        <w:pPr>
                          <w:tabs>
                            <w:tab w:val="left" w:pos="0"/>
                          </w:tabs>
                          <w:ind w:firstLine="716"/>
                          <w:jc w:val="both"/>
                          <w:rPr>
                            <w:szCs w:val="24"/>
                          </w:rPr>
                        </w:pPr>
                        <w:r>
                          <w:rPr>
                            <w:szCs w:val="24"/>
                          </w:rPr>
                          <w:t xml:space="preserve">2025-2027 m. siekiant pertvarkyti viešąsias erdves, didinant jų funkcionalumą ir patrauklumą, užtikrinant patrauklią gyvenamąją aplinką numatoma įgyvendinti šias priemones: </w:t>
                        </w:r>
                      </w:p>
                      <w:p>
                        <w:pPr>
                          <w:tabs>
                            <w:tab w:val="left" w:pos="0"/>
                          </w:tabs>
                          <w:ind w:firstLine="716"/>
                          <w:jc w:val="both"/>
                          <w:rPr>
                            <w:szCs w:val="24"/>
                          </w:rPr>
                        </w:pPr>
                        <w:r>
                          <w:rPr>
                            <w:szCs w:val="24"/>
                          </w:rPr>
                          <w:t>Pažangos finansavimas inžinerinių statinių ir inžinerinių tinklų viešoje erdvėje Laisvės alėjoje, Radviliškio mieste, statybai;</w:t>
                        </w:r>
                      </w:p>
                      <w:p>
                        <w:pPr>
                          <w:tabs>
                            <w:tab w:val="left" w:pos="0"/>
                          </w:tabs>
                          <w:ind w:firstLine="716"/>
                          <w:jc w:val="both"/>
                          <w:rPr>
                            <w:szCs w:val="24"/>
                          </w:rPr>
                        </w:pPr>
                        <w:r>
                          <w:rPr>
                            <w:szCs w:val="24"/>
                          </w:rPr>
                          <w:t>Tęstinė bendruomenių ir VVG projektų veikla;</w:t>
                        </w:r>
                      </w:p>
                      <w:p>
                        <w:pPr>
                          <w:tabs>
                            <w:tab w:val="left" w:pos="0"/>
                          </w:tabs>
                          <w:ind w:firstLine="716"/>
                          <w:jc w:val="both"/>
                          <w:rPr>
                            <w:szCs w:val="24"/>
                          </w:rPr>
                        </w:pPr>
                        <w:r>
                          <w:rPr>
                            <w:szCs w:val="24"/>
                          </w:rPr>
                          <w:t xml:space="preserve">Pažangos finansavimas, sukuriant rūšiuojamojo atliekų surinkimo skatinimą Radviliškio rajone. Priemonės tikslas – plėsti atliekų, tinkamų paruošti pakartotinai naudoti, priėmimo vietų (stotelių „Daiktų kiemas“) tinklą, įrengiant 3 stoteles Radviliškio rajono savivaldybėje veikiančiose didelių gabaritų atliekų surinkimo aikštelėse. Planuojama įrengti papildomą (trūkstamą) didelių gabaritų atliekų surinkimo aikštelę Radviliškio rajono vakarinėje dalyje. Radviliškio rajono gyventojams bus įgyvendinama viešinimo kampanija atliekų prevencijos ir tvarkymo temomis; </w:t>
                        </w:r>
                      </w:p>
                      <w:p>
                        <w:pPr>
                          <w:tabs>
                            <w:tab w:val="left" w:pos="0"/>
                          </w:tabs>
                          <w:ind w:firstLine="716"/>
                          <w:jc w:val="both"/>
                          <w:rPr>
                            <w:szCs w:val="24"/>
                          </w:rPr>
                        </w:pPr>
                        <w:r>
                          <w:rPr>
                            <w:szCs w:val="24"/>
                          </w:rPr>
                          <w:t>Pažangos finansavimas geriamojo vandens tiekimo ir nuotekų tvarkymo paslaugų prieinamumo didinimui Radviliškio savivaldybėje. Priemonės tikslas – padidinti vandens tiekimo ir nuotekų tvarkymo paslaugų prieinamumą ir efektyvumą Radviliškio savivaldybėje, modernizuojant ir išplečiant būtiną infrastruktūrą.</w:t>
                        </w:r>
                      </w:p>
                      <w:p>
                        <w:pPr>
                          <w:tabs>
                            <w:tab w:val="left" w:pos="0"/>
                          </w:tabs>
                          <w:ind w:firstLine="716"/>
                          <w:jc w:val="both"/>
                          <w:rPr>
                            <w:szCs w:val="24"/>
                          </w:rPr>
                        </w:pPr>
                        <w:r>
                          <w:rPr>
                            <w:szCs w:val="24"/>
                          </w:rPr>
                          <w:t>Priemonės veiklos:</w:t>
                        </w:r>
                      </w:p>
                      <w:p>
                        <w:pPr>
                          <w:tabs>
                            <w:tab w:val="left" w:pos="0"/>
                          </w:tabs>
                          <w:ind w:firstLine="716"/>
                          <w:jc w:val="both"/>
                          <w:rPr>
                            <w:szCs w:val="24"/>
                          </w:rPr>
                        </w:pPr>
                        <w:r>
                          <w:rPr>
                            <w:szCs w:val="24"/>
                          </w:rPr>
                          <w:t>1.</w:t>
                          <w:tab/>
                          <w:t>Nuotekų valymo įrenginių rekonstrukcija/ statyba Sidabravo mstl. Veikla atitinka gairėse numatytą 10 veiklą „Nuotekų valymo įrenginių rekonstrukcija gyvenamosiose vietovėse, kuriose susidaro nuo 200 iki 2000 gyventojų ekvivalentų atitinkanti taršos nuotekomis apkrova“;</w:t>
                        </w:r>
                      </w:p>
                      <w:p>
                        <w:pPr>
                          <w:tabs>
                            <w:tab w:val="left" w:pos="0"/>
                          </w:tabs>
                          <w:ind w:firstLine="716"/>
                          <w:jc w:val="both"/>
                          <w:rPr>
                            <w:szCs w:val="24"/>
                          </w:rPr>
                        </w:pPr>
                        <w:r>
                          <w:rPr>
                            <w:szCs w:val="24"/>
                          </w:rPr>
                          <w:t>2.</w:t>
                          <w:tab/>
                          <w:t xml:space="preserve">Nuotekų surinkimo tinklų plėtra Radviliškio rajone. Veikla atitinka gairėse numatytą 6 veiklą „Centralizuotųjų nuotekų surinkimo tinklų plėtra gyvenamosiose vietovėse, kuriose susidaro nuo 200 iki 2000 gyventojų ekvivalentų atitinkanti taršos nuotekomis apkrova“; </w:t>
                        </w:r>
                      </w:p>
                      <w:p>
                        <w:pPr>
                          <w:tabs>
                            <w:tab w:val="left" w:pos="0"/>
                          </w:tabs>
                          <w:ind w:firstLine="716"/>
                          <w:jc w:val="both"/>
                          <w:rPr>
                            <w:szCs w:val="24"/>
                          </w:rPr>
                        </w:pPr>
                        <w:r>
                          <w:rPr>
                            <w:szCs w:val="24"/>
                          </w:rPr>
                          <w:t>3.</w:t>
                          <w:tab/>
                          <w:t>Vandentiekio tinklų plėtra Radviliškio rajone. Veikla atitinka gairėse numatytą 1 veiklą „Centralizuotųjų geriamojo vandens tiekimo tinklų plėtra gyvenamosiose vietovėse, kuriose yra nuo 200 iki 2000 gyventojų“;</w:t>
                        </w:r>
                      </w:p>
                      <w:p>
                        <w:pPr>
                          <w:tabs>
                            <w:tab w:val="left" w:pos="0"/>
                          </w:tabs>
                          <w:ind w:firstLine="716"/>
                          <w:jc w:val="both"/>
                          <w:rPr>
                            <w:szCs w:val="24"/>
                          </w:rPr>
                        </w:pPr>
                        <w:r>
                          <w:rPr>
                            <w:szCs w:val="24"/>
                          </w:rPr>
                          <w:t xml:space="preserve">Pažangos finansavimas priedangų ir kolektyvinės apsaugos sistemų infrastruktūros plėtrai. Siekiant stiprinti pasirengimą valdyti krizes ir ekstremalias situacijas bei šalinti jų padarinius, Radviliškio rajone planuojama įrengti penkias priedangas. </w:t>
                        </w:r>
                      </w:p>
                      <w:p>
                        <w:pPr>
                          <w:tabs>
                            <w:tab w:val="left" w:pos="0"/>
                          </w:tabs>
                          <w:ind w:firstLine="716"/>
                          <w:jc w:val="both"/>
                          <w:rPr>
                            <w:szCs w:val="24"/>
                          </w:rPr>
                        </w:pPr>
                        <w:r>
                          <w:rPr>
                            <w:szCs w:val="24"/>
                          </w:rPr>
                          <w:t>4 uždavinys. Modernizuoti Radviliškio rajono savivaldybės viešuosius pastatus ir infrastruktūrą, siekiant mažinti šilumos energijos suvartojimą bei gerinti teikiamų paslaugų kokybę.</w:t>
                        </w:r>
                      </w:p>
                      <w:p>
                        <w:pPr>
                          <w:tabs>
                            <w:tab w:val="left" w:pos="0"/>
                          </w:tabs>
                          <w:ind w:firstLine="716"/>
                          <w:jc w:val="both"/>
                          <w:rPr>
                            <w:szCs w:val="24"/>
                          </w:rPr>
                        </w:pPr>
                        <w:r>
                          <w:rPr>
                            <w:szCs w:val="24"/>
                          </w:rPr>
                          <w:t>Siekiant sumažinti savivaldybei priklausančių pastatų, kuriuose veikia biudžetinės įstaigos, šildymo išlaidas, planuojama įgyvendinti energijos efektyvumo didinimo priemones:</w:t>
                        </w:r>
                      </w:p>
                      <w:p>
                        <w:pPr>
                          <w:tabs>
                            <w:tab w:val="left" w:pos="0"/>
                          </w:tabs>
                          <w:ind w:firstLine="716"/>
                          <w:jc w:val="both"/>
                          <w:rPr>
                            <w:szCs w:val="24"/>
                          </w:rPr>
                        </w:pPr>
                        <w:r>
                          <w:rPr>
                            <w:szCs w:val="24"/>
                          </w:rPr>
                          <w:t>Pažangos finansavimas Radviliškio Vinco Kudirkos progimnazijos pastato atnaujinimui (modernizavimui);</w:t>
                        </w:r>
                      </w:p>
                      <w:p>
                        <w:pPr>
                          <w:tabs>
                            <w:tab w:val="left" w:pos="0"/>
                          </w:tabs>
                          <w:ind w:firstLine="716"/>
                          <w:jc w:val="both"/>
                          <w:rPr>
                            <w:szCs w:val="24"/>
                          </w:rPr>
                        </w:pPr>
                        <w:r>
                          <w:rPr>
                            <w:szCs w:val="24"/>
                          </w:rPr>
                          <w:t>Pažangos finansavimas Šiaulėnų Marcelino Šikšnio gimnazijos pastato atnaujinimui (modernizavimui);</w:t>
                        </w:r>
                      </w:p>
                      <w:p>
                        <w:pPr>
                          <w:tabs>
                            <w:tab w:val="left" w:pos="0"/>
                          </w:tabs>
                          <w:ind w:firstLine="716"/>
                          <w:jc w:val="both"/>
                          <w:rPr>
                            <w:szCs w:val="24"/>
                          </w:rPr>
                        </w:pPr>
                        <w:r>
                          <w:rPr>
                            <w:szCs w:val="24"/>
                          </w:rPr>
                          <w:t>Pažangos finansavimas saulės elektrinės, ant pastato Aušros a. 10, Radviliškis, įrengimui.</w:t>
                        </w:r>
                      </w:p>
                      <w:p>
                        <w:pPr>
                          <w:tabs>
                            <w:tab w:val="left" w:pos="0"/>
                          </w:tabs>
                          <w:ind w:firstLine="716"/>
                          <w:jc w:val="both"/>
                          <w:rPr>
                            <w:szCs w:val="24"/>
                          </w:rPr>
                        </w:pPr>
                        <w:r>
                          <w:rPr>
                            <w:szCs w:val="24"/>
                          </w:rPr>
                          <w:t xml:space="preserve">Siekiant plėtoti savivaldybės viešųjų paslaugų įvairovę, prieinamumą bei gerinti kokybę, sudaryti prielaidas turiningam laisvalaikiui bus vykdomos investicijų į socialinę infrastruktūrą priemonės: </w:t>
                        </w:r>
                      </w:p>
                      <w:p>
                        <w:pPr>
                          <w:tabs>
                            <w:tab w:val="left" w:pos="0"/>
                          </w:tabs>
                          <w:ind w:firstLine="716"/>
                          <w:jc w:val="both"/>
                          <w:rPr>
                            <w:szCs w:val="24"/>
                          </w:rPr>
                        </w:pPr>
                        <w:r>
                          <w:rPr>
                            <w:szCs w:val="24"/>
                          </w:rPr>
                          <w:t>Pažangos finansavimas gydymo paskirties pastato Gedimino g. 9, Radviliškis, lifto įrengimui;</w:t>
                        </w:r>
                      </w:p>
                      <w:p>
                        <w:pPr>
                          <w:tabs>
                            <w:tab w:val="left" w:pos="0"/>
                          </w:tabs>
                          <w:ind w:firstLine="716"/>
                          <w:jc w:val="both"/>
                          <w:rPr>
                            <w:szCs w:val="24"/>
                          </w:rPr>
                        </w:pPr>
                        <w:r>
                          <w:rPr>
                            <w:szCs w:val="24"/>
                          </w:rPr>
                          <w:t>Pažangos finansavimas sporto paskirties inžinerinio statinio - Baisogalos gimnazijos stadiono su lauko aikštynais, Mokyklos g. 25, Baisogalos mstl., Radviliškio r. sav., rekonstravimui;</w:t>
                        </w:r>
                      </w:p>
                      <w:p>
                        <w:pPr>
                          <w:tabs>
                            <w:tab w:val="left" w:pos="0"/>
                          </w:tabs>
                          <w:ind w:firstLine="716"/>
                          <w:jc w:val="both"/>
                          <w:rPr>
                            <w:szCs w:val="24"/>
                          </w:rPr>
                        </w:pPr>
                        <w:r>
                          <w:rPr>
                            <w:szCs w:val="24"/>
                          </w:rPr>
                          <w:t>Pažangos finansavimas daugiabučių gyvenamųjų namų modernizavimui Radviliškio rajono savivaldybėje. Planuojama modernizuoti 9 daugiabučius gyvenamuosius namus Radviliškio rajono savivaldybėje ;</w:t>
                        </w:r>
                      </w:p>
                      <w:p>
                        <w:pPr>
                          <w:tabs>
                            <w:tab w:val="left" w:pos="0"/>
                          </w:tabs>
                          <w:ind w:firstLine="716"/>
                          <w:jc w:val="both"/>
                          <w:rPr>
                            <w:szCs w:val="24"/>
                          </w:rPr>
                        </w:pPr>
                        <w:r>
                          <w:rPr>
                            <w:szCs w:val="24"/>
                          </w:rPr>
                          <w:t xml:space="preserve">Pažangos finansavimas ugdymo prieinamumo didinimui atskirtį patiriantiems vaikams Radviliškio rajone. Priemonės tikslas – pagerinti švietimo sąlygas atskirtį patiriantiems asmenims, gerinant ugdymosi aplinką ir infrastruktūrą. Priemonės įgyvendinimo metu bus įrengtas pandusas, pritaikytos išorės durys, tambūras. Įrengtas liftas užtikrins patekimą į visus pastato aukštus.  Bendrojo naudojimo patalpos bus pritaikomos įvairių negalių turintiems asmenims. Planuojama pritaikyti mokyklos teritorijoje esančius pėsčiųjų takus;</w:t>
                        </w:r>
                      </w:p>
                      <w:p>
                        <w:pPr>
                          <w:tabs>
                            <w:tab w:val="left" w:pos="0"/>
                          </w:tabs>
                          <w:ind w:firstLine="716"/>
                          <w:jc w:val="both"/>
                          <w:rPr>
                            <w:szCs w:val="24"/>
                          </w:rPr>
                        </w:pPr>
                        <w:r>
                          <w:rPr>
                            <w:szCs w:val="24"/>
                          </w:rPr>
                          <w:t xml:space="preserve">Pažangos finansavimas edukacinių erdvių įrengimui Šeduvos gimnazijoje, kuriant visos dienos mokyklą. Priemonės tikslas – Šeduvos gimnazijoje, siekiant stiprinti neformalųjį ugdymą ir didinti švietimo sistemos kokybę, pradinio ugdymo vaikams sukurti visos dienos mokyklos erdves. </w:t>
                        </w:r>
                      </w:p>
                      <w:p>
                        <w:pPr>
                          <w:tabs>
                            <w:tab w:val="left" w:pos="0"/>
                          </w:tabs>
                          <w:ind w:firstLine="716"/>
                          <w:jc w:val="both"/>
                          <w:rPr>
                            <w:szCs w:val="24"/>
                          </w:rPr>
                        </w:pPr>
                        <w:r>
                          <w:rPr>
                            <w:szCs w:val="24"/>
                          </w:rPr>
                          <w:t xml:space="preserve">Priemonės įgyvendinimo metu Radviliškio r. Šeduvos gimnazijos pastate numatoma įrengti laisvalaikio klasę, kino salę, mokomąją virtuvę, amfiteatrą, suremontuoti koridorių, rūbinę ir tualetą. Suremontuotoms patalpoms bus nupirkti nauji baldai, virtuvinė, kompiuterinė ir kita interaktyvi įranga. </w:t>
                        </w:r>
                      </w:p>
                      <w:p>
                        <w:pPr>
                          <w:tabs>
                            <w:tab w:val="left" w:pos="0"/>
                          </w:tabs>
                          <w:ind w:firstLine="716"/>
                          <w:jc w:val="both"/>
                          <w:rPr>
                            <w:szCs w:val="24"/>
                          </w:rPr>
                        </w:pPr>
                        <w:r>
                          <w:rPr>
                            <w:szCs w:val="24"/>
                          </w:rPr>
                          <w:t>2.</w:t>
                          <w:tab/>
                          <w:t>Programos tikslo „Patrauklios gyvenamosios aplinkos užtikrinimas“ įgyvendinimo aprašymas:</w:t>
                        </w:r>
                      </w:p>
                      <w:p>
                        <w:pPr>
                          <w:tabs>
                            <w:tab w:val="left" w:pos="0"/>
                          </w:tabs>
                          <w:ind w:firstLine="716"/>
                          <w:jc w:val="both"/>
                          <w:rPr>
                            <w:szCs w:val="24"/>
                          </w:rPr>
                        </w:pPr>
                        <w:r>
                          <w:rPr>
                            <w:szCs w:val="24"/>
                          </w:rPr>
                          <w:t>1 uždavinys. Pritaikyti gamtos ir kultūros paveldo objektus lankytojams, švietimui, kultūrai, edukacijai bei kitų paslaugų teikimui.</w:t>
                        </w:r>
                      </w:p>
                      <w:p>
                        <w:pPr>
                          <w:tabs>
                            <w:tab w:val="left" w:pos="0"/>
                          </w:tabs>
                          <w:ind w:firstLine="716"/>
                          <w:jc w:val="both"/>
                          <w:rPr>
                            <w:szCs w:val="24"/>
                          </w:rPr>
                        </w:pPr>
                        <w:r>
                          <w:rPr>
                            <w:szCs w:val="24"/>
                          </w:rPr>
                          <w:t>Įgyvendinant šį uždavinį, bus vykdomos šios priemonės:</w:t>
                        </w:r>
                      </w:p>
                      <w:p>
                        <w:pPr>
                          <w:tabs>
                            <w:tab w:val="left" w:pos="0"/>
                          </w:tabs>
                          <w:ind w:firstLine="716"/>
                          <w:jc w:val="both"/>
                          <w:rPr>
                            <w:szCs w:val="24"/>
                          </w:rPr>
                        </w:pPr>
                        <w:r>
                          <w:rPr>
                            <w:szCs w:val="24"/>
                          </w:rPr>
                          <w:t>Pažangos finansavimas Radviliškio miesto Antaniškių miške esančio žemės sklypo, Vytauto Landsbergio - Žemkalnio 26, Radviliškio m., sutvarkymo ir pritaikymo lankymui techninio darbo projekto parengimui;</w:t>
                        </w:r>
                      </w:p>
                      <w:p>
                        <w:pPr>
                          <w:tabs>
                            <w:tab w:val="left" w:pos="0"/>
                          </w:tabs>
                          <w:ind w:firstLine="716"/>
                          <w:jc w:val="both"/>
                          <w:rPr>
                            <w:szCs w:val="24"/>
                          </w:rPr>
                        </w:pPr>
                        <w:r>
                          <w:rPr>
                            <w:szCs w:val="24"/>
                          </w:rPr>
                          <w:t xml:space="preserve">Pažangos finansavimas Antaniškių miško pritaikymo lankymui. Antaniškių miško pritaikymas lankymui (adresu Vytauto Landsbergio–Žemkalnio g. 26, Radviliškis). Planuojamos veiklos: stovyklavietės, vaikų žaidimo aikštelės, viešųjų tualetų, kitų mažosios architektūros elementus, apšvietimo, video kamerų įrengimas, privažiavimo dviračiais sutvarkymas, laužavietės, stovų dviračiams, stalų ir suoliukų, informacinių stendų / ženklų įrengimas;    </w:t>
                        </w:r>
                      </w:p>
                      <w:p>
                        <w:pPr>
                          <w:tabs>
                            <w:tab w:val="left" w:pos="0"/>
                          </w:tabs>
                          <w:ind w:firstLine="716"/>
                          <w:jc w:val="both"/>
                          <w:rPr>
                            <w:szCs w:val="24"/>
                          </w:rPr>
                        </w:pPr>
                        <w:r>
                          <w:rPr>
                            <w:szCs w:val="24"/>
                          </w:rPr>
                          <w:t xml:space="preserve">Pažangos finansavimo Burbiškio dvaro sodybos pritaikymo lankymui. Planuojamos veiklos objekte ir prieigose: privažiuojamo kelio RD0241 prie dvaro, nuo kelio RD0239, rekonstravimas; automobilių stovėjimo aikštelių (šiaurinėje dvaro sklypo dalyje) įrengimas;   poilsio aikštelių su geriamojo vandens stotelėmis, įkrovų telefonams, suoliukų, pavėsinių, informacinių stendų ir kitų mažosios architektūros elementų bei  lankymui reikalingos infrastruktūros įrengimas;</w:t>
                        </w:r>
                      </w:p>
                      <w:p>
                        <w:pPr>
                          <w:tabs>
                            <w:tab w:val="left" w:pos="0"/>
                          </w:tabs>
                          <w:ind w:firstLine="716"/>
                          <w:jc w:val="both"/>
                          <w:rPr>
                            <w:szCs w:val="24"/>
                          </w:rPr>
                        </w:pPr>
                        <w:r>
                          <w:rPr>
                            <w:szCs w:val="24"/>
                          </w:rPr>
                          <w:t xml:space="preserve">Pažangos finansavimas Šeduvos kultūros ir gamtos objektų pritaikymo lankymui. Šeduvos žydų senųjų kapinių (KVR 21784), Niauduvos upelio, Šeduvos bažnyčios (KVR 1573), Šeduvos miesto kapinėse esančių kultūros paveldo objektų, Šeduvos miesto senosios vietos (KVR 30340) ir joje esančių kitų kultūros paveldo objektų pritaikymas lankymui (Šeduvos m., Radviliškio r. sav.). Planuojamos veiklos: gatvės atkarpos tarp Kėdainių ir Žvejų gatvių (0.28 km) ir  Žvejų g. aplinkkelio (0,57 km) statybos bei kapitalinio remonto darbai; pėsčiųjų ir dviračių tako nuo Šeduvos m. autobusų stotelės (Vytauto g. 28, Šeduvos m., Radviliškio r. sav.) pagal Niauduvos upelį iki Šeduvos žydų senųjų kapinių (2,6 km.) nauja statyba. Mažosios architektūros elementų, informacinės  ir kitos lankymui reikalingos infrastruktūros įrengimas.</w:t>
                        </w:r>
                      </w:p>
                      <w:p>
                        <w:pPr>
                          <w:tabs>
                            <w:tab w:val="left" w:pos="0"/>
                          </w:tabs>
                          <w:ind w:firstLine="716"/>
                          <w:jc w:val="both"/>
                          <w:rPr>
                            <w:szCs w:val="24"/>
                          </w:rPr>
                        </w:pPr>
                        <w:r>
                          <w:rPr>
                            <w:szCs w:val="24"/>
                          </w:rPr>
                          <w:t xml:space="preserve">Pažangos finansavimas Kudinų piliakalnio (kitaip vadinamo Šiaulės kalnu) pritaikymo lankymui.   Planuojamos veiklos: vietinės reikšmės kelio modernizavimas (1,32 km) (nuo rajoninio kelio Šiaulėnai – Šaukotas – Pašušvys (3405) iki automobilių stovėjimo aikštelės ties piliakalniu);</w:t>
                        </w:r>
                      </w:p>
                      <w:p>
                        <w:pPr>
                          <w:tabs>
                            <w:tab w:val="left" w:pos="0"/>
                          </w:tabs>
                          <w:ind w:firstLine="716"/>
                          <w:jc w:val="both"/>
                          <w:rPr>
                            <w:szCs w:val="24"/>
                          </w:rPr>
                        </w:pPr>
                        <w:r>
                          <w:rPr>
                            <w:szCs w:val="24"/>
                          </w:rPr>
                          <w:t>Pažangos finansavimas kitų inžinerinių statinių, stoginių, Panevėžio g. 36, Šeduva, statybai.</w:t>
                        </w:r>
                      </w:p>
                      <w:p>
                        <w:pPr>
                          <w:tabs>
                            <w:tab w:val="left" w:pos="0"/>
                          </w:tabs>
                          <w:ind w:firstLine="716"/>
                          <w:jc w:val="both"/>
                          <w:rPr>
                            <w:szCs w:val="24"/>
                          </w:rPr>
                        </w:pPr>
                        <w:r>
                          <w:rPr>
                            <w:szCs w:val="24"/>
                          </w:rPr>
                          <w:t>2 uždavinys. Didinti miesto ir kaimo gyvenamųjų erdvių ir kraštovaizdžio patrauklumą.</w:t>
                        </w:r>
                      </w:p>
                      <w:p>
                        <w:pPr>
                          <w:tabs>
                            <w:tab w:val="left" w:pos="0"/>
                          </w:tabs>
                          <w:ind w:firstLine="716"/>
                          <w:jc w:val="both"/>
                          <w:rPr>
                            <w:szCs w:val="24"/>
                          </w:rPr>
                        </w:pPr>
                        <w:r>
                          <w:rPr>
                            <w:szCs w:val="24"/>
                          </w:rPr>
                          <w:t>Įgyvendinant šį uždavinį bus vykdomos priemonė – Pažangos finansavimas Alksniupių krašto skverui.</w:t>
                        </w:r>
                      </w:p>
                      <w:p>
                        <w:pPr>
                          <w:tabs>
                            <w:tab w:val="left" w:pos="0"/>
                          </w:tabs>
                          <w:ind w:firstLine="716"/>
                          <w:jc w:val="both"/>
                          <w:rPr>
                            <w:szCs w:val="24"/>
                          </w:rPr>
                        </w:pPr>
                        <w:r>
                          <w:rPr>
                            <w:szCs w:val="24"/>
                          </w:rPr>
                          <w:t>3 uždavinys. Užtikrinti efektyvų viešąjį valdymą, gerinti paslaugų kokybę ir prieinamumą.</w:t>
                        </w:r>
                      </w:p>
                      <w:p>
                        <w:pPr>
                          <w:tabs>
                            <w:tab w:val="left" w:pos="0"/>
                          </w:tabs>
                          <w:ind w:firstLine="778"/>
                          <w:jc w:val="both"/>
                          <w:rPr>
                            <w:szCs w:val="24"/>
                          </w:rPr>
                        </w:pPr>
                        <w:r>
                          <w:rPr>
                            <w:szCs w:val="24"/>
                          </w:rPr>
                          <w:t xml:space="preserve">2025–2027 metų laikotarpiu, pasinaudojus ES ir kitų finansinių mechanizmų finansine parama, bus  įdiegtos savivaldybės vidaus valdymo ir gyventojų aptarnavimo procesus paspartinsiančios informacinės sistemos.</w:t>
                        </w:r>
                      </w:p>
                      <w:p>
                        <w:pPr>
                          <w:tabs>
                            <w:tab w:val="left" w:pos="0"/>
                          </w:tabs>
                          <w:ind w:firstLine="716"/>
                          <w:jc w:val="both"/>
                          <w:rPr>
                            <w:szCs w:val="24"/>
                          </w:rPr>
                        </w:pPr>
                        <w:r>
                          <w:rPr>
                            <w:szCs w:val="24"/>
                          </w:rPr>
                          <w:t xml:space="preserve">Įgyvendinant šį uždavinį bus vykdoma priemonė – Pažangos finansavimas naujiems investiciniams projektams, galimybių studijoms, TP rengimui ir kitoms  paslaugoms.</w:t>
                        </w:r>
                      </w:p>
                      <w:p>
                        <w:pPr>
                          <w:tabs>
                            <w:tab w:val="left" w:pos="0"/>
                          </w:tabs>
                          <w:ind w:firstLine="716"/>
                          <w:jc w:val="both"/>
                          <w:rPr>
                            <w:szCs w:val="24"/>
                          </w:rPr>
                        </w:pPr>
                        <w:r>
                          <w:rPr>
                            <w:szCs w:val="24"/>
                          </w:rPr>
                          <w:t>3.</w:t>
                          <w:tab/>
                          <w:t>Programos tikslo „Gyventojų sveikatos gerinimas, psichinės ir fizinės sveikatos stiprinimas“ įgyvendinimo aprašymas:</w:t>
                        </w:r>
                      </w:p>
                      <w:p>
                        <w:pPr>
                          <w:tabs>
                            <w:tab w:val="left" w:pos="0"/>
                          </w:tabs>
                          <w:ind w:firstLine="716"/>
                          <w:jc w:val="both"/>
                          <w:rPr>
                            <w:szCs w:val="24"/>
                          </w:rPr>
                        </w:pPr>
                        <w:r>
                          <w:rPr>
                            <w:szCs w:val="24"/>
                          </w:rPr>
                          <w:t>1 uždavinys. Užtikrinti vienodas galimybes naudotis sveikatos priežiūros paslaugomis.</w:t>
                        </w:r>
                      </w:p>
                      <w:p>
                        <w:pPr>
                          <w:tabs>
                            <w:tab w:val="left" w:pos="0"/>
                          </w:tabs>
                          <w:ind w:firstLine="716"/>
                          <w:jc w:val="both"/>
                          <w:rPr>
                            <w:szCs w:val="24"/>
                          </w:rPr>
                        </w:pPr>
                        <w:r>
                          <w:rPr>
                            <w:szCs w:val="24"/>
                          </w:rPr>
                          <w:t>Įgyvendinant šį uždavinį bus vykdomos priemonės:</w:t>
                        </w:r>
                      </w:p>
                      <w:p>
                        <w:pPr>
                          <w:tabs>
                            <w:tab w:val="left" w:pos="0"/>
                          </w:tabs>
                          <w:ind w:firstLine="716"/>
                          <w:jc w:val="both"/>
                          <w:rPr>
                            <w:szCs w:val="24"/>
                          </w:rPr>
                        </w:pPr>
                        <w:r>
                          <w:rPr>
                            <w:szCs w:val="24"/>
                          </w:rPr>
                          <w:t xml:space="preserve">Pažangos finansavimas sveikatos centro sudėtyje teikiamų sveikatos priežiūros paslaugų infrastruktūros modernizavimui Radviliškio rajone. Priemonės tikslas – pagerinti visuomenės sveikatos priežiūros paslaugų prieinamumą ir kokybę, modernizuojant jų infrastruktūrą. Priemonės įgyvendinimo metu planuojama: </w:t>
                        </w:r>
                      </w:p>
                      <w:p>
                        <w:pPr>
                          <w:tabs>
                            <w:tab w:val="left" w:pos="0"/>
                          </w:tabs>
                          <w:ind w:firstLine="716"/>
                          <w:jc w:val="both"/>
                          <w:rPr>
                            <w:szCs w:val="24"/>
                          </w:rPr>
                        </w:pPr>
                        <w:r>
                          <w:rPr>
                            <w:szCs w:val="24"/>
                          </w:rPr>
                          <w:t xml:space="preserve">1. VšĮ Radviliškio ligoninės priėmimo - skubios pagalbos skyriaus kapitalinio remonto darbai, adresu Gedimino g. 9, Radviliškyje, įrangos ir baldų įsigijimas; </w:t>
                        </w:r>
                      </w:p>
                      <w:p>
                        <w:pPr>
                          <w:tabs>
                            <w:tab w:val="left" w:pos="0"/>
                          </w:tabs>
                          <w:ind w:firstLine="716"/>
                          <w:jc w:val="both"/>
                          <w:rPr>
                            <w:szCs w:val="24"/>
                          </w:rPr>
                        </w:pPr>
                        <w:r>
                          <w:rPr>
                            <w:szCs w:val="24"/>
                          </w:rPr>
                          <w:t xml:space="preserve">2. VšĮ Radviliškio r.  pirminės sveikatos priežiūros centro  kineziterapijos ir odontologijos kabinetų remonto darbai, adresu Gedimino g. 9B, Radviliškyje, medicininės, kompiuterinės įrangos, baldų įsigijimas; </w:t>
                        </w:r>
                      </w:p>
                      <w:p>
                        <w:pPr>
                          <w:tabs>
                            <w:tab w:val="left" w:pos="0"/>
                          </w:tabs>
                          <w:ind w:firstLine="778"/>
                          <w:jc w:val="both"/>
                          <w:rPr>
                            <w:szCs w:val="24"/>
                          </w:rPr>
                        </w:pPr>
                        <w:r>
                          <w:rPr>
                            <w:szCs w:val="24"/>
                          </w:rPr>
                          <w:t xml:space="preserve">3. VšĮ Šeduvos pirminės sveikatos priežiūros centro patalpų remonto darbai, adresu Laisvės a. 29, Šeduvoje, medicininės ir kompiuterinės įrangos įsigijimas; </w:t>
                        </w:r>
                      </w:p>
                      <w:p>
                        <w:pPr>
                          <w:tabs>
                            <w:tab w:val="left" w:pos="0"/>
                          </w:tabs>
                          <w:ind w:firstLine="716"/>
                          <w:jc w:val="both"/>
                          <w:rPr>
                            <w:szCs w:val="24"/>
                          </w:rPr>
                        </w:pPr>
                        <w:r>
                          <w:rPr>
                            <w:szCs w:val="24"/>
                          </w:rPr>
                          <w:t xml:space="preserve">4. VšĮ Baisogalos pirminės sveikatos priežiūros centro paslaugų modernizavimas – Grinkiškio ambulatorijos remonto darbai, adresu Tilto g. 41, Grinkiškyje, kompiuterinės ir medicininės įrangos bei baldų įsigijimas; </w:t>
                        </w:r>
                      </w:p>
                      <w:p>
                        <w:pPr>
                          <w:tabs>
                            <w:tab w:val="left" w:pos="0"/>
                          </w:tabs>
                          <w:ind w:firstLine="716"/>
                          <w:jc w:val="both"/>
                          <w:rPr>
                            <w:szCs w:val="24"/>
                          </w:rPr>
                        </w:pPr>
                        <w:r>
                          <w:rPr>
                            <w:szCs w:val="24"/>
                          </w:rPr>
                          <w:t xml:space="preserve">5. UAB „Kristivita“ patalpų remonto darbai, adresu Gedimino g. 9C, medicininės  įrangos įsigijimas; </w:t>
                        </w:r>
                      </w:p>
                      <w:p>
                        <w:pPr>
                          <w:tabs>
                            <w:tab w:val="left" w:pos="0"/>
                          </w:tabs>
                          <w:ind w:firstLine="716"/>
                          <w:jc w:val="both"/>
                          <w:rPr>
                            <w:szCs w:val="24"/>
                          </w:rPr>
                        </w:pPr>
                        <w:r>
                          <w:rPr>
                            <w:szCs w:val="24"/>
                          </w:rPr>
                          <w:t xml:space="preserve">6. UAB „Medicinos namai šeimai“ – medicininės įrangos ir baldų įsigijimas; </w:t>
                        </w:r>
                      </w:p>
                      <w:p>
                        <w:pPr>
                          <w:tabs>
                            <w:tab w:val="left" w:pos="0"/>
                          </w:tabs>
                          <w:ind w:firstLine="716"/>
                          <w:jc w:val="both"/>
                          <w:rPr>
                            <w:szCs w:val="24"/>
                          </w:rPr>
                        </w:pPr>
                        <w:r>
                          <w:rPr>
                            <w:szCs w:val="24"/>
                          </w:rPr>
                          <w:t>7. UAB „MedicPartners“ medicininės įrangos įsigijimas;</w:t>
                        </w:r>
                      </w:p>
                      <w:p>
                        <w:pPr>
                          <w:tabs>
                            <w:tab w:val="left" w:pos="0"/>
                          </w:tabs>
                          <w:ind w:firstLine="716"/>
                          <w:jc w:val="both"/>
                          <w:rPr>
                            <w:szCs w:val="24"/>
                          </w:rPr>
                        </w:pPr>
                        <w:r>
                          <w:rPr>
                            <w:szCs w:val="24"/>
                          </w:rPr>
                          <w:t xml:space="preserve">Pažangos finansavimas Radviliškio rajono sveikatos centro teikiamų sveikatos priežiūros paslaugų kokybės ir prieinamumo gerinimui planuojamos veiklos: telekomunikacijos, elektroninės informacijos perdavimo ir medicininių priemonių (prietaisų), skirtų pacientų sveikatos būklės – ambulatoriškai ir nuotoliniu būdu – stebėjimui ir vertinimui įsigijimas; </w:t>
                        </w:r>
                      </w:p>
                      <w:p>
                        <w:pPr>
                          <w:tabs>
                            <w:tab w:val="left" w:pos="0"/>
                          </w:tabs>
                          <w:ind w:firstLine="716"/>
                          <w:jc w:val="both"/>
                          <w:rPr>
                            <w:szCs w:val="24"/>
                          </w:rPr>
                        </w:pPr>
                        <w:r>
                          <w:rPr>
                            <w:szCs w:val="24"/>
                          </w:rPr>
                          <w:t xml:space="preserve">Pažangos finansavimas mobiliųjų komandų aprūpinimui įranga ir transporto priemonėmis Radviliškio rajone apima dviejų projektų – Radviliškio  rajono pirminės sveikatos priežiūros centro mobiliosios komandos aprūpinimas įranga ir transporto priemone bei Mobiliųjų komandų aprūpinimas darbui reikalinga įranga ir priemonių komplektais bei automobiliais Radviliškio rajone veiklų įgyvendinimą. Priemonės tikslas: didinti visuomenės sveikatos paslaugų prieinamumą ir užtikrinti ilgalaikės priežiūros paslaugų plėtrą Radviliškio rajone.</w:t>
                        </w:r>
                      </w:p>
                      <w:p>
                        <w:pPr>
                          <w:tabs>
                            <w:tab w:val="left" w:pos="0"/>
                          </w:tabs>
                          <w:ind w:firstLine="716"/>
                          <w:jc w:val="both"/>
                          <w:rPr>
                            <w:szCs w:val="24"/>
                          </w:rPr>
                        </w:pPr>
                        <w:r>
                          <w:rPr>
                            <w:szCs w:val="24"/>
                          </w:rPr>
                          <w:t xml:space="preserve">Projekto Radviliškio  rajono pirminės sveikatos priežiūros centro mobiliosios komandos aprūpinimas įranga ir transporto priemone įgyvendinimo metu įsigyta elektromobilio įkrovimo stotelė ir reikiama įranga, planuojama įsigyti transporto priemonę. </w:t>
                        </w:r>
                      </w:p>
                      <w:p>
                        <w:pPr>
                          <w:tabs>
                            <w:tab w:val="left" w:pos="0"/>
                          </w:tabs>
                          <w:ind w:firstLine="716"/>
                          <w:jc w:val="both"/>
                          <w:rPr>
                            <w:szCs w:val="24"/>
                          </w:rPr>
                        </w:pPr>
                        <w:r>
                          <w:rPr>
                            <w:szCs w:val="24"/>
                          </w:rPr>
                          <w:t>Projekto Mobiliųjų komandų aprūpinimas darbui reikalinga įranga ir priemonių komplektais bei automobiliais Radviliškio rajone įgyvendinimo metu planuojamos investicijos į ambulatorinės slaugos paslaugos namuose teikiančių mobilių komandų (VšĮ Baisogalos PSPC, VšĮ Šeduvos PSPC, UAB „Kristivita“) aprūpinimą darbui reikalinga įranga, priemonėmis ir automobiliais;</w:t>
                        </w:r>
                      </w:p>
                      <w:p>
                        <w:pPr>
                          <w:tabs>
                            <w:tab w:val="left" w:pos="0"/>
                          </w:tabs>
                          <w:ind w:firstLine="716"/>
                          <w:jc w:val="both"/>
                          <w:rPr>
                            <w:szCs w:val="24"/>
                          </w:rPr>
                        </w:pPr>
                        <w:r>
                          <w:rPr>
                            <w:szCs w:val="24"/>
                          </w:rPr>
                          <w:t>Tęstinės kokybiškų visuomenės sveikatos paslaugų prieinamumo didinimo Radviliškio rajone (visuomenės sveikatos biuro) veiklos tikslas – didinti Radviliškio rajono mokinių atsparumą psichoaktyvių medžiagų bei alkoholio vartojimui: psichoaktyviųjų medžiagų prevencijos mokymai moksleiviams ir jų aplinkos nariams, trumpos intervencijos siekiant sumažinti alkoholio vartojimą.</w:t>
                        </w:r>
                      </w:p>
                      <w:p>
                        <w:pPr>
                          <w:tabs>
                            <w:tab w:val="left" w:pos="0"/>
                          </w:tabs>
                          <w:ind w:firstLine="716"/>
                          <w:jc w:val="both"/>
                          <w:rPr>
                            <w:szCs w:val="24"/>
                          </w:rPr>
                        </w:pPr>
                        <w:r>
                          <w:rPr>
                            <w:szCs w:val="24"/>
                          </w:rPr>
                          <w:t>Prevencinių priemonių, stiprinančių visuomenės sveikatą bei psichologinę gerovę ir atsparumą, plėtra Radviliškio rajone. Tikslas: stiprinti visuomenės sveikatą bei atsparumą: elgesio modeliavimo mokymai kūno sužalojimo atveju (6-10 metų amžiaus vaikams), vaikų sveikatos stiprinimo stovyklų organizavimas;</w:t>
                        </w:r>
                      </w:p>
                      <w:p>
                        <w:pPr>
                          <w:tabs>
                            <w:tab w:val="left" w:pos="0"/>
                          </w:tabs>
                          <w:ind w:firstLine="716"/>
                          <w:jc w:val="both"/>
                          <w:rPr>
                            <w:szCs w:val="24"/>
                          </w:rPr>
                        </w:pPr>
                        <w:r>
                          <w:rPr>
                            <w:szCs w:val="24"/>
                          </w:rPr>
                          <w:t>Pažangos finansavimas psichiatrijos dienos stacionaro įkūrimui ir paslaugų plėtrai Radviliškio rajone. Priemonės įgyvendinimo metų numatoma statyti naują psichiatrijos dienos stacionaro pastatą, įsigyti reikalingus baldus, įrangą, priemones. Įsteigtas psichiatrijos dienos stacionaras ir teikiamos paslaugos pagerins psichikos sveikatos paslaugų prieinamumą Radviliškio rajone, sutrumpins stacionarinio gydymo laiką, užtikrins asmenų darbingumo išsaugojimą, reintegraciją į visuomenę ir gyvenimo kokybę. Ambulatorinių psichikos sveikatos paslaugų prieinamumas pagerės ne mažiau kaip 120 asmenų per metus.</w:t>
                        </w:r>
                      </w:p>
                      <w:p>
                        <w:pPr>
                          <w:tabs>
                            <w:tab w:val="left" w:pos="0"/>
                          </w:tabs>
                          <w:ind w:firstLine="716"/>
                          <w:jc w:val="both"/>
                          <w:rPr>
                            <w:szCs w:val="24"/>
                          </w:rPr>
                        </w:pPr>
                        <w:r>
                          <w:rPr>
                            <w:szCs w:val="24"/>
                          </w:rPr>
                          <w:t>4.</w:t>
                          <w:tab/>
                          <w:t>Programos tikslo „Verslo aplinkos gerinimas ir konkurencingumo skatinimas“ įgyvendinimo aprašymas:</w:t>
                        </w:r>
                      </w:p>
                      <w:p>
                        <w:pPr>
                          <w:tabs>
                            <w:tab w:val="left" w:pos="0"/>
                          </w:tabs>
                          <w:ind w:firstLine="716"/>
                          <w:jc w:val="both"/>
                          <w:rPr>
                            <w:szCs w:val="24"/>
                          </w:rPr>
                        </w:pPr>
                        <w:r>
                          <w:rPr>
                            <w:szCs w:val="24"/>
                          </w:rPr>
                          <w:t>1 uždavinys. Sudaryti palankias sąlygas naujo verslo kūrimui, veikiančio verslo stiprinimui bei naujų investicijų pritraukimui.</w:t>
                        </w:r>
                      </w:p>
                      <w:p>
                        <w:pPr>
                          <w:tabs>
                            <w:tab w:val="left" w:pos="0"/>
                          </w:tabs>
                          <w:ind w:firstLine="716"/>
                          <w:jc w:val="both"/>
                          <w:rPr>
                            <w:szCs w:val="24"/>
                          </w:rPr>
                        </w:pPr>
                        <w:r>
                          <w:rPr>
                            <w:szCs w:val="24"/>
                          </w:rPr>
                          <w:t>Įgyvendinant šį uždavinį bus vykdomos priemonės:</w:t>
                        </w:r>
                      </w:p>
                      <w:p>
                        <w:pPr>
                          <w:tabs>
                            <w:tab w:val="left" w:pos="0"/>
                          </w:tabs>
                          <w:ind w:firstLine="716"/>
                          <w:jc w:val="both"/>
                          <w:rPr>
                            <w:szCs w:val="24"/>
                          </w:rPr>
                        </w:pPr>
                        <w:r>
                          <w:rPr>
                            <w:szCs w:val="24"/>
                          </w:rPr>
                          <w:t>Pažangos projektas „Susisiekimo infrastruktūros privažiuojamojo kelio prie investicinių sklypų Vėriškių g. 63 ir Vėriškių g. 66, Šeduvos m. Radviliškio r. sav. tiesimas“;</w:t>
                        </w:r>
                      </w:p>
                      <w:p>
                        <w:pPr>
                          <w:tabs>
                            <w:tab w:val="left" w:pos="0"/>
                          </w:tabs>
                          <w:ind w:firstLine="716"/>
                          <w:jc w:val="both"/>
                          <w:rPr>
                            <w:szCs w:val="24"/>
                          </w:rPr>
                        </w:pPr>
                        <w:r>
                          <w:rPr>
                            <w:szCs w:val="24"/>
                          </w:rPr>
                          <w:t>5.</w:t>
                          <w:tab/>
                          <w:t>Programos tikslo „Socialinės pagalbos prieinamumo didinimas, socialinės atsakomybės stiprinimas“ įgyvendinimo aprašymas:</w:t>
                        </w:r>
                      </w:p>
                      <w:p>
                        <w:pPr>
                          <w:tabs>
                            <w:tab w:val="left" w:pos="0"/>
                          </w:tabs>
                          <w:ind w:firstLine="716"/>
                          <w:jc w:val="both"/>
                          <w:rPr>
                            <w:szCs w:val="24"/>
                          </w:rPr>
                        </w:pPr>
                        <w:r>
                          <w:rPr>
                            <w:szCs w:val="24"/>
                          </w:rPr>
                          <w:t>1 uždavinys. Didinti socialinę integraciją, mažinti atskirtį.</w:t>
                        </w:r>
                      </w:p>
                      <w:p>
                        <w:pPr>
                          <w:tabs>
                            <w:tab w:val="left" w:pos="0"/>
                          </w:tabs>
                          <w:ind w:firstLine="716"/>
                          <w:jc w:val="both"/>
                          <w:rPr>
                            <w:szCs w:val="24"/>
                          </w:rPr>
                        </w:pPr>
                        <w:r>
                          <w:rPr>
                            <w:szCs w:val="24"/>
                          </w:rPr>
                          <w:t>Įgyvendinant šį uždavinį bus vykdomos priemonės:</w:t>
                        </w:r>
                      </w:p>
                      <w:p>
                        <w:pPr>
                          <w:tabs>
                            <w:tab w:val="left" w:pos="0"/>
                          </w:tabs>
                          <w:ind w:firstLine="716"/>
                          <w:jc w:val="both"/>
                          <w:rPr>
                            <w:szCs w:val="24"/>
                          </w:rPr>
                        </w:pPr>
                        <w:r>
                          <w:rPr>
                            <w:szCs w:val="24"/>
                          </w:rPr>
                          <w:t>Pažangos finansavimas socialinio būsto fondo plėtrai Radviliškio rajono savivaldybėje. Priemonės tikslas – išplėsti socialinio būsto fondą. Priemonės įgyvendinimo metu 20 asmenų (ir jų šeimos nariams) bus suteikti nauji arba suremontuoti socialiniai būstai. Iš jų: 4 būstai šeimoms, kuriose yra žmonių su negalia (juos pritaikant) ir 16 – gausioms šeimoms. Numatoma įsigyti 4 vieno kambario butus (plotas iki 40 kv. m), kurie bus skiriami asmenims su negalia. Gausioms šeimoms planuojama nupirkti: 11 trijų kambarių butų, kurių plotas preliminariai 65–68 kv. m; 4 keturių kambarių butus, kurių plotas preliminariai 80–85 kv. m; 1 gyvenamąjį penkių kambarių namą, kurio plotas preliminariai 110 kv. m. Butai bus įsigyjami Radviliškio mieste, gyvenamasis namas – Radviliškio r.</w:t>
                        </w:r>
                      </w:p>
                      <w:p>
                        <w:pPr>
                          <w:tabs>
                            <w:tab w:val="left" w:pos="0"/>
                          </w:tabs>
                          <w:ind w:firstLine="716"/>
                          <w:jc w:val="both"/>
                          <w:rPr>
                            <w:szCs w:val="24"/>
                          </w:rPr>
                        </w:pPr>
                        <w:r>
                          <w:rPr>
                            <w:szCs w:val="24"/>
                          </w:rPr>
                          <w:t>Pažangos finansavimas socialinio būsto fondo plėtrai. Planuojama įsigyti (nupirkti) du butus Radviliškio mieste. Priemonės įgyvendinimo metu bus siekiama įsigyti kuo aukštesnės energetinio naudingumo klasės vieno kambario butas</w:t>
                        </w:r>
                      </w:p>
                      <w:p>
                        <w:pPr>
                          <w:tabs>
                            <w:tab w:val="left" w:pos="0"/>
                          </w:tabs>
                          <w:ind w:firstLine="716"/>
                          <w:jc w:val="both"/>
                          <w:rPr>
                            <w:szCs w:val="24"/>
                          </w:rPr>
                        </w:pPr>
                      </w:p>
                      <w:p>
                        <w:pPr>
                          <w:tabs>
                            <w:tab w:val="left" w:pos="0"/>
                          </w:tabs>
                          <w:ind w:firstLine="716"/>
                          <w:jc w:val="both"/>
                          <w:rPr>
                            <w:szCs w:val="24"/>
                          </w:rPr>
                        </w:pPr>
                        <w:r>
                          <w:rPr>
                            <w:szCs w:val="24"/>
                          </w:rPr>
                          <w:t>Susiję įstatymai ir kiti teisės aktai</w:t>
                        </w:r>
                      </w:p>
                      <w:p>
                        <w:pPr>
                          <w:tabs>
                            <w:tab w:val="left" w:pos="0"/>
                          </w:tabs>
                          <w:ind w:firstLine="716"/>
                          <w:jc w:val="both"/>
                          <w:rPr>
                            <w:b/>
                            <w:bCs/>
                            <w:szCs w:val="24"/>
                          </w:rPr>
                        </w:pPr>
                        <w:r>
                          <w:rPr>
                            <w:szCs w:val="24"/>
                          </w:rPr>
                          <w:t>Lietuvos Respublikos statybos įstatymas; Lietuvos Respublikos teritorijų planavimo įstatymas, ES veiksmų programos.</w:t>
                        </w:r>
                      </w:p>
                    </w:tc>
                  </w:tr>
                </w:tbl>
                <w:p>
                  <w:pPr>
                    <w:ind w:left="426" w:firstLine="817"/>
                    <w:jc w:val="both"/>
                    <w:rPr>
                      <w:b/>
                      <w:bCs/>
                      <w:sz w:val="22"/>
                      <w:szCs w:val="22"/>
                    </w:rPr>
                  </w:pPr>
                </w:p>
                <w:p>
                  <w:pPr>
                    <w:ind w:left="426" w:firstLine="817"/>
                    <w:jc w:val="both"/>
                  </w:pPr>
                </w:p>
                <w:p>
                  <w:pPr>
                    <w:ind w:left="426" w:firstLine="817"/>
                    <w:jc w:val="both"/>
                  </w:pPr>
                </w:p>
                <w:p>
                  <w:pPr>
                    <w:ind w:left="426" w:firstLine="817"/>
                    <w:jc w:val="both"/>
                  </w:pPr>
                </w:p>
                <w:p>
                  <w:pPr>
                    <w:ind w:left="426" w:firstLine="817"/>
                    <w:jc w:val="both"/>
                  </w:pPr>
                </w:p>
                <w:p>
                  <w:pPr>
                    <w:ind w:left="426" w:firstLine="817"/>
                    <w:jc w:val="both"/>
                  </w:pPr>
                </w:p>
                <w:p>
                  <w:pPr>
                    <w:jc w:val="center"/>
                    <w:rPr>
                      <w:b/>
                      <w:bCs/>
                      <w:szCs w:val="24"/>
                    </w:rPr>
                  </w:pPr>
                </w:p>
                <w:tbl>
                  <w:tblPr>
                    <w:tblW w:w="10348" w:type="dxa"/>
                    <w:tblLayout w:type="fixed"/>
                    <w:tblLook w:val="04A0" w:firstRow="1" w:lastRow="0" w:firstColumn="1" w:lastColumn="0" w:noHBand="0" w:noVBand="1"/>
                  </w:tblPr>
                  <w:tblGrid>
                    <w:gridCol w:w="1418"/>
                    <w:gridCol w:w="3685"/>
                    <w:gridCol w:w="1276"/>
                    <w:gridCol w:w="1417"/>
                    <w:gridCol w:w="1134"/>
                    <w:gridCol w:w="1418"/>
                  </w:tblGrid>
                  <w:tr>
                    <w:trPr>
                      <w:cantSplit/>
                      <w:trHeight w:val="714"/>
                    </w:trPr>
                    <w:tc>
                      <w:tcPr>
                        <w:tcW w:w="10348" w:type="dxa"/>
                        <w:gridSpan w:val="6"/>
                        <w:tcBorders>
                          <w:bottom w:val="single" w:sz="4" w:space="0" w:color="FFE8CB"/>
                        </w:tcBorders>
                      </w:tcPr>
                      <w:p>
                        <w:pPr>
                          <w:jc w:val="center"/>
                          <w:rPr>
                            <w:b/>
                            <w:bCs/>
                            <w:sz w:val="22"/>
                            <w:szCs w:val="22"/>
                          </w:rPr>
                        </w:pPr>
                      </w:p>
                      <w:p>
                        <w:pPr>
                          <w:jc w:val="center"/>
                          <w:rPr>
                            <w:b/>
                            <w:bCs/>
                            <w:sz w:val="22"/>
                            <w:szCs w:val="22"/>
                          </w:rPr>
                        </w:pPr>
                      </w:p>
                      <w:p>
                        <w:pPr>
                          <w:jc w:val="center"/>
                          <w:rPr>
                            <w:b/>
                            <w:color w:val="000000"/>
                            <w:sz w:val="22"/>
                            <w:szCs w:val="22"/>
                            <w:lang w:eastAsia="lt-LT"/>
                          </w:rPr>
                        </w:pPr>
                        <w:r>
                          <w:rPr>
                            <w:b/>
                            <w:bCs/>
                            <w:szCs w:val="24"/>
                          </w:rPr>
                          <w:t>Programos uždaviniai, priemonės ir jų stebėsenos rodikliai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0"/>
                    </w:trPr>
                    <w:tc>
                      <w:tcPr>
                        <w:tcW w:w="1418" w:type="dxa"/>
                        <w:vMerge w:val="restart"/>
                        <w:tcBorders>
                          <w:top w:val="single" w:sz="4" w:space="0" w:color="FFE8CB"/>
                          <w:left w:val="single" w:sz="4" w:space="0" w:color="FFE8CB"/>
                          <w:right w:val="single" w:sz="4" w:space="0" w:color="FFE8CB"/>
                        </w:tcBorders>
                        <w:shd w:val="clear" w:color="auto" w:fill="FFE8CB"/>
                        <w:vAlign w:val="center"/>
                      </w:tcPr>
                      <w:p>
                        <w:pPr>
                          <w:jc w:val="center"/>
                          <w:rPr>
                            <w:bCs/>
                            <w:sz w:val="16"/>
                            <w:szCs w:val="16"/>
                          </w:rPr>
                        </w:pPr>
                        <w:r>
                          <w:rPr>
                            <w:bCs/>
                            <w:sz w:val="16"/>
                            <w:szCs w:val="16"/>
                            <w:lang w:eastAsia="lt-LT"/>
                          </w:rPr>
                          <w:t>Stebėsenos rodiklio kodas</w:t>
                        </w:r>
                      </w:p>
                    </w:tc>
                    <w:tc>
                      <w:tcPr>
                        <w:tcW w:w="3685" w:type="dxa"/>
                        <w:vMerge w:val="restart"/>
                        <w:tcBorders>
                          <w:top w:val="single" w:sz="4" w:space="0" w:color="FFE8CB"/>
                          <w:left w:val="single" w:sz="4" w:space="0" w:color="FFE8CB"/>
                          <w:right w:val="single" w:sz="4" w:space="0" w:color="FFE8CB"/>
                        </w:tcBorders>
                        <w:shd w:val="clear" w:color="auto" w:fill="FFE8CB"/>
                        <w:vAlign w:val="center"/>
                        <w:hideMark/>
                      </w:tcPr>
                      <w:p>
                        <w:pPr>
                          <w:jc w:val="center"/>
                          <w:rPr>
                            <w:bCs/>
                            <w:color w:val="000000"/>
                            <w:sz w:val="16"/>
                            <w:szCs w:val="16"/>
                            <w:lang w:eastAsia="lt-LT"/>
                          </w:rPr>
                        </w:pPr>
                        <w:r>
                          <w:rPr>
                            <w:bCs/>
                            <w:color w:val="000000"/>
                            <w:sz w:val="16"/>
                            <w:szCs w:val="16"/>
                            <w:lang w:eastAsia="lt-LT"/>
                          </w:rPr>
                          <w:t>Stebėsenos rodiklio pavadinimas</w:t>
                        </w:r>
                      </w:p>
                      <w:p>
                        <w:pPr>
                          <w:jc w:val="center"/>
                          <w:rPr>
                            <w:bCs/>
                            <w:sz w:val="16"/>
                            <w:szCs w:val="16"/>
                          </w:rPr>
                        </w:pPr>
                        <w:r>
                          <w:rPr>
                            <w:bCs/>
                            <w:color w:val="000000"/>
                            <w:sz w:val="16"/>
                            <w:szCs w:val="16"/>
                            <w:lang w:eastAsia="lt-LT"/>
                          </w:rPr>
                          <w:t>(matavimo vnt.)</w:t>
                        </w:r>
                      </w:p>
                    </w:tc>
                    <w:tc>
                      <w:tcPr>
                        <w:tcW w:w="3827" w:type="dxa"/>
                        <w:gridSpan w:val="3"/>
                        <w:tcBorders>
                          <w:top w:val="single" w:sz="4" w:space="0" w:color="FFE8CB"/>
                          <w:left w:val="single" w:sz="4" w:space="0" w:color="FFE8CB"/>
                          <w:right w:val="single" w:sz="4" w:space="0" w:color="FFE8CB"/>
                        </w:tcBorders>
                        <w:shd w:val="clear" w:color="auto" w:fill="FFE8CB"/>
                        <w:vAlign w:val="center"/>
                      </w:tcPr>
                      <w:p>
                        <w:pPr>
                          <w:jc w:val="center"/>
                          <w:rPr>
                            <w:bCs/>
                            <w:sz w:val="16"/>
                            <w:szCs w:val="16"/>
                          </w:rPr>
                        </w:pPr>
                        <w:r>
                          <w:rPr>
                            <w:bCs/>
                            <w:color w:val="000000"/>
                            <w:sz w:val="16"/>
                            <w:szCs w:val="16"/>
                            <w:lang w:eastAsia="lt-LT"/>
                          </w:rPr>
                          <w:t>Siektinos stebėsenos rodiklių reikšmės</w:t>
                        </w:r>
                      </w:p>
                    </w:tc>
                    <w:tc>
                      <w:tcPr>
                        <w:tcW w:w="1418" w:type="dxa"/>
                        <w:vMerge w:val="restart"/>
                        <w:tcBorders>
                          <w:top w:val="single" w:sz="4" w:space="0" w:color="FFE8CB"/>
                          <w:left w:val="single" w:sz="4" w:space="0" w:color="FFE8CB"/>
                          <w:right w:val="single" w:sz="4" w:space="0" w:color="FFE8CB"/>
                        </w:tcBorders>
                        <w:shd w:val="clear" w:color="auto" w:fill="FFE8CB"/>
                      </w:tcPr>
                      <w:p>
                        <w:pPr>
                          <w:jc w:val="center"/>
                          <w:rPr>
                            <w:bCs/>
                            <w:sz w:val="16"/>
                            <w:szCs w:val="16"/>
                          </w:rPr>
                        </w:pPr>
                        <w:r>
                          <w:rPr>
                            <w:bCs/>
                            <w:sz w:val="16"/>
                            <w:szCs w:val="16"/>
                          </w:rPr>
                          <w:t>Savivaldybės strateginio plėtros plano rodiklis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90"/>
                    </w:trPr>
                    <w:tc>
                      <w:tcPr>
                        <w:tcW w:w="1418" w:type="dxa"/>
                        <w:vMerge/>
                        <w:tcBorders>
                          <w:left w:val="single" w:sz="4" w:space="0" w:color="FFE8CB"/>
                          <w:bottom w:val="single" w:sz="4" w:space="0" w:color="auto"/>
                          <w:right w:val="single" w:sz="4" w:space="0" w:color="FFE8CB"/>
                        </w:tcBorders>
                        <w:shd w:val="clear" w:color="auto" w:fill="FFE8CB"/>
                        <w:vAlign w:val="center"/>
                      </w:tcPr>
                      <w:p>
                        <w:pPr>
                          <w:rPr>
                            <w:bCs/>
                            <w:sz w:val="16"/>
                            <w:szCs w:val="16"/>
                            <w:lang w:eastAsia="lt-LT"/>
                          </w:rPr>
                        </w:pPr>
                      </w:p>
                    </w:tc>
                    <w:tc>
                      <w:tcPr>
                        <w:tcW w:w="3685" w:type="dxa"/>
                        <w:vMerge/>
                        <w:tcBorders>
                          <w:left w:val="single" w:sz="4" w:space="0" w:color="FFE8CB"/>
                          <w:bottom w:val="single" w:sz="4" w:space="0" w:color="auto"/>
                          <w:right w:val="single" w:sz="4" w:space="0" w:color="FFE8CB"/>
                        </w:tcBorders>
                        <w:shd w:val="clear" w:color="auto" w:fill="FFE8CB"/>
                        <w:vAlign w:val="center"/>
                      </w:tcPr>
                      <w:p>
                        <w:pPr>
                          <w:jc w:val="center"/>
                          <w:rPr>
                            <w:bCs/>
                            <w:color w:val="000000"/>
                            <w:sz w:val="16"/>
                            <w:szCs w:val="16"/>
                            <w:lang w:eastAsia="lt-LT"/>
                          </w:rPr>
                        </w:pPr>
                      </w:p>
                    </w:tc>
                    <w:tc>
                      <w:tcPr>
                        <w:tcW w:w="1276" w:type="dxa"/>
                        <w:tcBorders>
                          <w:left w:val="single" w:sz="4" w:space="0" w:color="FFE8CB"/>
                          <w:right w:val="single" w:sz="4" w:space="0" w:color="FFE8CB"/>
                        </w:tcBorders>
                        <w:shd w:val="clear" w:color="auto" w:fill="FFE8CB"/>
                        <w:vAlign w:val="center"/>
                      </w:tcPr>
                      <w:p>
                        <w:pPr>
                          <w:jc w:val="center"/>
                          <w:rPr>
                            <w:sz w:val="16"/>
                            <w:szCs w:val="16"/>
                          </w:rPr>
                        </w:pPr>
                      </w:p>
                      <w:p>
                        <w:pPr>
                          <w:jc w:val="center"/>
                          <w:rPr>
                            <w:sz w:val="16"/>
                            <w:szCs w:val="16"/>
                          </w:rPr>
                        </w:pPr>
                        <w:r>
                          <w:rPr>
                            <w:bCs/>
                            <w:sz w:val="16"/>
                            <w:szCs w:val="16"/>
                          </w:rPr>
                          <w:t xml:space="preserve">2025 m. </w:t>
                        </w:r>
                      </w:p>
                    </w:tc>
                    <w:tc>
                      <w:tcPr>
                        <w:tcW w:w="1417" w:type="dxa"/>
                        <w:tcBorders>
                          <w:left w:val="single" w:sz="4" w:space="0" w:color="FFE8CB"/>
                          <w:right w:val="single" w:sz="4" w:space="0" w:color="FFE8CB"/>
                        </w:tcBorders>
                        <w:shd w:val="clear" w:color="auto" w:fill="FFE8CB"/>
                        <w:vAlign w:val="center"/>
                      </w:tcPr>
                      <w:p>
                        <w:pPr>
                          <w:jc w:val="center"/>
                          <w:rPr>
                            <w:sz w:val="16"/>
                            <w:szCs w:val="16"/>
                          </w:rPr>
                        </w:pPr>
                      </w:p>
                      <w:p>
                        <w:pPr>
                          <w:jc w:val="center"/>
                          <w:rPr>
                            <w:sz w:val="16"/>
                            <w:szCs w:val="16"/>
                          </w:rPr>
                        </w:pPr>
                        <w:r>
                          <w:rPr>
                            <w:bCs/>
                            <w:sz w:val="16"/>
                            <w:szCs w:val="16"/>
                          </w:rPr>
                          <w:t xml:space="preserve">2026 m. </w:t>
                        </w:r>
                      </w:p>
                    </w:tc>
                    <w:tc>
                      <w:tcPr>
                        <w:tcW w:w="1134" w:type="dxa"/>
                        <w:tcBorders>
                          <w:left w:val="single" w:sz="4" w:space="0" w:color="FFE8CB"/>
                          <w:right w:val="single" w:sz="4" w:space="0" w:color="FFE8CB"/>
                        </w:tcBorders>
                        <w:shd w:val="clear" w:color="auto" w:fill="FFE8CB"/>
                        <w:vAlign w:val="center"/>
                      </w:tcPr>
                      <w:p>
                        <w:pPr>
                          <w:jc w:val="center"/>
                          <w:rPr>
                            <w:sz w:val="16"/>
                            <w:szCs w:val="16"/>
                          </w:rPr>
                        </w:pPr>
                      </w:p>
                      <w:p>
                        <w:pPr>
                          <w:jc w:val="center"/>
                          <w:rPr>
                            <w:sz w:val="16"/>
                            <w:szCs w:val="16"/>
                          </w:rPr>
                        </w:pPr>
                        <w:r>
                          <w:rPr>
                            <w:bCs/>
                            <w:sz w:val="16"/>
                            <w:szCs w:val="16"/>
                          </w:rPr>
                          <w:t xml:space="preserve">2027 m. </w:t>
                        </w:r>
                      </w:p>
                    </w:tc>
                    <w:tc>
                      <w:tcPr>
                        <w:tcW w:w="1418" w:type="dxa"/>
                        <w:vMerge/>
                        <w:tcBorders>
                          <w:left w:val="single" w:sz="4" w:space="0" w:color="FFE8CB"/>
                          <w:right w:val="single" w:sz="4" w:space="0" w:color="FFE8CB"/>
                        </w:tcBorders>
                        <w:shd w:val="clear" w:color="auto" w:fill="FFE8CB"/>
                      </w:tcPr>
                      <w:p>
                        <w:pPr>
                          <w:jc w:val="center"/>
                          <w:rPr>
                            <w:sz w:val="16"/>
                            <w:szCs w:val="16"/>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FFE8CB"/>
                        <w:vAlign w:val="center"/>
                      </w:tcPr>
                      <w:p>
                        <w:pPr>
                          <w:jc w:val="center"/>
                          <w:rPr>
                            <w:bCs/>
                            <w:sz w:val="16"/>
                            <w:szCs w:val="16"/>
                          </w:rPr>
                        </w:pPr>
                        <w:r>
                          <w:rPr>
                            <w:bCs/>
                            <w:sz w:val="16"/>
                            <w:szCs w:val="16"/>
                          </w:rPr>
                          <w:t>1</w:t>
                        </w:r>
                      </w:p>
                    </w:tc>
                    <w:tc>
                      <w:tcPr>
                        <w:tcW w:w="3685" w:type="dxa"/>
                        <w:tcBorders>
                          <w:left w:val="single" w:sz="4" w:space="0" w:color="FFE8CB"/>
                          <w:right w:val="single" w:sz="4" w:space="0" w:color="FFE8CB"/>
                        </w:tcBorders>
                        <w:shd w:val="clear" w:color="auto" w:fill="FFE8CB"/>
                        <w:noWrap/>
                        <w:vAlign w:val="center"/>
                      </w:tcPr>
                      <w:p>
                        <w:pPr>
                          <w:jc w:val="center"/>
                          <w:rPr>
                            <w:sz w:val="16"/>
                            <w:szCs w:val="16"/>
                          </w:rPr>
                        </w:pPr>
                        <w:r>
                          <w:rPr>
                            <w:sz w:val="16"/>
                            <w:szCs w:val="16"/>
                          </w:rPr>
                          <w:t>2</w:t>
                        </w:r>
                      </w:p>
                    </w:tc>
                    <w:tc>
                      <w:tcPr>
                        <w:tcW w:w="1276" w:type="dxa"/>
                        <w:tcBorders>
                          <w:left w:val="single" w:sz="4" w:space="0" w:color="FFE8CB"/>
                          <w:right w:val="single" w:sz="4" w:space="0" w:color="FFE8CB"/>
                        </w:tcBorders>
                        <w:shd w:val="clear" w:color="auto" w:fill="FFE8CB"/>
                        <w:noWrap/>
                        <w:vAlign w:val="center"/>
                      </w:tcPr>
                      <w:p>
                        <w:pPr>
                          <w:jc w:val="center"/>
                          <w:rPr>
                            <w:bCs/>
                            <w:sz w:val="16"/>
                            <w:szCs w:val="16"/>
                          </w:rPr>
                        </w:pPr>
                        <w:r>
                          <w:rPr>
                            <w:bCs/>
                            <w:sz w:val="16"/>
                            <w:szCs w:val="16"/>
                          </w:rPr>
                          <w:t>3</w:t>
                        </w:r>
                      </w:p>
                    </w:tc>
                    <w:tc>
                      <w:tcPr>
                        <w:tcW w:w="1417" w:type="dxa"/>
                        <w:tcBorders>
                          <w:left w:val="single" w:sz="4" w:space="0" w:color="FFE8CB"/>
                          <w:right w:val="single" w:sz="4" w:space="0" w:color="FFE8CB"/>
                        </w:tcBorders>
                        <w:shd w:val="clear" w:color="auto" w:fill="FFE8CB"/>
                        <w:noWrap/>
                        <w:vAlign w:val="center"/>
                      </w:tcPr>
                      <w:p>
                        <w:pPr>
                          <w:jc w:val="center"/>
                          <w:rPr>
                            <w:bCs/>
                            <w:sz w:val="16"/>
                            <w:szCs w:val="16"/>
                          </w:rPr>
                        </w:pPr>
                        <w:r>
                          <w:rPr>
                            <w:bCs/>
                            <w:sz w:val="16"/>
                            <w:szCs w:val="16"/>
                          </w:rPr>
                          <w:t>4</w:t>
                        </w:r>
                      </w:p>
                    </w:tc>
                    <w:tc>
                      <w:tcPr>
                        <w:tcW w:w="1134" w:type="dxa"/>
                        <w:tcBorders>
                          <w:left w:val="single" w:sz="4" w:space="0" w:color="FFE8CB"/>
                          <w:right w:val="single" w:sz="4" w:space="0" w:color="FFE8CB"/>
                        </w:tcBorders>
                        <w:shd w:val="clear" w:color="auto" w:fill="FFE8CB"/>
                        <w:noWrap/>
                        <w:vAlign w:val="center"/>
                      </w:tcPr>
                      <w:p>
                        <w:pPr>
                          <w:jc w:val="center"/>
                          <w:rPr>
                            <w:bCs/>
                            <w:sz w:val="16"/>
                            <w:szCs w:val="16"/>
                          </w:rPr>
                        </w:pPr>
                        <w:r>
                          <w:rPr>
                            <w:bCs/>
                            <w:sz w:val="16"/>
                            <w:szCs w:val="16"/>
                          </w:rPr>
                          <w:t>5</w:t>
                        </w:r>
                      </w:p>
                    </w:tc>
                    <w:tc>
                      <w:tcPr>
                        <w:tcW w:w="1418" w:type="dxa"/>
                        <w:tcBorders>
                          <w:left w:val="single" w:sz="4" w:space="0" w:color="FFE8CB"/>
                          <w:right w:val="single" w:sz="4" w:space="0" w:color="FFE8CB"/>
                        </w:tcBorders>
                        <w:shd w:val="clear" w:color="auto" w:fill="FFE8CB"/>
                        <w:noWrap/>
                        <w:vAlign w:val="center"/>
                      </w:tcPr>
                      <w:p>
                        <w:pPr>
                          <w:jc w:val="center"/>
                          <w:rPr>
                            <w:bCs/>
                            <w:sz w:val="16"/>
                            <w:szCs w:val="16"/>
                          </w:rPr>
                        </w:pPr>
                        <w:r>
                          <w:rPr>
                            <w:bCs/>
                            <w:sz w:val="16"/>
                            <w:szCs w:val="16"/>
                          </w:rPr>
                          <w:t>6</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p>
                    </w:tc>
                    <w:tc>
                      <w:tcPr>
                        <w:tcW w:w="8930" w:type="dxa"/>
                        <w:gridSpan w:val="5"/>
                        <w:tcBorders>
                          <w:top w:val="single" w:sz="4" w:space="0" w:color="auto"/>
                          <w:left w:val="single" w:sz="4" w:space="0" w:color="FFE8CB"/>
                          <w:bottom w:val="single" w:sz="4" w:space="0" w:color="auto"/>
                          <w:right w:val="single" w:sz="4" w:space="0" w:color="FFE8CB"/>
                        </w:tcBorders>
                        <w:shd w:val="clear" w:color="auto" w:fill="auto"/>
                        <w:noWrap/>
                        <w:vAlign w:val="center"/>
                      </w:tcPr>
                      <w:p>
                        <w:pPr>
                          <w:rPr>
                            <w:bCs/>
                            <w:sz w:val="18"/>
                            <w:szCs w:val="18"/>
                          </w:rPr>
                        </w:pPr>
                        <w:r>
                          <w:rPr>
                            <w:color w:val="000000"/>
                            <w:szCs w:val="24"/>
                            <w:lang w:eastAsia="lt-LT"/>
                          </w:rPr>
                          <w:t>4.1.1. Uždavinys „Užtikrinti urbanistinių teritorijų darnią plėtrą“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p>
                    </w:tc>
                    <w:tc>
                      <w:tcPr>
                        <w:tcW w:w="8930" w:type="dxa"/>
                        <w:gridSpan w:val="5"/>
                        <w:tcBorders>
                          <w:left w:val="single" w:sz="4" w:space="0" w:color="FFE8CB"/>
                          <w:right w:val="single" w:sz="4" w:space="0" w:color="FFE8CB"/>
                        </w:tcBorders>
                        <w:shd w:val="clear" w:color="auto" w:fill="auto"/>
                        <w:noWrap/>
                        <w:vAlign w:val="center"/>
                      </w:tcPr>
                      <w:p>
                        <w:pPr>
                          <w:rPr>
                            <w:bCs/>
                            <w:sz w:val="18"/>
                            <w:szCs w:val="18"/>
                          </w:rPr>
                        </w:pPr>
                        <w:r>
                          <w:rPr>
                            <w:sz w:val="22"/>
                            <w:szCs w:val="22"/>
                          </w:rPr>
                          <w:t>08. Priemonė „Tęstinės specialiojo teritorijų planavimo dokumentų parengimo paslaugos (savivaldybės infrastruktūros plėtros naujų ir tęstinių projektų įgyvendinimas)“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r>
                          <w:rPr>
                            <w:bCs/>
                            <w:sz w:val="20"/>
                          </w:rPr>
                          <w:t>P-04-01-01-08</w:t>
                        </w:r>
                      </w:p>
                    </w:tc>
                    <w:tc>
                      <w:tcPr>
                        <w:tcW w:w="3685" w:type="dxa"/>
                        <w:tcBorders>
                          <w:left w:val="single" w:sz="4" w:space="0" w:color="FFE8CB"/>
                          <w:right w:val="single" w:sz="4" w:space="0" w:color="FFE8CB"/>
                        </w:tcBorders>
                        <w:shd w:val="clear" w:color="auto" w:fill="auto"/>
                        <w:noWrap/>
                        <w:vAlign w:val="center"/>
                      </w:tcPr>
                      <w:p>
                        <w:pPr>
                          <w:jc w:val="center"/>
                          <w:rPr>
                            <w:sz w:val="18"/>
                            <w:szCs w:val="18"/>
                          </w:rPr>
                        </w:pPr>
                        <w:r>
                          <w:rPr>
                            <w:bCs/>
                            <w:sz w:val="22"/>
                            <w:szCs w:val="22"/>
                          </w:rPr>
                          <w:t xml:space="preserve">Parengtų specialiųjų planų skaičius, </w:t>
                        </w:r>
                        <w:r>
                          <w:rPr>
                            <w:bCs/>
                            <w:sz w:val="20"/>
                          </w:rPr>
                          <w:t>vnt.</w:t>
                        </w:r>
                      </w:p>
                    </w:tc>
                    <w:tc>
                      <w:tcPr>
                        <w:tcW w:w="1276"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417" w:type="dxa"/>
                        <w:tcBorders>
                          <w:left w:val="single" w:sz="4" w:space="0" w:color="FFE8CB"/>
                          <w:right w:val="single" w:sz="4" w:space="0" w:color="FFE8CB"/>
                        </w:tcBorders>
                        <w:shd w:val="clear" w:color="auto" w:fill="auto"/>
                        <w:noWrap/>
                        <w:vAlign w:val="center"/>
                      </w:tcPr>
                      <w:p>
                        <w:pPr>
                          <w:jc w:val="center"/>
                          <w:rPr>
                            <w:bCs/>
                            <w:sz w:val="18"/>
                            <w:szCs w:val="18"/>
                          </w:rPr>
                        </w:pPr>
                        <w:r>
                          <w:rPr>
                            <w:bCs/>
                            <w:sz w:val="20"/>
                          </w:rPr>
                          <w:t>1</w:t>
                        </w:r>
                      </w:p>
                    </w:tc>
                    <w:tc>
                      <w:tcPr>
                        <w:tcW w:w="1134" w:type="dxa"/>
                        <w:tcBorders>
                          <w:left w:val="single" w:sz="4" w:space="0" w:color="FFE8CB"/>
                          <w:right w:val="single" w:sz="4" w:space="0" w:color="FFE8CB"/>
                        </w:tcBorders>
                        <w:shd w:val="clear" w:color="auto" w:fill="auto"/>
                        <w:noWrap/>
                        <w:vAlign w:val="center"/>
                      </w:tcPr>
                      <w:p>
                        <w:pPr>
                          <w:jc w:val="center"/>
                          <w:rPr>
                            <w:bCs/>
                            <w:sz w:val="18"/>
                            <w:szCs w:val="18"/>
                          </w:rPr>
                        </w:pPr>
                        <w:r>
                          <w:rPr>
                            <w:bCs/>
                            <w:sz w:val="20"/>
                          </w:rPr>
                          <w:t>1</w:t>
                        </w:r>
                      </w:p>
                    </w:tc>
                    <w:tc>
                      <w:tcPr>
                        <w:tcW w:w="1418" w:type="dxa"/>
                        <w:tcBorders>
                          <w:left w:val="single" w:sz="4" w:space="0" w:color="FFE8CB"/>
                          <w:right w:val="single" w:sz="4" w:space="0" w:color="FFE8CB"/>
                        </w:tcBorders>
                        <w:shd w:val="clear" w:color="auto" w:fill="auto"/>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20"/>
                          </w:rPr>
                        </w:pPr>
                      </w:p>
                    </w:tc>
                    <w:tc>
                      <w:tcPr>
                        <w:tcW w:w="8930" w:type="dxa"/>
                        <w:gridSpan w:val="5"/>
                        <w:tcBorders>
                          <w:left w:val="single" w:sz="4" w:space="0" w:color="FFE8CB"/>
                          <w:right w:val="single" w:sz="4" w:space="0" w:color="FFE8CB"/>
                        </w:tcBorders>
                        <w:shd w:val="clear" w:color="auto" w:fill="auto"/>
                        <w:noWrap/>
                        <w:vAlign w:val="center"/>
                      </w:tcPr>
                      <w:p>
                        <w:pPr>
                          <w:rPr>
                            <w:bCs/>
                            <w:sz w:val="18"/>
                            <w:szCs w:val="18"/>
                          </w:rPr>
                        </w:pPr>
                        <w:r>
                          <w:rPr>
                            <w:sz w:val="20"/>
                          </w:rPr>
                          <w:t>10</w:t>
                        </w:r>
                        <w:r>
                          <w:rPr>
                            <w:sz w:val="22"/>
                            <w:szCs w:val="22"/>
                          </w:rPr>
                          <w:t>. Priemonė „Tęstinė kompleksinių teritorijų planavimo dokumentų (bendrųjų, detaliųjų planų) parengimo paslauga“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20"/>
                          </w:rPr>
                        </w:pPr>
                        <w:r>
                          <w:rPr>
                            <w:bCs/>
                            <w:sz w:val="20"/>
                          </w:rPr>
                          <w:t>P-04-01-01-10</w:t>
                        </w:r>
                      </w:p>
                    </w:tc>
                    <w:tc>
                      <w:tcPr>
                        <w:tcW w:w="3685" w:type="dxa"/>
                        <w:tcBorders>
                          <w:left w:val="single" w:sz="4" w:space="0" w:color="FFE8CB"/>
                          <w:right w:val="single" w:sz="4" w:space="0" w:color="FFE8CB"/>
                        </w:tcBorders>
                        <w:shd w:val="clear" w:color="auto" w:fill="auto"/>
                        <w:noWrap/>
                        <w:vAlign w:val="center"/>
                      </w:tcPr>
                      <w:p>
                        <w:pPr>
                          <w:jc w:val="center"/>
                          <w:rPr>
                            <w:bCs/>
                            <w:sz w:val="22"/>
                            <w:szCs w:val="22"/>
                          </w:rPr>
                        </w:pPr>
                        <w:r>
                          <w:rPr>
                            <w:bCs/>
                            <w:sz w:val="22"/>
                            <w:szCs w:val="22"/>
                          </w:rPr>
                          <w:t xml:space="preserve">Parengtų detaliųjų planų skaičius, </w:t>
                        </w:r>
                        <w:r>
                          <w:rPr>
                            <w:bCs/>
                            <w:sz w:val="20"/>
                          </w:rPr>
                          <w:t>vnt.</w:t>
                        </w:r>
                      </w:p>
                    </w:tc>
                    <w:tc>
                      <w:tcPr>
                        <w:tcW w:w="1276"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417" w:type="dxa"/>
                        <w:tcBorders>
                          <w:left w:val="single" w:sz="4" w:space="0" w:color="FFE8CB"/>
                          <w:right w:val="single" w:sz="4" w:space="0" w:color="FFE8CB"/>
                        </w:tcBorders>
                        <w:shd w:val="clear" w:color="auto" w:fill="auto"/>
                        <w:noWrap/>
                        <w:vAlign w:val="center"/>
                      </w:tcPr>
                      <w:p>
                        <w:pPr>
                          <w:jc w:val="center"/>
                          <w:rPr>
                            <w:bCs/>
                            <w:sz w:val="20"/>
                          </w:rPr>
                        </w:pPr>
                        <w:r>
                          <w:rPr>
                            <w:bCs/>
                            <w:sz w:val="20"/>
                          </w:rPr>
                          <w:t>1</w:t>
                        </w:r>
                      </w:p>
                    </w:tc>
                    <w:tc>
                      <w:tcPr>
                        <w:tcW w:w="1134" w:type="dxa"/>
                        <w:tcBorders>
                          <w:left w:val="single" w:sz="4" w:space="0" w:color="FFE8CB"/>
                          <w:right w:val="single" w:sz="4" w:space="0" w:color="FFE8CB"/>
                        </w:tcBorders>
                        <w:shd w:val="clear" w:color="auto" w:fill="auto"/>
                        <w:noWrap/>
                        <w:vAlign w:val="center"/>
                      </w:tcPr>
                      <w:p>
                        <w:pPr>
                          <w:jc w:val="center"/>
                          <w:rPr>
                            <w:bCs/>
                            <w:sz w:val="20"/>
                          </w:rPr>
                        </w:pPr>
                        <w:r>
                          <w:rPr>
                            <w:bCs/>
                            <w:sz w:val="20"/>
                          </w:rPr>
                          <w:t>1</w:t>
                        </w:r>
                      </w:p>
                    </w:tc>
                    <w:tc>
                      <w:tcPr>
                        <w:tcW w:w="1418" w:type="dxa"/>
                        <w:tcBorders>
                          <w:left w:val="single" w:sz="4" w:space="0" w:color="FFE8CB"/>
                          <w:right w:val="single" w:sz="4" w:space="0" w:color="FFE8CB"/>
                        </w:tcBorders>
                        <w:shd w:val="clear" w:color="auto" w:fill="auto"/>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p>
                    </w:tc>
                    <w:tc>
                      <w:tcPr>
                        <w:tcW w:w="8930" w:type="dxa"/>
                        <w:gridSpan w:val="5"/>
                        <w:tcBorders>
                          <w:left w:val="single" w:sz="4" w:space="0" w:color="FFE8CB"/>
                          <w:right w:val="single" w:sz="4" w:space="0" w:color="FFE8CB"/>
                        </w:tcBorders>
                        <w:shd w:val="clear" w:color="auto" w:fill="auto"/>
                        <w:noWrap/>
                        <w:vAlign w:val="center"/>
                      </w:tcPr>
                      <w:p>
                        <w:pPr>
                          <w:rPr>
                            <w:bCs/>
                            <w:sz w:val="18"/>
                            <w:szCs w:val="18"/>
                          </w:rPr>
                        </w:pPr>
                        <w:r>
                          <w:rPr>
                            <w:sz w:val="22"/>
                            <w:szCs w:val="22"/>
                          </w:rPr>
                          <w:t>11. Priemonė „Tęstinės projektų ekspertavimo paslaugos Lietuvos architektų rūmų Regioninėje architektūros taryboje (RAT)“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r>
                          <w:rPr>
                            <w:bCs/>
                            <w:sz w:val="20"/>
                          </w:rPr>
                          <w:t>P-04-01-01-11</w:t>
                        </w:r>
                      </w:p>
                    </w:tc>
                    <w:tc>
                      <w:tcPr>
                        <w:tcW w:w="3685" w:type="dxa"/>
                        <w:tcBorders>
                          <w:left w:val="single" w:sz="4" w:space="0" w:color="FFE8CB"/>
                          <w:right w:val="single" w:sz="4" w:space="0" w:color="FFE8CB"/>
                        </w:tcBorders>
                        <w:shd w:val="clear" w:color="auto" w:fill="auto"/>
                        <w:noWrap/>
                        <w:vAlign w:val="center"/>
                      </w:tcPr>
                      <w:p>
                        <w:pPr>
                          <w:rPr>
                            <w:sz w:val="18"/>
                            <w:szCs w:val="18"/>
                          </w:rPr>
                        </w:pPr>
                        <w:r>
                          <w:rPr>
                            <w:sz w:val="22"/>
                            <w:szCs w:val="22"/>
                          </w:rPr>
                          <w:t>Ekspertuoti projektai (vnt.)</w:t>
                        </w:r>
                      </w:p>
                    </w:tc>
                    <w:tc>
                      <w:tcPr>
                        <w:tcW w:w="1276" w:type="dxa"/>
                        <w:tcBorders>
                          <w:left w:val="single" w:sz="4" w:space="0" w:color="FFE8CB"/>
                          <w:right w:val="single" w:sz="4" w:space="0" w:color="FFE8CB"/>
                        </w:tcBorders>
                        <w:shd w:val="clear" w:color="auto" w:fill="auto"/>
                        <w:noWrap/>
                        <w:vAlign w:val="center"/>
                      </w:tcPr>
                      <w:p>
                        <w:pPr>
                          <w:jc w:val="center"/>
                          <w:rPr>
                            <w:bCs/>
                            <w:sz w:val="18"/>
                            <w:szCs w:val="18"/>
                          </w:rPr>
                        </w:pPr>
                        <w:r>
                          <w:rPr>
                            <w:bCs/>
                            <w:sz w:val="18"/>
                            <w:szCs w:val="18"/>
                          </w:rPr>
                          <w:t>2</w:t>
                        </w:r>
                      </w:p>
                    </w:tc>
                    <w:tc>
                      <w:tcPr>
                        <w:tcW w:w="1417"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134"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418" w:type="dxa"/>
                        <w:tcBorders>
                          <w:left w:val="single" w:sz="4" w:space="0" w:color="FFE8CB"/>
                          <w:right w:val="single" w:sz="4" w:space="0" w:color="FFE8CB"/>
                        </w:tcBorders>
                        <w:shd w:val="clear" w:color="auto" w:fill="auto"/>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p>
                    </w:tc>
                    <w:tc>
                      <w:tcPr>
                        <w:tcW w:w="8930" w:type="dxa"/>
                        <w:gridSpan w:val="5"/>
                        <w:tcBorders>
                          <w:left w:val="single" w:sz="4" w:space="0" w:color="FFE8CB"/>
                          <w:right w:val="single" w:sz="4" w:space="0" w:color="FFE8CB"/>
                        </w:tcBorders>
                        <w:shd w:val="clear" w:color="auto" w:fill="auto"/>
                        <w:noWrap/>
                        <w:vAlign w:val="center"/>
                      </w:tcPr>
                      <w:p>
                        <w:pPr>
                          <w:rPr>
                            <w:bCs/>
                            <w:sz w:val="18"/>
                            <w:szCs w:val="18"/>
                          </w:rPr>
                        </w:pPr>
                        <w:r>
                          <w:rPr>
                            <w:bCs/>
                            <w:sz w:val="22"/>
                            <w:szCs w:val="22"/>
                          </w:rPr>
                          <w:t>13. Priemonė „Tęstinė Radviliškio rajono savivaldybės Baisogalos miestelio teritorijos bendrojo plano keitimo paslauga“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r>
                          <w:rPr>
                            <w:bCs/>
                            <w:sz w:val="20"/>
                          </w:rPr>
                          <w:t>P-04-01-01-13</w:t>
                        </w:r>
                      </w:p>
                    </w:tc>
                    <w:tc>
                      <w:tcPr>
                        <w:tcW w:w="3685" w:type="dxa"/>
                        <w:tcBorders>
                          <w:left w:val="single" w:sz="4" w:space="0" w:color="FFE8CB"/>
                          <w:right w:val="single" w:sz="4" w:space="0" w:color="FFE8CB"/>
                        </w:tcBorders>
                        <w:shd w:val="clear" w:color="auto" w:fill="auto"/>
                        <w:noWrap/>
                        <w:vAlign w:val="center"/>
                      </w:tcPr>
                      <w:p>
                        <w:pPr>
                          <w:jc w:val="center"/>
                          <w:rPr>
                            <w:sz w:val="18"/>
                            <w:szCs w:val="18"/>
                          </w:rPr>
                        </w:pPr>
                        <w:r>
                          <w:rPr>
                            <w:bCs/>
                            <w:sz w:val="22"/>
                            <w:szCs w:val="22"/>
                          </w:rPr>
                          <w:t>Parengtų bendrųjų planų skaičius (</w:t>
                        </w:r>
                        <w:r>
                          <w:rPr>
                            <w:bCs/>
                            <w:sz w:val="20"/>
                          </w:rPr>
                          <w:t>vnt.)</w:t>
                        </w:r>
                      </w:p>
                    </w:tc>
                    <w:tc>
                      <w:tcPr>
                        <w:tcW w:w="1276" w:type="dxa"/>
                        <w:tcBorders>
                          <w:left w:val="single" w:sz="4" w:space="0" w:color="FFE8CB"/>
                          <w:right w:val="single" w:sz="4" w:space="0" w:color="FFE8CB"/>
                        </w:tcBorders>
                        <w:shd w:val="clear" w:color="auto" w:fill="auto"/>
                        <w:noWrap/>
                        <w:vAlign w:val="center"/>
                      </w:tcPr>
                      <w:p>
                        <w:pPr>
                          <w:jc w:val="center"/>
                          <w:rPr>
                            <w:bCs/>
                            <w:sz w:val="18"/>
                            <w:szCs w:val="18"/>
                          </w:rPr>
                        </w:pPr>
                        <w:r>
                          <w:rPr>
                            <w:bCs/>
                            <w:sz w:val="20"/>
                          </w:rPr>
                          <w:t>1</w:t>
                        </w:r>
                      </w:p>
                    </w:tc>
                    <w:tc>
                      <w:tcPr>
                        <w:tcW w:w="1417"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134"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418" w:type="dxa"/>
                        <w:tcBorders>
                          <w:left w:val="single" w:sz="4" w:space="0" w:color="FFE8CB"/>
                          <w:right w:val="single" w:sz="4" w:space="0" w:color="FFE8CB"/>
                        </w:tcBorders>
                        <w:shd w:val="clear" w:color="auto" w:fill="auto"/>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p>
                    </w:tc>
                    <w:tc>
                      <w:tcPr>
                        <w:tcW w:w="8930" w:type="dxa"/>
                        <w:gridSpan w:val="5"/>
                        <w:tcBorders>
                          <w:left w:val="single" w:sz="4" w:space="0" w:color="FFE8CB"/>
                          <w:right w:val="single" w:sz="4" w:space="0" w:color="FFE8CB"/>
                        </w:tcBorders>
                        <w:shd w:val="clear" w:color="auto" w:fill="auto"/>
                        <w:noWrap/>
                        <w:vAlign w:val="center"/>
                      </w:tcPr>
                      <w:p>
                        <w:pPr>
                          <w:rPr>
                            <w:bCs/>
                            <w:sz w:val="18"/>
                            <w:szCs w:val="18"/>
                          </w:rPr>
                        </w:pPr>
                        <w:r>
                          <w:rPr>
                            <w:bCs/>
                            <w:sz w:val="22"/>
                            <w:szCs w:val="22"/>
                          </w:rPr>
                          <w:t>14. Priemonė „Tęstinė Radviliškio rajono savivaldybės teritorijos bendrojo plano koregavimo paslauga“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r>
                          <w:rPr>
                            <w:bCs/>
                            <w:sz w:val="20"/>
                          </w:rPr>
                          <w:t>P-04-01-01-14</w:t>
                        </w:r>
                      </w:p>
                    </w:tc>
                    <w:tc>
                      <w:tcPr>
                        <w:tcW w:w="3685" w:type="dxa"/>
                        <w:tcBorders>
                          <w:left w:val="single" w:sz="4" w:space="0" w:color="FFE8CB"/>
                          <w:right w:val="single" w:sz="4" w:space="0" w:color="FFE8CB"/>
                        </w:tcBorders>
                        <w:shd w:val="clear" w:color="auto" w:fill="auto"/>
                        <w:noWrap/>
                        <w:vAlign w:val="center"/>
                      </w:tcPr>
                      <w:p>
                        <w:pPr>
                          <w:jc w:val="center"/>
                          <w:rPr>
                            <w:sz w:val="18"/>
                            <w:szCs w:val="18"/>
                          </w:rPr>
                        </w:pPr>
                        <w:r>
                          <w:rPr>
                            <w:bCs/>
                            <w:sz w:val="22"/>
                            <w:szCs w:val="22"/>
                          </w:rPr>
                          <w:t>Parengtų bendrųjų planų skaičius (</w:t>
                        </w:r>
                        <w:r>
                          <w:rPr>
                            <w:bCs/>
                            <w:sz w:val="20"/>
                          </w:rPr>
                          <w:t>vnt.)</w:t>
                        </w:r>
                      </w:p>
                    </w:tc>
                    <w:tc>
                      <w:tcPr>
                        <w:tcW w:w="1276" w:type="dxa"/>
                        <w:tcBorders>
                          <w:left w:val="single" w:sz="4" w:space="0" w:color="FFE8CB"/>
                          <w:right w:val="single" w:sz="4" w:space="0" w:color="FFE8CB"/>
                        </w:tcBorders>
                        <w:shd w:val="clear" w:color="auto" w:fill="auto"/>
                        <w:noWrap/>
                        <w:vAlign w:val="center"/>
                      </w:tcPr>
                      <w:p>
                        <w:pPr>
                          <w:jc w:val="center"/>
                          <w:rPr>
                            <w:bCs/>
                            <w:sz w:val="18"/>
                            <w:szCs w:val="18"/>
                          </w:rPr>
                        </w:pPr>
                        <w:r>
                          <w:rPr>
                            <w:bCs/>
                            <w:sz w:val="20"/>
                          </w:rPr>
                          <w:t>2</w:t>
                        </w:r>
                      </w:p>
                    </w:tc>
                    <w:tc>
                      <w:tcPr>
                        <w:tcW w:w="1417"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134"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418" w:type="dxa"/>
                        <w:tcBorders>
                          <w:left w:val="single" w:sz="4" w:space="0" w:color="FFE8CB"/>
                          <w:right w:val="single" w:sz="4" w:space="0" w:color="FFE8CB"/>
                        </w:tcBorders>
                        <w:shd w:val="clear" w:color="auto" w:fill="auto"/>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p>
                    </w:tc>
                    <w:tc>
                      <w:tcPr>
                        <w:tcW w:w="8930" w:type="dxa"/>
                        <w:gridSpan w:val="5"/>
                        <w:tcBorders>
                          <w:left w:val="single" w:sz="4" w:space="0" w:color="FFE8CB"/>
                          <w:right w:val="single" w:sz="4" w:space="0" w:color="FFE8CB"/>
                        </w:tcBorders>
                        <w:shd w:val="clear" w:color="auto" w:fill="auto"/>
                        <w:noWrap/>
                        <w:vAlign w:val="center"/>
                      </w:tcPr>
                      <w:p>
                        <w:pPr>
                          <w:rPr>
                            <w:bCs/>
                            <w:sz w:val="18"/>
                            <w:szCs w:val="18"/>
                          </w:rPr>
                        </w:pPr>
                        <w:r>
                          <w:rPr>
                            <w:bCs/>
                            <w:sz w:val="22"/>
                            <w:szCs w:val="22"/>
                          </w:rPr>
                          <w:t>15. Priemonė „Tęstinės detaliųjų planų (naujų sklypų suformavimo kvartalų išplanavimo atveju) parengimo paslaugos“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r>
                          <w:rPr>
                            <w:bCs/>
                            <w:sz w:val="20"/>
                          </w:rPr>
                          <w:t>P-04-01-01-15</w:t>
                        </w:r>
                      </w:p>
                    </w:tc>
                    <w:tc>
                      <w:tcPr>
                        <w:tcW w:w="3685" w:type="dxa"/>
                        <w:tcBorders>
                          <w:left w:val="single" w:sz="4" w:space="0" w:color="FFE8CB"/>
                          <w:right w:val="single" w:sz="4" w:space="0" w:color="FFE8CB"/>
                        </w:tcBorders>
                        <w:shd w:val="clear" w:color="auto" w:fill="auto"/>
                        <w:noWrap/>
                        <w:vAlign w:val="center"/>
                      </w:tcPr>
                      <w:p>
                        <w:pPr>
                          <w:ind w:firstLine="57"/>
                          <w:jc w:val="center"/>
                          <w:rPr>
                            <w:sz w:val="18"/>
                            <w:szCs w:val="18"/>
                          </w:rPr>
                        </w:pPr>
                        <w:r>
                          <w:rPr>
                            <w:bCs/>
                            <w:sz w:val="22"/>
                            <w:szCs w:val="22"/>
                          </w:rPr>
                          <w:t xml:space="preserve">Parengtų detaliųjų planų skaičius, </w:t>
                        </w:r>
                        <w:r>
                          <w:rPr>
                            <w:bCs/>
                            <w:sz w:val="20"/>
                          </w:rPr>
                          <w:t>vnt.</w:t>
                        </w:r>
                      </w:p>
                    </w:tc>
                    <w:tc>
                      <w:tcPr>
                        <w:tcW w:w="1276"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417" w:type="dxa"/>
                        <w:tcBorders>
                          <w:left w:val="single" w:sz="4" w:space="0" w:color="FFE8CB"/>
                          <w:right w:val="single" w:sz="4" w:space="0" w:color="FFE8CB"/>
                        </w:tcBorders>
                        <w:shd w:val="clear" w:color="auto" w:fill="auto"/>
                        <w:noWrap/>
                        <w:vAlign w:val="center"/>
                      </w:tcPr>
                      <w:p>
                        <w:pPr>
                          <w:jc w:val="center"/>
                          <w:rPr>
                            <w:bCs/>
                            <w:sz w:val="18"/>
                            <w:szCs w:val="18"/>
                          </w:rPr>
                        </w:pPr>
                        <w:r>
                          <w:rPr>
                            <w:bCs/>
                            <w:sz w:val="20"/>
                          </w:rPr>
                          <w:t>1</w:t>
                        </w:r>
                      </w:p>
                    </w:tc>
                    <w:tc>
                      <w:tcPr>
                        <w:tcW w:w="1134"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418" w:type="dxa"/>
                        <w:tcBorders>
                          <w:left w:val="single" w:sz="4" w:space="0" w:color="FFE8CB"/>
                          <w:right w:val="single" w:sz="4" w:space="0" w:color="FFE8CB"/>
                        </w:tcBorders>
                        <w:shd w:val="clear" w:color="auto" w:fill="auto"/>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p>
                    </w:tc>
                    <w:tc>
                      <w:tcPr>
                        <w:tcW w:w="8930" w:type="dxa"/>
                        <w:gridSpan w:val="5"/>
                        <w:tcBorders>
                          <w:left w:val="single" w:sz="4" w:space="0" w:color="FFE8CB"/>
                          <w:right w:val="single" w:sz="4" w:space="0" w:color="FFE8CB"/>
                        </w:tcBorders>
                        <w:shd w:val="clear" w:color="auto" w:fill="auto"/>
                        <w:noWrap/>
                        <w:vAlign w:val="center"/>
                      </w:tcPr>
                      <w:p>
                        <w:pPr>
                          <w:rPr>
                            <w:bCs/>
                            <w:sz w:val="18"/>
                            <w:szCs w:val="18"/>
                          </w:rPr>
                        </w:pPr>
                        <w:r>
                          <w:rPr>
                            <w:bCs/>
                            <w:sz w:val="22"/>
                            <w:szCs w:val="22"/>
                          </w:rPr>
                          <w:t>16. Tęstinė Radviliškio rajono šilumos ūkio specialiojo plano keitimo paslauga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r>
                          <w:rPr>
                            <w:bCs/>
                            <w:sz w:val="20"/>
                          </w:rPr>
                          <w:t>P-04-01-01-16</w:t>
                        </w:r>
                      </w:p>
                    </w:tc>
                    <w:tc>
                      <w:tcPr>
                        <w:tcW w:w="3685" w:type="dxa"/>
                        <w:tcBorders>
                          <w:left w:val="single" w:sz="4" w:space="0" w:color="FFE8CB"/>
                          <w:right w:val="single" w:sz="4" w:space="0" w:color="FFE8CB"/>
                        </w:tcBorders>
                        <w:shd w:val="clear" w:color="auto" w:fill="auto"/>
                        <w:noWrap/>
                        <w:vAlign w:val="center"/>
                      </w:tcPr>
                      <w:p>
                        <w:pPr>
                          <w:jc w:val="center"/>
                          <w:rPr>
                            <w:sz w:val="18"/>
                            <w:szCs w:val="18"/>
                          </w:rPr>
                        </w:pPr>
                        <w:r>
                          <w:rPr>
                            <w:bCs/>
                            <w:sz w:val="22"/>
                            <w:szCs w:val="22"/>
                          </w:rPr>
                          <w:t xml:space="preserve">Parengtų specialiųjų planų skaičius, </w:t>
                        </w:r>
                        <w:r>
                          <w:rPr>
                            <w:bCs/>
                            <w:sz w:val="20"/>
                          </w:rPr>
                          <w:t>vnt.</w:t>
                        </w:r>
                      </w:p>
                    </w:tc>
                    <w:tc>
                      <w:tcPr>
                        <w:tcW w:w="1276" w:type="dxa"/>
                        <w:tcBorders>
                          <w:left w:val="single" w:sz="4" w:space="0" w:color="FFE8CB"/>
                          <w:right w:val="single" w:sz="4" w:space="0" w:color="FFE8CB"/>
                        </w:tcBorders>
                        <w:shd w:val="clear" w:color="auto" w:fill="auto"/>
                        <w:noWrap/>
                        <w:vAlign w:val="center"/>
                      </w:tcPr>
                      <w:p>
                        <w:pPr>
                          <w:jc w:val="center"/>
                          <w:rPr>
                            <w:bCs/>
                            <w:sz w:val="18"/>
                            <w:szCs w:val="18"/>
                          </w:rPr>
                        </w:pPr>
                        <w:r>
                          <w:rPr>
                            <w:bCs/>
                            <w:sz w:val="20"/>
                          </w:rPr>
                          <w:t>1</w:t>
                        </w:r>
                      </w:p>
                    </w:tc>
                    <w:tc>
                      <w:tcPr>
                        <w:tcW w:w="1417"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134"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418" w:type="dxa"/>
                        <w:tcBorders>
                          <w:left w:val="single" w:sz="4" w:space="0" w:color="FFE8CB"/>
                          <w:right w:val="single" w:sz="4" w:space="0" w:color="FFE8CB"/>
                        </w:tcBorders>
                        <w:shd w:val="clear" w:color="auto" w:fill="auto"/>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68"/>
                    </w:trPr>
                    <w:tc>
                      <w:tcPr>
                        <w:tcW w:w="1418" w:type="dxa"/>
                        <w:tcBorders>
                          <w:left w:val="single" w:sz="4" w:space="0" w:color="FFE8CB"/>
                          <w:right w:val="single" w:sz="4" w:space="0" w:color="FFE8CB"/>
                        </w:tcBorders>
                        <w:shd w:val="clear" w:color="auto" w:fill="auto"/>
                        <w:vAlign w:val="center"/>
                      </w:tcPr>
                      <w:p>
                        <w:pPr>
                          <w:rPr>
                            <w:sz w:val="20"/>
                          </w:rPr>
                        </w:pPr>
                      </w:p>
                    </w:tc>
                    <w:tc>
                      <w:tcPr>
                        <w:tcW w:w="8930" w:type="dxa"/>
                        <w:gridSpan w:val="5"/>
                        <w:tcBorders>
                          <w:left w:val="single" w:sz="4" w:space="0" w:color="FFE8CB"/>
                          <w:right w:val="single" w:sz="4" w:space="0" w:color="FFE8CB"/>
                        </w:tcBorders>
                        <w:shd w:val="clear" w:color="auto" w:fill="auto"/>
                        <w:vAlign w:val="center"/>
                        <w:hideMark/>
                      </w:tcPr>
                      <w:p>
                        <w:pPr>
                          <w:jc w:val="both"/>
                          <w:rPr>
                            <w:bCs/>
                            <w:szCs w:val="24"/>
                          </w:rPr>
                        </w:pPr>
                        <w:r>
                          <w:rPr>
                            <w:color w:val="000000"/>
                            <w:szCs w:val="24"/>
                            <w:lang w:eastAsia="lt-LT"/>
                          </w:rPr>
                          <w:t>4.1.2. Uždavinys „Modernizuoti susisiekimo infrastruktūrą, skatinti darnų judumą“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top w:val="nil"/>
                          <w:left w:val="single" w:sz="4" w:space="0" w:color="FFE8CB"/>
                          <w:bottom w:val="single" w:sz="4" w:space="0" w:color="auto"/>
                          <w:right w:val="single" w:sz="4" w:space="0" w:color="FFE8CB"/>
                        </w:tcBorders>
                        <w:shd w:val="clear" w:color="auto" w:fill="auto"/>
                        <w:vAlign w:val="bottom"/>
                      </w:tcPr>
                      <w:p>
                        <w:pPr>
                          <w:rPr>
                            <w:color w:val="000000"/>
                            <w:sz w:val="22"/>
                            <w:szCs w:val="22"/>
                          </w:rPr>
                        </w:pPr>
                        <w:r>
                          <w:rPr>
                            <w:color w:val="000000"/>
                            <w:sz w:val="22"/>
                            <w:szCs w:val="22"/>
                          </w:rPr>
                          <w:t>1. Priemonė „Tęstinė vietinės reikšmės kelių, gatvių, jų priklausinių infrastruktūros pagerinimo, eismo saugumo priemonių diegimo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P-04-01-02-01</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Įdiegtų išmanių eismo saugumo sistemų skaičius, vnt.</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1</w:t>
                        </w:r>
                      </w:p>
                    </w:tc>
                    <w:tc>
                      <w:tcPr>
                        <w:tcW w:w="1418" w:type="dxa"/>
                        <w:tcBorders>
                          <w:left w:val="single" w:sz="4" w:space="0" w:color="FFE8CB"/>
                          <w:right w:val="single" w:sz="4" w:space="0" w:color="FFE8CB"/>
                        </w:tcBorders>
                        <w:shd w:val="clear" w:color="auto" w:fill="auto"/>
                        <w:noWrap/>
                        <w:vAlign w:val="center"/>
                      </w:tcPr>
                      <w:p>
                        <w:pPr>
                          <w:rPr>
                            <w:sz w:val="20"/>
                            <w:lang w:eastAsia="lt-LT"/>
                          </w:rPr>
                        </w:pPr>
                        <w:r>
                          <w:rPr>
                            <w:bCs/>
                            <w:sz w:val="20"/>
                          </w:rPr>
                          <w:t>Įdiegtų išmanių eismo saugumo sistemų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7"/>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jc w:val="both"/>
                          <w:rPr>
                            <w:color w:val="000000"/>
                            <w:sz w:val="22"/>
                            <w:szCs w:val="22"/>
                          </w:rPr>
                        </w:pPr>
                        <w:r>
                          <w:rPr>
                            <w:color w:val="000000"/>
                            <w:sz w:val="22"/>
                            <w:szCs w:val="22"/>
                          </w:rPr>
                          <w:t>18. Priemonė „Pažangos finansavimas Radviliškio m. dalies Skirjočių g. RD8144 ir privažiavimo prie SB „Pušelė“ nuo Skirjočių g. RD8358 kapitaliniam remontui“</w:t>
                        </w:r>
                      </w:p>
                      <w:p>
                        <w:pPr>
                          <w:rPr>
                            <w:bCs/>
                            <w:sz w:val="20"/>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P-04-01-02-18</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Išasfaltuota žvyrkelių,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1,00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highlight w:val="yellow"/>
                            <w:lang w:eastAsia="lt-LT"/>
                          </w:rPr>
                        </w:pPr>
                      </w:p>
                    </w:tc>
                    <w:tc>
                      <w:tcPr>
                        <w:tcW w:w="1418" w:type="dxa"/>
                        <w:tcBorders>
                          <w:left w:val="single" w:sz="4" w:space="0" w:color="FFE8CB"/>
                          <w:right w:val="single" w:sz="4" w:space="0" w:color="FFE8CB"/>
                        </w:tcBorders>
                        <w:shd w:val="clear" w:color="auto" w:fill="auto"/>
                        <w:noWrap/>
                        <w:vAlign w:val="center"/>
                      </w:tcPr>
                      <w:p>
                        <w:pPr>
                          <w:rPr>
                            <w:bCs/>
                            <w:sz w:val="20"/>
                            <w:highlight w:val="yellow"/>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color w:val="000000"/>
                            <w:sz w:val="22"/>
                            <w:szCs w:val="22"/>
                          </w:rPr>
                          <w:t>20. Priemonė „Pažangos finansavimas Radviliškio m. Strazdelio RD8052, Kapų RD8053, M. Valančiaus RD8054, Trakų RD8055 gatvių kapitaliniam remontui, lietaus nuotekų tinklų statybai“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sz w:val="20"/>
                          </w:rPr>
                        </w:pPr>
                        <w:r>
                          <w:rPr>
                            <w:bCs/>
                            <w:sz w:val="20"/>
                          </w:rPr>
                          <w:t>P-04-01-02-20</w:t>
                        </w:r>
                      </w:p>
                    </w:tc>
                    <w:tc>
                      <w:tcPr>
                        <w:tcW w:w="3685" w:type="dxa"/>
                        <w:tcBorders>
                          <w:left w:val="single" w:sz="4" w:space="0" w:color="FFE8CB"/>
                          <w:right w:val="single" w:sz="4" w:space="0" w:color="FFE8CB"/>
                        </w:tcBorders>
                        <w:shd w:val="clear" w:color="auto" w:fill="auto"/>
                        <w:vAlign w:val="center"/>
                        <w:hideMark/>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0,70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0,30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0,00</w:t>
                        </w:r>
                      </w:p>
                    </w:tc>
                    <w:tc>
                      <w:tcPr>
                        <w:tcW w:w="1418" w:type="dxa"/>
                        <w:tcBorders>
                          <w:left w:val="single" w:sz="4" w:space="0" w:color="FFE8CB"/>
                          <w:right w:val="single" w:sz="4" w:space="0" w:color="FFE8CB"/>
                        </w:tcBorders>
                        <w:shd w:val="clear" w:color="auto" w:fill="auto"/>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91"/>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jc w:val="both"/>
                          <w:rPr>
                            <w:sz w:val="22"/>
                            <w:szCs w:val="22"/>
                            <w:lang w:eastAsia="lt-LT"/>
                          </w:rPr>
                        </w:pPr>
                        <w:r>
                          <w:rPr>
                            <w:color w:val="000000"/>
                            <w:sz w:val="22"/>
                            <w:szCs w:val="22"/>
                          </w:rPr>
                          <w:t>21. Priemonė „Pažangos finansavimas Radviliškio m. M. Mažvydo g. rekonstravimui tarp Maironio ir Miško g. atnaujinant pėsčiųjų takus“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P-04-01-02-21</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shd w:val="clear" w:color="auto" w:fill="auto"/>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jc w:val="both"/>
                          <w:rPr>
                            <w:sz w:val="22"/>
                            <w:szCs w:val="22"/>
                            <w:lang w:eastAsia="lt-LT"/>
                          </w:rPr>
                        </w:pPr>
                        <w:r>
                          <w:rPr>
                            <w:color w:val="000000"/>
                            <w:sz w:val="22"/>
                            <w:szCs w:val="22"/>
                          </w:rPr>
                          <w:t>22. Priemonė „Pažangos finansavimas Radviliškio m. Ąžuolyno g. RD8471, dalinai esančios SB "Ąžuolas" teritorijoje",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P-04-01-02-22</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0,40</w:t>
                        </w:r>
                      </w:p>
                    </w:tc>
                    <w:tc>
                      <w:tcPr>
                        <w:tcW w:w="1418" w:type="dxa"/>
                        <w:tcBorders>
                          <w:left w:val="single" w:sz="4" w:space="0" w:color="FFE8CB"/>
                          <w:right w:val="single" w:sz="4" w:space="0" w:color="FFE8CB"/>
                        </w:tcBorders>
                        <w:shd w:val="clear" w:color="auto" w:fill="auto"/>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24. Priemonė „Pažangos finansavimas vietinės reikšmės kelio RD0319 Vadaktai-Ožaičiai, sutampančio su Vilties g., Ožaičių k., Sidabravo sen., Radviliškio r. sav., ruožo nuo 4,934 km iki 5,474 km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P-04-01-02-24</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0,50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left w:val="single" w:sz="4" w:space="0" w:color="FFE8CB"/>
                          <w:right w:val="single" w:sz="4" w:space="0" w:color="FFE8CB"/>
                        </w:tcBorders>
                        <w:shd w:val="clear" w:color="auto" w:fill="auto"/>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25. </w:t>
                        </w:r>
                        <w:r>
                          <w:rPr>
                            <w:color w:val="000000"/>
                            <w:sz w:val="22"/>
                            <w:szCs w:val="22"/>
                          </w:rPr>
                          <w:t>Priemonė</w:t>
                        </w:r>
                        <w:r>
                          <w:rPr>
                            <w:bCs/>
                            <w:sz w:val="22"/>
                            <w:szCs w:val="22"/>
                          </w:rPr>
                          <w:t xml:space="preserve"> „Pažangos finansavimas vietinės reikšmės kelio RD0288 Prasčiūnai-Dargėnai-Pakiršiniai, sutampančio su J. Žuko g., Pakiršinių k., Sidabravo sen., Radviliškio r. sav.,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P-04-01-02-25</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shd w:val="clear" w:color="auto" w:fill="auto"/>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27. </w:t>
                        </w:r>
                        <w:r>
                          <w:rPr>
                            <w:color w:val="000000"/>
                            <w:sz w:val="22"/>
                            <w:szCs w:val="22"/>
                          </w:rPr>
                          <w:t>Priemonė</w:t>
                        </w:r>
                        <w:r>
                          <w:rPr>
                            <w:bCs/>
                            <w:sz w:val="22"/>
                            <w:szCs w:val="22"/>
                          </w:rPr>
                          <w:t xml:space="preserve"> „Pažangos finansavimas vietinės reikšmės kelio RD0357 Juodžiai-Rudžiai-Grinkiškis, sutampančio su Rudžių g., Rudžių k., Grinkiškio sen., Radviliškio r. sav.,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P-04-01-02-27</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0,73</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0,00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0,00</w:t>
                        </w:r>
                      </w:p>
                    </w:tc>
                    <w:tc>
                      <w:tcPr>
                        <w:tcW w:w="1418" w:type="dxa"/>
                        <w:tcBorders>
                          <w:left w:val="single" w:sz="4" w:space="0" w:color="FFE8CB"/>
                          <w:right w:val="single" w:sz="4" w:space="0" w:color="FFE8CB"/>
                        </w:tcBorders>
                        <w:shd w:val="clear" w:color="auto" w:fill="auto"/>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jc w:val="both"/>
                          <w:rPr>
                            <w:sz w:val="22"/>
                            <w:szCs w:val="22"/>
                            <w:lang w:eastAsia="lt-LT"/>
                          </w:rPr>
                        </w:pPr>
                        <w:r>
                          <w:rPr>
                            <w:color w:val="000000"/>
                            <w:sz w:val="22"/>
                            <w:szCs w:val="22"/>
                          </w:rPr>
                          <w:t xml:space="preserve">28. Priemonė „Pažangos finansavimas vietinės reikšmės kelių RD0613 privažiavimas prie Januškonių nuo krašto kelio 144 ir  RD0614 privažiavimas prie Januškonių nuo rajoninio kelio 3417, Januškonių k., Baisogalos sen., Radviliškio r. sav.,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P-04-01-02-28</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31. </w:t>
                        </w:r>
                        <w:r>
                          <w:rPr>
                            <w:color w:val="000000"/>
                            <w:sz w:val="22"/>
                            <w:szCs w:val="22"/>
                          </w:rPr>
                          <w:t>Priemonė</w:t>
                        </w:r>
                        <w:r>
                          <w:rPr>
                            <w:bCs/>
                            <w:sz w:val="22"/>
                            <w:szCs w:val="22"/>
                          </w:rPr>
                          <w:t xml:space="preserve"> „Pažangos finansavimas Radviliškio m. Žalgirio g. RD8040 tarp Maironio ir Miško g. rekonstravimo darbams“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P-04-01-02-31</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shd w:val="clear" w:color="auto" w:fill="auto"/>
                        <w:noWrap/>
                        <w:vAlign w:val="center"/>
                      </w:tcPr>
                      <w:p>
                        <w:pPr>
                          <w:jc w:val="center"/>
                          <w:rPr>
                            <w:b/>
                            <w:bCs/>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jc w:val="center"/>
                          <w:rPr>
                            <w:sz w:val="20"/>
                            <w:lang w:eastAsia="lt-LT"/>
                          </w:rPr>
                        </w:pPr>
                        <w:r>
                          <w:rPr>
                            <w:bCs/>
                            <w:sz w:val="22"/>
                            <w:szCs w:val="22"/>
                          </w:rPr>
                          <w:t xml:space="preserve">32. </w:t>
                        </w:r>
                        <w:r>
                          <w:rPr>
                            <w:color w:val="000000"/>
                            <w:sz w:val="22"/>
                            <w:szCs w:val="22"/>
                          </w:rPr>
                          <w:t>Priemonė</w:t>
                        </w:r>
                        <w:r>
                          <w:rPr>
                            <w:bCs/>
                            <w:sz w:val="22"/>
                            <w:szCs w:val="22"/>
                          </w:rPr>
                          <w:t xml:space="preserve"> „Pažangos finansavimas Radviliškio m. Kovo 11-sios, Prūsų, Dzūkų gatvių statybos darbams“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P-04-01-02-32</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Nutiesta naujų kelių,</w:t>
                        </w:r>
                        <w:r>
                          <w:rPr>
                            <w:bCs/>
                            <w:sz w:val="20"/>
                          </w:rPr>
                          <w:t xml:space="preserve">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0,30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0,30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0,00</w:t>
                        </w:r>
                      </w:p>
                    </w:tc>
                    <w:tc>
                      <w:tcPr>
                        <w:tcW w:w="1418" w:type="dxa"/>
                        <w:tcBorders>
                          <w:left w:val="single" w:sz="4" w:space="0" w:color="FFE8CB"/>
                          <w:right w:val="single" w:sz="4" w:space="0" w:color="FFE8CB"/>
                        </w:tcBorders>
                        <w:shd w:val="clear" w:color="auto" w:fill="auto"/>
                        <w:noWrap/>
                        <w:vAlign w:val="center"/>
                      </w:tcPr>
                      <w:p>
                        <w:pPr>
                          <w:jc w:val="center"/>
                          <w:rPr>
                            <w:color w:val="000000"/>
                            <w:sz w:val="20"/>
                          </w:rPr>
                        </w:pPr>
                      </w:p>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51"/>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2"/>
                            <w:szCs w:val="22"/>
                            <w:lang w:eastAsia="lt-LT"/>
                          </w:rPr>
                        </w:pPr>
                        <w:r>
                          <w:rPr>
                            <w:color w:val="000000"/>
                            <w:sz w:val="22"/>
                            <w:szCs w:val="22"/>
                          </w:rPr>
                          <w:t>33. Priemonė „Tęstinė daugiabučių namų kiemų, susisiekimo komunikacijų ir jų inžinerinių tinklų statybos, rekonstravimo ir kapitalinio remonto, dalyvaujant fiziniams ir juridiniams asmenims Savivaldybės prisidėjimo dalies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P-04-01-02-33</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Sutvarkytų kiemų skaičius, vnt.</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7</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6</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5</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36. </w:t>
                        </w:r>
                        <w:r>
                          <w:rPr>
                            <w:color w:val="000000"/>
                            <w:sz w:val="22"/>
                            <w:szCs w:val="22"/>
                          </w:rPr>
                          <w:t>Priemonė</w:t>
                        </w:r>
                        <w:r>
                          <w:rPr>
                            <w:bCs/>
                            <w:sz w:val="22"/>
                            <w:szCs w:val="22"/>
                          </w:rPr>
                          <w:t xml:space="preserve"> „Tęstinė kaimiškųjų seniūnijų kelių priežiūros, eksploatavimo ir melioracijos statinių (žemės mokesčio lėšomis)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P-04-01-02-36</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Žvyrkelių priežiūra,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800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800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800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38. </w:t>
                        </w:r>
                        <w:r>
                          <w:rPr>
                            <w:color w:val="000000"/>
                            <w:sz w:val="22"/>
                            <w:szCs w:val="22"/>
                          </w:rPr>
                          <w:t>Priemonė</w:t>
                        </w:r>
                        <w:r>
                          <w:rPr>
                            <w:bCs/>
                            <w:sz w:val="22"/>
                            <w:szCs w:val="22"/>
                          </w:rPr>
                          <w:t xml:space="preserve"> „Pažangos finansavimas Radviliškio m. A. Povyliaus, Alytaus, Sodų g. kapitaliniam remontui (rekonstravimui) įrengiant pėsčiųjų dviračių taką“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P-04-01-02-38</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P-04-01-02-38</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Įrengta dviračių ir pėsčiųjų takų,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shd w:val="clear" w:color="auto" w:fill="auto"/>
                        <w:noWrap/>
                        <w:vAlign w:val="center"/>
                      </w:tcPr>
                      <w:p>
                        <w:pPr>
                          <w:jc w:val="center"/>
                          <w:rPr>
                            <w:color w:val="000000"/>
                            <w:sz w:val="18"/>
                            <w:szCs w:val="18"/>
                          </w:rPr>
                        </w:pPr>
                        <w:r>
                          <w:rPr>
                            <w:color w:val="000000"/>
                            <w:sz w:val="18"/>
                            <w:szCs w:val="18"/>
                          </w:rPr>
                          <w:t>Nutiestų dviračių ar pėsčiųjų takų ilgis, km</w:t>
                        </w:r>
                      </w:p>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40. </w:t>
                        </w:r>
                        <w:r>
                          <w:rPr>
                            <w:color w:val="000000"/>
                            <w:sz w:val="22"/>
                            <w:szCs w:val="22"/>
                          </w:rPr>
                          <w:t>Priemonė</w:t>
                        </w:r>
                        <w:r>
                          <w:rPr>
                            <w:bCs/>
                            <w:sz w:val="22"/>
                            <w:szCs w:val="22"/>
                          </w:rPr>
                          <w:t xml:space="preserve"> „Pažangos finansavimas Radviliškio r. sav. Baisogalos mstl. Grinkiškio g., Taikos g. ir Maironio g. kapitaliniam remontui bei apšvietimo atnaujinimui“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P-04-01-02-40</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0,30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0,30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41. </w:t>
                        </w:r>
                        <w:r>
                          <w:rPr>
                            <w:color w:val="000000"/>
                            <w:sz w:val="22"/>
                            <w:szCs w:val="22"/>
                          </w:rPr>
                          <w:t>Priemonė</w:t>
                        </w:r>
                        <w:r>
                          <w:rPr>
                            <w:bCs/>
                            <w:sz w:val="22"/>
                            <w:szCs w:val="22"/>
                          </w:rPr>
                          <w:t xml:space="preserve"> „Pažangos finansavimas Radviliškio m. Kęstučio g. kapitaliniam remontui, apšvietimo atnaujinimui“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P-04-01-02-41</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0,00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0,25</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0,25</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jc w:val="center"/>
                          <w:rPr>
                            <w:sz w:val="20"/>
                            <w:lang w:eastAsia="lt-LT"/>
                          </w:rPr>
                        </w:pPr>
                        <w:r>
                          <w:rPr>
                            <w:bCs/>
                            <w:sz w:val="22"/>
                            <w:szCs w:val="22"/>
                          </w:rPr>
                          <w:t xml:space="preserve">42. </w:t>
                        </w:r>
                        <w:r>
                          <w:rPr>
                            <w:color w:val="000000"/>
                            <w:sz w:val="22"/>
                            <w:szCs w:val="22"/>
                          </w:rPr>
                          <w:t>Priemonė</w:t>
                        </w:r>
                        <w:r>
                          <w:rPr>
                            <w:bCs/>
                            <w:sz w:val="22"/>
                            <w:szCs w:val="22"/>
                          </w:rPr>
                          <w:t xml:space="preserve"> „Pažangos finansavimas Vietinės reikšmės kelio RD0380 Skomaičiai-Gražiškiai, sutampančio su Tuopų g., Skomaičių k., Skėmių sen., Radviliškio r. sav.,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P-04-01-02-42</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0,70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0,70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0,70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43. </w:t>
                        </w:r>
                        <w:r>
                          <w:rPr>
                            <w:color w:val="000000"/>
                            <w:sz w:val="22"/>
                            <w:szCs w:val="22"/>
                          </w:rPr>
                          <w:t>Priemonė</w:t>
                        </w:r>
                        <w:r>
                          <w:rPr>
                            <w:bCs/>
                            <w:sz w:val="22"/>
                            <w:szCs w:val="22"/>
                          </w:rPr>
                          <w:t xml:space="preserve"> „Pažangos finansavimas Pakalniškių sen. Veliakiemių k. vietinės reikšmės kelio RD0245 Veliakiemiai-Vaižgai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P-04-01-02-43</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0,50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44. </w:t>
                        </w:r>
                        <w:r>
                          <w:rPr>
                            <w:color w:val="000000"/>
                            <w:sz w:val="22"/>
                            <w:szCs w:val="22"/>
                          </w:rPr>
                          <w:t>Priemonė</w:t>
                        </w:r>
                        <w:r>
                          <w:rPr>
                            <w:bCs/>
                            <w:sz w:val="22"/>
                            <w:szCs w:val="22"/>
                          </w:rPr>
                          <w:t xml:space="preserve"> „Pažangos finansavimas privažiuojamojo kelio RD8130 atkarpos, esančios Radviliškio m. nuo S. Dariaus ir S. Girėno g. iki geležinkelio kelio kapitaliniam remontui ir lietaus trasos nuo privažiuojamojo kelio iki melioracijos tinklų, esančių Geležinkelio gatvėje, statybai“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P-04-01-02-44</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0,10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0,00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0,00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47. </w:t>
                        </w:r>
                        <w:r>
                          <w:rPr>
                            <w:color w:val="000000"/>
                            <w:sz w:val="22"/>
                            <w:szCs w:val="22"/>
                          </w:rPr>
                          <w:t>Priemonė</w:t>
                        </w:r>
                        <w:r>
                          <w:rPr>
                            <w:bCs/>
                            <w:sz w:val="22"/>
                            <w:szCs w:val="22"/>
                          </w:rPr>
                          <w:t xml:space="preserve"> „Pažangos finansavimas Šeduvos m. dalies Šiaulėnų g. RD7631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P-04-01-02-47</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0,20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0,10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49. </w:t>
                        </w:r>
                        <w:r>
                          <w:rPr>
                            <w:color w:val="000000"/>
                            <w:sz w:val="22"/>
                            <w:szCs w:val="22"/>
                          </w:rPr>
                          <w:t>Priemonė</w:t>
                        </w:r>
                        <w:r>
                          <w:rPr>
                            <w:bCs/>
                            <w:sz w:val="22"/>
                            <w:szCs w:val="22"/>
                          </w:rPr>
                          <w:t xml:space="preserve"> „Pažangos finansavimas Radviliškio m. dalies Stadiono ir Liepų  g. kapitaliniam remontui (rekonstravimui), įrengiant pėsčiųjų (dviračių) taką“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P-04-01-02-49</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Įrengta dviračių ir pėsčiųjų takų,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51. </w:t>
                        </w:r>
                        <w:r>
                          <w:rPr>
                            <w:color w:val="000000"/>
                            <w:sz w:val="22"/>
                            <w:szCs w:val="22"/>
                          </w:rPr>
                          <w:t>Priemonė</w:t>
                        </w:r>
                        <w:r>
                          <w:rPr>
                            <w:bCs/>
                            <w:sz w:val="22"/>
                            <w:szCs w:val="22"/>
                          </w:rPr>
                          <w:t xml:space="preserve"> „Pažangos finansavimas vietinės reikšmės kelio RD0021 privažiavimui prie kareivinių nuo kelio A9, sutampančio su Linkaičių g. Karčemų k. Radviliškio r. sav., ruožo nuo 0,0 km iki 1,16 km rekonstravimui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P-04-01-02-51</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0,60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top w:val="single" w:sz="4" w:space="0" w:color="000000"/>
                          <w:left w:val="single" w:sz="4" w:space="0" w:color="FFE8CB"/>
                          <w:bottom w:val="single" w:sz="4" w:space="0" w:color="000000"/>
                          <w:right w:val="single" w:sz="4" w:space="0" w:color="FFE8CB"/>
                        </w:tcBorders>
                        <w:shd w:val="clear" w:color="auto" w:fill="auto"/>
                      </w:tcPr>
                      <w:p>
                        <w:pPr>
                          <w:rPr>
                            <w:sz w:val="22"/>
                            <w:szCs w:val="22"/>
                            <w:lang w:eastAsia="lt-LT"/>
                          </w:rPr>
                        </w:pPr>
                        <w:r>
                          <w:rPr>
                            <w:color w:val="000000"/>
                            <w:sz w:val="22"/>
                            <w:szCs w:val="22"/>
                          </w:rPr>
                          <w:t xml:space="preserve">52. Priemonė „Pažangos finansavimas Sidabravo sen. Dotiškių k. vietinės reikšmės kelio RD0294 Dotiškiai-Sibičiai-Birželės kapitaliniam remontui“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P-04-01-02-52</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0,30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top w:val="single" w:sz="4" w:space="0" w:color="000000"/>
                          <w:left w:val="single" w:sz="4" w:space="0" w:color="FFE8CB"/>
                          <w:bottom w:val="single" w:sz="4" w:space="0" w:color="000000"/>
                          <w:right w:val="single" w:sz="4" w:space="0" w:color="FFE8CB"/>
                        </w:tcBorders>
                        <w:shd w:val="clear" w:color="auto" w:fill="auto"/>
                      </w:tcPr>
                      <w:p>
                        <w:pPr>
                          <w:rPr>
                            <w:sz w:val="22"/>
                            <w:szCs w:val="22"/>
                            <w:lang w:eastAsia="lt-LT"/>
                          </w:rPr>
                        </w:pPr>
                        <w:r>
                          <w:rPr>
                            <w:color w:val="000000"/>
                            <w:sz w:val="22"/>
                            <w:szCs w:val="22"/>
                          </w:rPr>
                          <w:t>53. Priemonė „Pažangos finansavimas Šiaulėnų sen. Sklioriškių k. vietinės reikšmės kelio RD0515 Acokavai-Sklioriškai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P-04-01-02-53</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0,40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jc w:val="both"/>
                          <w:rPr>
                            <w:sz w:val="22"/>
                            <w:szCs w:val="22"/>
                            <w:lang w:eastAsia="lt-LT"/>
                          </w:rPr>
                        </w:pPr>
                        <w:r>
                          <w:rPr>
                            <w:color w:val="000000"/>
                            <w:sz w:val="22"/>
                            <w:szCs w:val="22"/>
                          </w:rPr>
                          <w:t>56. Priemonė „Pažangos finansavimas vietinės reikšmės kelių: RD1001 Baisogala-Moralinė, RD0635 Biliūnai-Augmėnai rekonstravimui“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P-04-01-02-56</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57. </w:t>
                        </w:r>
                        <w:r>
                          <w:rPr>
                            <w:color w:val="000000"/>
                            <w:sz w:val="22"/>
                            <w:szCs w:val="22"/>
                          </w:rPr>
                          <w:t>Priemonė</w:t>
                        </w:r>
                        <w:r>
                          <w:rPr>
                            <w:bCs/>
                            <w:sz w:val="22"/>
                            <w:szCs w:val="22"/>
                          </w:rPr>
                          <w:t xml:space="preserve"> „Pažangos finansavimas vietinės reikšmės kelio RD1215 privažiavimas prie Dariaus ir Girėno gatvės RD8002, nuo kelio A9,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P-04-01-02-57</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0,30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jc w:val="both"/>
                          <w:rPr>
                            <w:sz w:val="20"/>
                            <w:lang w:eastAsia="lt-LT"/>
                          </w:rPr>
                        </w:pPr>
                        <w:r>
                          <w:rPr>
                            <w:color w:val="000000"/>
                            <w:sz w:val="22"/>
                            <w:szCs w:val="22"/>
                          </w:rPr>
                          <w:t>58. Priemonė „Pažangos finansavimas Šeduvos m. Kėdainių, Panevėžio g. pėsčiųjų takų atnaujinimui“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P-04-01-02-58</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Atnaujinta dviračių ir pėsčiųjų takų,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0,50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top w:val="single" w:sz="4" w:space="0" w:color="000000"/>
                          <w:left w:val="single" w:sz="4" w:space="0" w:color="FFE8CB"/>
                          <w:bottom w:val="single" w:sz="4" w:space="0" w:color="000000"/>
                          <w:right w:val="single" w:sz="4" w:space="0" w:color="FFE8CB"/>
                        </w:tcBorders>
                        <w:shd w:val="clear" w:color="auto" w:fill="auto"/>
                      </w:tcPr>
                      <w:p>
                        <w:pPr>
                          <w:rPr>
                            <w:sz w:val="22"/>
                            <w:szCs w:val="22"/>
                            <w:lang w:eastAsia="lt-LT"/>
                          </w:rPr>
                        </w:pPr>
                        <w:r>
                          <w:rPr>
                            <w:color w:val="000000"/>
                            <w:sz w:val="22"/>
                            <w:szCs w:val="22"/>
                          </w:rPr>
                          <w:t>59. Priemonė „Pažangos finansavimas pėsčiųjų ir dviračių takų plėtrai Šeduvos 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P-04-01-02-59</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Parengtas techninis projektas (vnt.)</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1</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jc w:val="both"/>
                          <w:rPr>
                            <w:sz w:val="22"/>
                            <w:szCs w:val="22"/>
                            <w:lang w:eastAsia="lt-LT"/>
                          </w:rPr>
                        </w:pPr>
                        <w:r>
                          <w:rPr>
                            <w:color w:val="000000"/>
                            <w:sz w:val="22"/>
                            <w:szCs w:val="22"/>
                          </w:rPr>
                          <w:t>60. Priemonė „Pažangos finansavimas vietinės reikšmės kelio RD0241, privažiavimas prie dvaro nuo kelio RD0239, kapitaliniam remontui, įrengiant automobilių stovėjimo aikšteles“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P-04-01-02-60</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Parengtas techninis projektas (vnt.)</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1</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jc w:val="both"/>
                          <w:rPr>
                            <w:sz w:val="22"/>
                            <w:szCs w:val="22"/>
                            <w:lang w:eastAsia="lt-LT"/>
                          </w:rPr>
                        </w:pPr>
                        <w:r>
                          <w:rPr>
                            <w:sz w:val="22"/>
                            <w:szCs w:val="22"/>
                            <w:lang w:eastAsia="lt-LT"/>
                          </w:rPr>
                          <w:t xml:space="preserve">62. </w:t>
                        </w:r>
                        <w:r>
                          <w:rPr>
                            <w:color w:val="000000"/>
                            <w:sz w:val="22"/>
                            <w:szCs w:val="22"/>
                          </w:rPr>
                          <w:t>Priemonė</w:t>
                        </w:r>
                        <w:r>
                          <w:rPr>
                            <w:sz w:val="22"/>
                            <w:szCs w:val="22"/>
                            <w:lang w:eastAsia="lt-LT"/>
                          </w:rPr>
                          <w:t xml:space="preserve"> „Pažangos finansavimas Savivaldybės prisidėjimui pagal bendradarbiavimo sutartis su AB Via Lietuva“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P-04-01-02-62</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Įrengta dviračių ir pėsčiųjų takų,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0,80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shd w:val="clear" w:color="auto" w:fill="auto"/>
                        <w:vAlign w:val="center"/>
                      </w:tcPr>
                      <w:p>
                        <w:pPr>
                          <w:rPr>
                            <w:sz w:val="20"/>
                          </w:rPr>
                        </w:pPr>
                      </w:p>
                    </w:tc>
                    <w:tc>
                      <w:tcPr>
                        <w:tcW w:w="8930" w:type="dxa"/>
                        <w:gridSpan w:val="5"/>
                        <w:tcBorders>
                          <w:left w:val="single" w:sz="4" w:space="0" w:color="FFE8CB"/>
                          <w:right w:val="single" w:sz="4" w:space="0" w:color="FFE8CB"/>
                        </w:tcBorders>
                        <w:shd w:val="clear" w:color="auto" w:fill="auto"/>
                        <w:vAlign w:val="center"/>
                        <w:hideMark/>
                      </w:tcPr>
                      <w:p>
                        <w:pPr>
                          <w:jc w:val="both"/>
                          <w:rPr>
                            <w:bCs/>
                            <w:sz w:val="22"/>
                            <w:szCs w:val="22"/>
                          </w:rPr>
                        </w:pPr>
                        <w:r>
                          <w:rPr>
                            <w:color w:val="000000"/>
                            <w:lang w:eastAsia="lt-LT"/>
                          </w:rPr>
                          <w:t>4.1.3. Uždavinys „Modernizuoti ir išplėsti rajono savivaldybės inžinerinę infrastruktūrą, užtikrinti patrauklią gyvenamąją aplinką“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2"/>
                            <w:szCs w:val="22"/>
                          </w:rPr>
                        </w:pPr>
                      </w:p>
                    </w:tc>
                    <w:tc>
                      <w:tcPr>
                        <w:tcW w:w="8930" w:type="dxa"/>
                        <w:gridSpan w:val="5"/>
                        <w:tcBorders>
                          <w:left w:val="single" w:sz="4" w:space="0" w:color="FFE8CB"/>
                          <w:right w:val="single" w:sz="4" w:space="0" w:color="FFE8CB"/>
                        </w:tcBorders>
                        <w:shd w:val="clear" w:color="auto" w:fill="auto"/>
                        <w:vAlign w:val="center"/>
                      </w:tcPr>
                      <w:p>
                        <w:pPr>
                          <w:ind w:left="459" w:hanging="459"/>
                          <w:rPr>
                            <w:lang w:eastAsia="lt-LT"/>
                          </w:rPr>
                        </w:pPr>
                        <w:r>
                          <w:rPr>
                            <w:lang w:eastAsia="lt-LT"/>
                          </w:rPr>
                          <w:t>01.</w:t>
                          <w:tab/>
                        </w:r>
                        <w:r>
                          <w:rPr>
                            <w:color w:val="000000"/>
                          </w:rPr>
                          <w:t>Priemonė</w:t>
                        </w:r>
                        <w:r>
                          <w:t xml:space="preserve"> „Tęstinė bendruomenių ir VVG projektų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2"/>
                            <w:szCs w:val="22"/>
                          </w:rPr>
                        </w:pPr>
                        <w:r>
                          <w:rPr>
                            <w:bCs/>
                            <w:sz w:val="22"/>
                            <w:szCs w:val="22"/>
                          </w:rPr>
                          <w:t>P-04-01-03-01</w:t>
                        </w:r>
                      </w:p>
                    </w:tc>
                    <w:tc>
                      <w:tcPr>
                        <w:tcW w:w="3685" w:type="dxa"/>
                        <w:tcBorders>
                          <w:left w:val="single" w:sz="4" w:space="0" w:color="FFE8CB"/>
                          <w:right w:val="single" w:sz="4" w:space="0" w:color="FFE8CB"/>
                        </w:tcBorders>
                        <w:shd w:val="clear" w:color="auto" w:fill="auto"/>
                        <w:vAlign w:val="center"/>
                      </w:tcPr>
                      <w:p>
                        <w:pPr>
                          <w:rPr>
                            <w:sz w:val="22"/>
                            <w:szCs w:val="22"/>
                          </w:rPr>
                        </w:pPr>
                        <w:r>
                          <w:rPr>
                            <w:color w:val="000000"/>
                            <w:sz w:val="22"/>
                            <w:szCs w:val="22"/>
                          </w:rPr>
                          <w:t>Įgyvendintų vietos plėtros strategijų skaičius, vnt.</w:t>
                        </w:r>
                      </w:p>
                    </w:tc>
                    <w:tc>
                      <w:tcPr>
                        <w:tcW w:w="1276" w:type="dxa"/>
                        <w:tcBorders>
                          <w:left w:val="single" w:sz="4" w:space="0" w:color="FFE8CB"/>
                          <w:right w:val="single" w:sz="4" w:space="0" w:color="FFE8CB"/>
                        </w:tcBorders>
                        <w:shd w:val="clear" w:color="auto" w:fill="auto"/>
                        <w:noWrap/>
                        <w:vAlign w:val="center"/>
                      </w:tcPr>
                      <w:p>
                        <w:pPr>
                          <w:jc w:val="center"/>
                          <w:rPr>
                            <w:bCs/>
                            <w:sz w:val="22"/>
                            <w:szCs w:val="22"/>
                          </w:rPr>
                        </w:pPr>
                      </w:p>
                    </w:tc>
                    <w:tc>
                      <w:tcPr>
                        <w:tcW w:w="1417" w:type="dxa"/>
                        <w:tcBorders>
                          <w:left w:val="single" w:sz="4" w:space="0" w:color="FFE8CB"/>
                          <w:right w:val="single" w:sz="4" w:space="0" w:color="FFE8CB"/>
                        </w:tcBorders>
                        <w:shd w:val="clear" w:color="auto" w:fill="auto"/>
                        <w:noWrap/>
                        <w:vAlign w:val="center"/>
                      </w:tcPr>
                      <w:p>
                        <w:pPr>
                          <w:jc w:val="center"/>
                          <w:rPr>
                            <w:sz w:val="22"/>
                            <w:szCs w:val="22"/>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2"/>
                            <w:szCs w:val="22"/>
                            <w:lang w:eastAsia="lt-LT"/>
                          </w:rPr>
                        </w:pPr>
                        <w:r>
                          <w:rPr>
                            <w:sz w:val="22"/>
                            <w:szCs w:val="22"/>
                            <w:lang w:eastAsia="lt-LT"/>
                          </w:rPr>
                          <w:t>2</w:t>
                        </w:r>
                      </w:p>
                    </w:tc>
                    <w:tc>
                      <w:tcPr>
                        <w:tcW w:w="1418" w:type="dxa"/>
                        <w:tcBorders>
                          <w:left w:val="single" w:sz="4" w:space="0" w:color="FFE8CB"/>
                          <w:right w:val="single" w:sz="4" w:space="0" w:color="FFE8CB"/>
                        </w:tcBorders>
                        <w:shd w:val="clear" w:color="auto" w:fill="auto"/>
                        <w:noWrap/>
                        <w:vAlign w:val="center"/>
                      </w:tcPr>
                      <w:p>
                        <w:pPr>
                          <w:jc w:val="center"/>
                          <w:rPr>
                            <w:sz w:val="22"/>
                            <w:szCs w:val="22"/>
                            <w:lang w:eastAsia="lt-LT"/>
                          </w:rPr>
                        </w:pPr>
                        <w:r>
                          <w:rPr>
                            <w:color w:val="000000"/>
                            <w:sz w:val="20"/>
                          </w:rPr>
                          <w:t>Įgyvendintų vietos plėtros strategijų skaičius, vnt</w:t>
                        </w:r>
                        <w:r>
                          <w:rPr>
                            <w:color w:val="000000"/>
                            <w:sz w:val="22"/>
                            <w:szCs w:val="22"/>
                          </w:rPr>
                          <w: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2"/>
                            <w:szCs w:val="22"/>
                          </w:rPr>
                        </w:pPr>
                      </w:p>
                    </w:tc>
                    <w:tc>
                      <w:tcPr>
                        <w:tcW w:w="8930" w:type="dxa"/>
                        <w:gridSpan w:val="5"/>
                        <w:tcBorders>
                          <w:left w:val="single" w:sz="4" w:space="0" w:color="FFE8CB"/>
                          <w:right w:val="single" w:sz="4" w:space="0" w:color="FFE8CB"/>
                        </w:tcBorders>
                        <w:shd w:val="clear" w:color="auto" w:fill="auto"/>
                        <w:vAlign w:val="center"/>
                      </w:tcPr>
                      <w:p>
                        <w:pPr>
                          <w:tabs>
                            <w:tab w:val="left" w:pos="459"/>
                          </w:tabs>
                          <w:rPr>
                            <w:lang w:eastAsia="lt-LT"/>
                          </w:rPr>
                        </w:pPr>
                        <w:r>
                          <w:rPr>
                            <w:lang w:eastAsia="lt-LT"/>
                          </w:rPr>
                          <w:t>02.</w:t>
                          <w:tab/>
                        </w:r>
                        <w:r>
                          <w:rPr>
                            <w:color w:val="000000"/>
                          </w:rPr>
                          <w:t>Priemonė</w:t>
                        </w:r>
                        <w:r>
                          <w:t xml:space="preserve"> „Tęstinė techninių projektų rengimo, koregavimo, statinių ir projektų ekspertizės, projektų vykdymo priežiūros,  kelių saugumo audito, statinio statybos techninės priežiūros, kadastrinių matavimų ir kitų panašių techninių inžinerinių paslaugų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2"/>
                            <w:szCs w:val="22"/>
                          </w:rPr>
                        </w:pPr>
                        <w:r>
                          <w:rPr>
                            <w:bCs/>
                            <w:sz w:val="22"/>
                            <w:szCs w:val="22"/>
                          </w:rPr>
                          <w:t>P-04-01-03-02</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 xml:space="preserve">Parengta techninių projektų, </w:t>
                        </w:r>
                        <w:r>
                          <w:rPr>
                            <w:bCs/>
                            <w:sz w:val="22"/>
                            <w:szCs w:val="22"/>
                          </w:rPr>
                          <w:t>vnt.</w:t>
                        </w:r>
                      </w:p>
                    </w:tc>
                    <w:tc>
                      <w:tcPr>
                        <w:tcW w:w="1276" w:type="dxa"/>
                        <w:tcBorders>
                          <w:left w:val="single" w:sz="4" w:space="0" w:color="FFE8CB"/>
                          <w:right w:val="single" w:sz="4" w:space="0" w:color="FFE8CB"/>
                        </w:tcBorders>
                        <w:shd w:val="clear" w:color="auto" w:fill="auto"/>
                        <w:noWrap/>
                        <w:vAlign w:val="center"/>
                      </w:tcPr>
                      <w:p>
                        <w:pPr>
                          <w:jc w:val="center"/>
                          <w:rPr>
                            <w:bCs/>
                            <w:sz w:val="22"/>
                            <w:szCs w:val="22"/>
                          </w:rPr>
                        </w:pPr>
                        <w:r>
                          <w:rPr>
                            <w:bCs/>
                            <w:sz w:val="22"/>
                            <w:szCs w:val="22"/>
                          </w:rPr>
                          <w:t>3</w:t>
                        </w:r>
                      </w:p>
                    </w:tc>
                    <w:tc>
                      <w:tcPr>
                        <w:tcW w:w="1417" w:type="dxa"/>
                        <w:tcBorders>
                          <w:left w:val="single" w:sz="4" w:space="0" w:color="FFE8CB"/>
                          <w:right w:val="single" w:sz="4" w:space="0" w:color="FFE8CB"/>
                        </w:tcBorders>
                        <w:shd w:val="clear" w:color="auto" w:fill="auto"/>
                        <w:noWrap/>
                        <w:vAlign w:val="center"/>
                      </w:tcPr>
                      <w:p>
                        <w:pPr>
                          <w:jc w:val="center"/>
                          <w:rPr>
                            <w:sz w:val="22"/>
                            <w:szCs w:val="22"/>
                            <w:lang w:eastAsia="lt-LT"/>
                          </w:rPr>
                        </w:pPr>
                        <w:r>
                          <w:rPr>
                            <w:sz w:val="22"/>
                            <w:szCs w:val="22"/>
                            <w:lang w:eastAsia="lt-LT"/>
                          </w:rPr>
                          <w:t>4</w:t>
                        </w:r>
                      </w:p>
                    </w:tc>
                    <w:tc>
                      <w:tcPr>
                        <w:tcW w:w="1134" w:type="dxa"/>
                        <w:tcBorders>
                          <w:left w:val="single" w:sz="4" w:space="0" w:color="FFE8CB"/>
                          <w:right w:val="single" w:sz="4" w:space="0" w:color="FFE8CB"/>
                        </w:tcBorders>
                        <w:shd w:val="clear" w:color="auto" w:fill="auto"/>
                        <w:noWrap/>
                        <w:vAlign w:val="center"/>
                      </w:tcPr>
                      <w:p>
                        <w:pPr>
                          <w:jc w:val="center"/>
                          <w:rPr>
                            <w:sz w:val="22"/>
                            <w:szCs w:val="22"/>
                            <w:lang w:eastAsia="lt-LT"/>
                          </w:rPr>
                        </w:pPr>
                        <w:r>
                          <w:rPr>
                            <w:sz w:val="22"/>
                            <w:szCs w:val="22"/>
                            <w:lang w:eastAsia="lt-LT"/>
                          </w:rPr>
                          <w:t>4</w:t>
                        </w:r>
                      </w:p>
                    </w:tc>
                    <w:tc>
                      <w:tcPr>
                        <w:tcW w:w="1418" w:type="dxa"/>
                        <w:tcBorders>
                          <w:left w:val="single" w:sz="4" w:space="0" w:color="FFE8CB"/>
                          <w:right w:val="single" w:sz="4" w:space="0" w:color="FFE8CB"/>
                        </w:tcBorders>
                        <w:shd w:val="clear" w:color="auto" w:fill="auto"/>
                        <w:noWrap/>
                        <w:vAlign w:val="center"/>
                      </w:tcPr>
                      <w:p>
                        <w:pPr>
                          <w:jc w:val="center"/>
                          <w:rPr>
                            <w:sz w:val="22"/>
                            <w:szCs w:val="22"/>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2"/>
                            <w:szCs w:val="22"/>
                          </w:rPr>
                        </w:pPr>
                      </w:p>
                    </w:tc>
                    <w:tc>
                      <w:tcPr>
                        <w:tcW w:w="8930" w:type="dxa"/>
                        <w:gridSpan w:val="5"/>
                        <w:tcBorders>
                          <w:left w:val="single" w:sz="4" w:space="0" w:color="FFE8CB"/>
                          <w:right w:val="single" w:sz="4" w:space="0" w:color="FFE8CB"/>
                        </w:tcBorders>
                        <w:shd w:val="clear" w:color="auto" w:fill="auto"/>
                        <w:vAlign w:val="center"/>
                      </w:tcPr>
                      <w:p>
                        <w:pPr>
                          <w:rPr>
                            <w:sz w:val="22"/>
                            <w:szCs w:val="22"/>
                            <w:lang w:eastAsia="lt-LT"/>
                          </w:rPr>
                        </w:pPr>
                        <w:r>
                          <w:rPr>
                            <w:sz w:val="22"/>
                            <w:szCs w:val="22"/>
                          </w:rPr>
                          <w:t xml:space="preserve">10. </w:t>
                        </w:r>
                        <w:r>
                          <w:rPr>
                            <w:color w:val="000000"/>
                            <w:sz w:val="22"/>
                            <w:szCs w:val="22"/>
                          </w:rPr>
                          <w:t>Priemonė</w:t>
                        </w:r>
                        <w:r>
                          <w:rPr>
                            <w:sz w:val="22"/>
                            <w:szCs w:val="22"/>
                          </w:rPr>
                          <w:t xml:space="preserve"> „Pažangos finansavimas tekstilės atliekų surinkimo konteinerių plėtrai Radviliškio rajone“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2"/>
                            <w:szCs w:val="22"/>
                          </w:rPr>
                        </w:pPr>
                        <w:r>
                          <w:rPr>
                            <w:bCs/>
                            <w:sz w:val="22"/>
                            <w:szCs w:val="22"/>
                          </w:rPr>
                          <w:t>P-04-01-03-10</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 xml:space="preserve">Įsigyta tekstilės atliekų surinkimo konteinerių, </w:t>
                        </w:r>
                        <w:r>
                          <w:rPr>
                            <w:bCs/>
                            <w:sz w:val="22"/>
                            <w:szCs w:val="22"/>
                          </w:rPr>
                          <w:t>vnt.</w:t>
                        </w:r>
                      </w:p>
                    </w:tc>
                    <w:tc>
                      <w:tcPr>
                        <w:tcW w:w="1276" w:type="dxa"/>
                        <w:tcBorders>
                          <w:left w:val="single" w:sz="4" w:space="0" w:color="FFE8CB"/>
                          <w:right w:val="single" w:sz="4" w:space="0" w:color="FFE8CB"/>
                        </w:tcBorders>
                        <w:shd w:val="clear" w:color="auto" w:fill="auto"/>
                        <w:noWrap/>
                        <w:vAlign w:val="center"/>
                      </w:tcPr>
                      <w:p>
                        <w:pPr>
                          <w:jc w:val="center"/>
                          <w:rPr>
                            <w:bCs/>
                            <w:sz w:val="22"/>
                            <w:szCs w:val="22"/>
                          </w:rPr>
                        </w:pPr>
                        <w:r>
                          <w:rPr>
                            <w:bCs/>
                            <w:sz w:val="22"/>
                            <w:szCs w:val="22"/>
                          </w:rPr>
                          <w:t>10</w:t>
                        </w:r>
                      </w:p>
                    </w:tc>
                    <w:tc>
                      <w:tcPr>
                        <w:tcW w:w="1417" w:type="dxa"/>
                        <w:tcBorders>
                          <w:left w:val="single" w:sz="4" w:space="0" w:color="FFE8CB"/>
                          <w:right w:val="single" w:sz="4" w:space="0" w:color="FFE8CB"/>
                        </w:tcBorders>
                        <w:shd w:val="clear" w:color="auto" w:fill="auto"/>
                        <w:noWrap/>
                        <w:vAlign w:val="center"/>
                      </w:tcPr>
                      <w:p>
                        <w:pPr>
                          <w:jc w:val="center"/>
                          <w:rPr>
                            <w:sz w:val="22"/>
                            <w:szCs w:val="22"/>
                            <w:lang w:eastAsia="lt-LT"/>
                          </w:rPr>
                        </w:pPr>
                        <w:r>
                          <w:rPr>
                            <w:sz w:val="22"/>
                            <w:szCs w:val="22"/>
                            <w:lang w:eastAsia="lt-LT"/>
                          </w:rPr>
                          <w:t>10</w:t>
                        </w:r>
                      </w:p>
                    </w:tc>
                    <w:tc>
                      <w:tcPr>
                        <w:tcW w:w="1134" w:type="dxa"/>
                        <w:tcBorders>
                          <w:left w:val="single" w:sz="4" w:space="0" w:color="FFE8CB"/>
                          <w:right w:val="single" w:sz="4" w:space="0" w:color="FFE8CB"/>
                        </w:tcBorders>
                        <w:shd w:val="clear" w:color="auto" w:fill="auto"/>
                        <w:noWrap/>
                        <w:vAlign w:val="center"/>
                      </w:tcPr>
                      <w:p>
                        <w:pPr>
                          <w:jc w:val="center"/>
                          <w:rPr>
                            <w:sz w:val="22"/>
                            <w:szCs w:val="22"/>
                            <w:lang w:eastAsia="lt-LT"/>
                          </w:rPr>
                        </w:pPr>
                        <w:r>
                          <w:rPr>
                            <w:sz w:val="22"/>
                            <w:szCs w:val="22"/>
                            <w:lang w:eastAsia="lt-LT"/>
                          </w:rPr>
                          <w:t>0</w:t>
                        </w:r>
                      </w:p>
                    </w:tc>
                    <w:tc>
                      <w:tcPr>
                        <w:tcW w:w="1418" w:type="dxa"/>
                        <w:tcBorders>
                          <w:top w:val="none" w:sz="6" w:space="0" w:color="auto"/>
                          <w:left w:val="single" w:sz="4" w:space="0" w:color="FFE8CB"/>
                          <w:bottom w:val="none" w:sz="6" w:space="0" w:color="auto"/>
                          <w:right w:val="single" w:sz="4" w:space="0" w:color="FFE8CB"/>
                        </w:tcBorders>
                        <w:shd w:val="clear" w:color="auto" w:fill="auto"/>
                        <w:noWrap/>
                      </w:tcPr>
                      <w:p>
                        <w:pPr>
                          <w:jc w:val="center"/>
                          <w:rPr>
                            <w:sz w:val="18"/>
                            <w:szCs w:val="18"/>
                            <w:lang w:eastAsia="lt-LT"/>
                          </w:rPr>
                        </w:pPr>
                        <w:r>
                          <w:rPr>
                            <w:sz w:val="18"/>
                            <w:szCs w:val="18"/>
                          </w:rPr>
                          <w:t xml:space="preserve">Inicijuotų ir įgyvendintų naujų priemonių skaičius, vnt.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bottom w:val="single" w:sz="4" w:space="0" w:color="auto"/>
                          <w:right w:val="single" w:sz="4" w:space="0" w:color="FFE8CB"/>
                        </w:tcBorders>
                        <w:shd w:val="clear" w:color="auto" w:fill="auto"/>
                        <w:vAlign w:val="center"/>
                      </w:tcPr>
                      <w:p>
                        <w:pPr>
                          <w:rPr>
                            <w:bCs/>
                            <w:sz w:val="20"/>
                          </w:rPr>
                        </w:pPr>
                      </w:p>
                    </w:tc>
                    <w:tc>
                      <w:tcPr>
                        <w:tcW w:w="8930" w:type="dxa"/>
                        <w:gridSpan w:val="5"/>
                        <w:tcBorders>
                          <w:left w:val="single" w:sz="4" w:space="0" w:color="FFE8CB"/>
                          <w:bottom w:val="single" w:sz="4" w:space="0" w:color="auto"/>
                          <w:right w:val="single" w:sz="4" w:space="0" w:color="FFE8CB"/>
                        </w:tcBorders>
                        <w:shd w:val="clear" w:color="auto" w:fill="auto"/>
                        <w:vAlign w:val="center"/>
                      </w:tcPr>
                      <w:p>
                        <w:pPr>
                          <w:rPr>
                            <w:sz w:val="20"/>
                            <w:lang w:eastAsia="lt-LT"/>
                          </w:rPr>
                        </w:pPr>
                        <w:r>
                          <w:rPr>
                            <w:sz w:val="22"/>
                            <w:szCs w:val="22"/>
                          </w:rPr>
                          <w:t xml:space="preserve">13. </w:t>
                        </w:r>
                        <w:r>
                          <w:rPr>
                            <w:color w:val="000000"/>
                            <w:sz w:val="22"/>
                            <w:szCs w:val="22"/>
                          </w:rPr>
                          <w:t>Priemonė</w:t>
                        </w:r>
                        <w:r>
                          <w:rPr>
                            <w:sz w:val="22"/>
                            <w:szCs w:val="22"/>
                          </w:rPr>
                          <w:t xml:space="preserve"> „Pažangos finansavimas nuotekų tinklų plėtrai Radviliškio aglomeracijoje (SB „Bitutė“, SB „Vyturėlis“)“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top w:val="single" w:sz="4" w:space="0" w:color="auto"/>
                          <w:left w:val="single" w:sz="4" w:space="0" w:color="FFE8CB"/>
                          <w:bottom w:val="single" w:sz="4" w:space="0" w:color="auto"/>
                          <w:right w:val="single" w:sz="4" w:space="0" w:color="FFE8CB"/>
                        </w:tcBorders>
                        <w:shd w:val="clear" w:color="auto" w:fill="auto"/>
                        <w:vAlign w:val="center"/>
                      </w:tcPr>
                      <w:p>
                        <w:pPr>
                          <w:rPr>
                            <w:sz w:val="20"/>
                          </w:rPr>
                        </w:pPr>
                        <w:r>
                          <w:rPr>
                            <w:bCs/>
                            <w:sz w:val="20"/>
                          </w:rPr>
                          <w:t>P-04-01-03-13</w:t>
                        </w:r>
                      </w:p>
                    </w:tc>
                    <w:tc>
                      <w:tcPr>
                        <w:tcW w:w="3685" w:type="dxa"/>
                        <w:tcBorders>
                          <w:top w:val="single" w:sz="4" w:space="0" w:color="auto"/>
                          <w:left w:val="single" w:sz="4" w:space="0" w:color="FFE8CB"/>
                          <w:bottom w:val="single" w:sz="4" w:space="0" w:color="auto"/>
                          <w:right w:val="single" w:sz="4" w:space="0" w:color="FFE8CB"/>
                        </w:tcBorders>
                        <w:shd w:val="clear" w:color="auto" w:fill="auto"/>
                        <w:vAlign w:val="center"/>
                        <w:hideMark/>
                      </w:tcPr>
                      <w:p>
                        <w:pPr>
                          <w:jc w:val="both"/>
                          <w:rPr>
                            <w:bCs/>
                            <w:sz w:val="22"/>
                            <w:szCs w:val="22"/>
                          </w:rPr>
                        </w:pPr>
                        <w:r>
                          <w:rPr>
                            <w:bCs/>
                            <w:sz w:val="22"/>
                            <w:szCs w:val="22"/>
                          </w:rPr>
                          <w:t xml:space="preserve">Nutiestų vandentiekio tinklų ilgis, </w:t>
                        </w:r>
                        <w:r>
                          <w:rPr>
                            <w:bCs/>
                            <w:sz w:val="20"/>
                          </w:rPr>
                          <w:t>km</w:t>
                        </w:r>
                      </w:p>
                    </w:tc>
                    <w:tc>
                      <w:tcPr>
                        <w:tcW w:w="1276"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bCs/>
                            <w:sz w:val="20"/>
                          </w:rPr>
                        </w:pPr>
                        <w:r>
                          <w:rPr>
                            <w:bCs/>
                            <w:sz w:val="20"/>
                          </w:rPr>
                          <w:t>2,1</w:t>
                        </w:r>
                      </w:p>
                    </w:tc>
                    <w:tc>
                      <w:tcPr>
                        <w:tcW w:w="1417"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sz w:val="20"/>
                            <w:lang w:eastAsia="lt-LT"/>
                          </w:rPr>
                          <w:t>2,3</w:t>
                        </w:r>
                      </w:p>
                    </w:tc>
                    <w:tc>
                      <w:tcPr>
                        <w:tcW w:w="1134"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sz w:val="20"/>
                            <w:lang w:eastAsia="lt-LT"/>
                          </w:rPr>
                          <w:t>1,5</w:t>
                        </w:r>
                      </w:p>
                    </w:tc>
                    <w:tc>
                      <w:tcPr>
                        <w:tcW w:w="1418"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color w:val="000000"/>
                            <w:sz w:val="18"/>
                            <w:szCs w:val="18"/>
                          </w:rPr>
                          <w:t xml:space="preserve">Gyventojų dalis, kuriems sudarytos sąlygos naudotis geriamojo vandens tiekimo ir nuotekų tvarkymo centralizuotomis sistemomis, proc.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top w:val="single" w:sz="4" w:space="0" w:color="auto"/>
                          <w:left w:val="single" w:sz="4" w:space="0" w:color="FFE8CB"/>
                          <w:bottom w:val="single" w:sz="4" w:space="0" w:color="auto"/>
                          <w:right w:val="single" w:sz="4" w:space="0" w:color="FFE8CB"/>
                        </w:tcBorders>
                        <w:shd w:val="clear" w:color="auto" w:fill="auto"/>
                        <w:vAlign w:val="center"/>
                      </w:tcPr>
                      <w:p>
                        <w:pPr>
                          <w:rPr>
                            <w:sz w:val="20"/>
                          </w:rPr>
                        </w:pPr>
                        <w:r>
                          <w:rPr>
                            <w:bCs/>
                            <w:sz w:val="20"/>
                          </w:rPr>
                          <w:t>P-04-01-03-13</w:t>
                        </w:r>
                      </w:p>
                    </w:tc>
                    <w:tc>
                      <w:tcPr>
                        <w:tcW w:w="3685" w:type="dxa"/>
                        <w:tcBorders>
                          <w:top w:val="single" w:sz="4" w:space="0" w:color="auto"/>
                          <w:left w:val="single" w:sz="4" w:space="0" w:color="FFE8CB"/>
                          <w:bottom w:val="single" w:sz="4" w:space="0" w:color="auto"/>
                          <w:right w:val="single" w:sz="4" w:space="0" w:color="FFE8CB"/>
                        </w:tcBorders>
                        <w:shd w:val="clear" w:color="auto" w:fill="auto"/>
                        <w:vAlign w:val="center"/>
                        <w:hideMark/>
                      </w:tcPr>
                      <w:p>
                        <w:pPr>
                          <w:jc w:val="both"/>
                          <w:rPr>
                            <w:bCs/>
                            <w:sz w:val="22"/>
                            <w:szCs w:val="22"/>
                          </w:rPr>
                        </w:pPr>
                        <w:r>
                          <w:rPr>
                            <w:bCs/>
                            <w:sz w:val="22"/>
                            <w:szCs w:val="22"/>
                          </w:rPr>
                          <w:t xml:space="preserve">Nutiestų nuotekų tinklų ilgis, </w:t>
                        </w:r>
                        <w:r>
                          <w:rPr>
                            <w:bCs/>
                            <w:sz w:val="20"/>
                          </w:rPr>
                          <w:t>km</w:t>
                        </w:r>
                      </w:p>
                    </w:tc>
                    <w:tc>
                      <w:tcPr>
                        <w:tcW w:w="1276"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bCs/>
                            <w:sz w:val="20"/>
                          </w:rPr>
                        </w:pPr>
                        <w:r>
                          <w:rPr>
                            <w:bCs/>
                            <w:sz w:val="20"/>
                          </w:rPr>
                          <w:t>2,1</w:t>
                        </w:r>
                      </w:p>
                    </w:tc>
                    <w:tc>
                      <w:tcPr>
                        <w:tcW w:w="1417"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sz w:val="20"/>
                            <w:lang w:eastAsia="lt-LT"/>
                          </w:rPr>
                          <w:t>2,8</w:t>
                        </w:r>
                      </w:p>
                    </w:tc>
                    <w:tc>
                      <w:tcPr>
                        <w:tcW w:w="1134"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sz w:val="20"/>
                            <w:lang w:eastAsia="lt-LT"/>
                          </w:rPr>
                          <w:t>1,5</w:t>
                        </w:r>
                      </w:p>
                    </w:tc>
                    <w:tc>
                      <w:tcPr>
                        <w:tcW w:w="1418"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color w:val="000000"/>
                            <w:sz w:val="18"/>
                            <w:szCs w:val="18"/>
                          </w:rPr>
                          <w:t xml:space="preserve">Gyventojų dalis, kuriems sudarytos sąlygos naudotis geriamojo vandens tiekimo ir nuotekų tvarkymo centralizuotomis sistemomis, proc.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top w:val="single" w:sz="4" w:space="0" w:color="auto"/>
                          <w:left w:val="single" w:sz="4" w:space="0" w:color="FFE8CB"/>
                          <w:right w:val="single" w:sz="4" w:space="0" w:color="FFE8CB"/>
                        </w:tcBorders>
                        <w:shd w:val="clear" w:color="auto" w:fill="auto"/>
                        <w:vAlign w:val="center"/>
                      </w:tcPr>
                      <w:p>
                        <w:pPr>
                          <w:rPr>
                            <w:bCs/>
                            <w:sz w:val="20"/>
                          </w:rPr>
                        </w:pPr>
                      </w:p>
                    </w:tc>
                    <w:tc>
                      <w:tcPr>
                        <w:tcW w:w="8930" w:type="dxa"/>
                        <w:gridSpan w:val="5"/>
                        <w:tcBorders>
                          <w:top w:val="single" w:sz="4" w:space="0" w:color="auto"/>
                          <w:left w:val="single" w:sz="4" w:space="0" w:color="FFE8CB"/>
                          <w:right w:val="single" w:sz="4" w:space="0" w:color="FFE8CB"/>
                        </w:tcBorders>
                        <w:shd w:val="clear" w:color="auto" w:fill="auto"/>
                        <w:vAlign w:val="center"/>
                      </w:tcPr>
                      <w:p>
                        <w:pPr>
                          <w:rPr>
                            <w:sz w:val="20"/>
                          </w:rPr>
                        </w:pPr>
                        <w:r>
                          <w:rPr>
                            <w:sz w:val="22"/>
                            <w:szCs w:val="22"/>
                          </w:rPr>
                          <w:t xml:space="preserve">14. </w:t>
                        </w:r>
                        <w:r>
                          <w:rPr>
                            <w:color w:val="000000"/>
                            <w:sz w:val="22"/>
                            <w:szCs w:val="22"/>
                          </w:rPr>
                          <w:t>Priemonė</w:t>
                        </w:r>
                        <w:r>
                          <w:rPr>
                            <w:sz w:val="22"/>
                            <w:szCs w:val="22"/>
                          </w:rPr>
                          <w:t xml:space="preserve"> „Pažangos finansavimas inžinerinių statinių ir inžinerinių tinklų viešoje erdvėje Laisvės alėjoje Radviliškio mieste statybai“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P-04-01-03-14</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Įrengta pėsčiųjų takų,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1,0</w:t>
                        </w:r>
                      </w:p>
                    </w:tc>
                    <w:tc>
                      <w:tcPr>
                        <w:tcW w:w="1417"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p>
                    </w:tc>
                    <w:tc>
                      <w:tcPr>
                        <w:tcW w:w="1134"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p>
                    </w:tc>
                    <w:tc>
                      <w:tcPr>
                        <w:tcW w:w="1418"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sz w:val="22"/>
                            <w:szCs w:val="22"/>
                          </w:rPr>
                          <w:t xml:space="preserve">27. </w:t>
                        </w:r>
                        <w:r>
                          <w:rPr>
                            <w:color w:val="000000"/>
                            <w:sz w:val="22"/>
                            <w:szCs w:val="22"/>
                          </w:rPr>
                          <w:t>Priemonė</w:t>
                        </w:r>
                        <w:r>
                          <w:rPr>
                            <w:sz w:val="22"/>
                            <w:szCs w:val="22"/>
                          </w:rPr>
                          <w:t xml:space="preserve"> „Pažangos finansavimas priedangų ir kolektyvinės apsaugos sistemų infrastruktūros plėtrai“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P-04-01-03-27</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Įrengtų priedangų skaičius, vnt.</w:t>
                        </w:r>
                      </w:p>
                    </w:tc>
                    <w:tc>
                      <w:tcPr>
                        <w:tcW w:w="1276"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bCs/>
                            <w:sz w:val="20"/>
                          </w:rPr>
                        </w:pPr>
                        <w:r>
                          <w:rPr>
                            <w:color w:val="000000"/>
                            <w:sz w:val="18"/>
                            <w:szCs w:val="18"/>
                          </w:rPr>
                          <w:t>5</w:t>
                        </w:r>
                      </w:p>
                    </w:tc>
                    <w:tc>
                      <w:tcPr>
                        <w:tcW w:w="1417"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color w:val="000000"/>
                            <w:sz w:val="18"/>
                            <w:szCs w:val="18"/>
                          </w:rPr>
                          <w:t>1</w:t>
                        </w:r>
                      </w:p>
                    </w:tc>
                    <w:tc>
                      <w:tcPr>
                        <w:tcW w:w="1134"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color w:val="000000"/>
                            <w:sz w:val="18"/>
                            <w:szCs w:val="18"/>
                          </w:rPr>
                          <w:t>1</w:t>
                        </w:r>
                      </w:p>
                    </w:tc>
                    <w:tc>
                      <w:tcPr>
                        <w:tcW w:w="1418"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color w:val="000000"/>
                            <w:sz w:val="18"/>
                            <w:szCs w:val="18"/>
                          </w:rPr>
                          <w:t>Inicijuotų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shd w:val="clear" w:color="auto" w:fill="auto"/>
                        <w:vAlign w:val="center"/>
                      </w:tcPr>
                      <w:p>
                        <w:pPr>
                          <w:rPr>
                            <w:sz w:val="8"/>
                            <w:szCs w:val="8"/>
                          </w:rPr>
                        </w:pPr>
                      </w:p>
                    </w:tc>
                    <w:tc>
                      <w:tcPr>
                        <w:tcW w:w="8930" w:type="dxa"/>
                        <w:gridSpan w:val="5"/>
                        <w:tcBorders>
                          <w:left w:val="single" w:sz="4" w:space="0" w:color="FFE8CB"/>
                          <w:right w:val="single" w:sz="4" w:space="0" w:color="FFE8CB"/>
                        </w:tcBorders>
                        <w:shd w:val="clear" w:color="auto" w:fill="auto"/>
                        <w:vAlign w:val="center"/>
                        <w:hideMark/>
                      </w:tcPr>
                      <w:p>
                        <w:pPr>
                          <w:rPr>
                            <w:bCs/>
                            <w:sz w:val="22"/>
                            <w:szCs w:val="22"/>
                          </w:rPr>
                        </w:pPr>
                        <w:r>
                          <w:rPr>
                            <w:color w:val="000000"/>
                            <w:lang w:eastAsia="lt-LT"/>
                          </w:rPr>
                          <w:t>4.1.4. Uždavinys „Modernizuoti Radviliškio rajono savivaldybės viešuosius pastatus, siekiant mažinti šilumos energijos suvartojimą bei gerinti teikiamų paslaugų kokybę“</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24"/>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color w:val="000000"/>
                            <w:sz w:val="22"/>
                            <w:szCs w:val="22"/>
                          </w:rPr>
                          <w:t>20. Priemonė „Pažangos finansavimas sporto paskirties inžinerinio statinio - Baisogalos gimnazijos stadiono su lauko aikštynais , Mokyklos g. 25, Baisogalos mstl., Radviliškio r. sav., rekonstravimui“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3"/>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P-04-01-04-20</w:t>
                        </w:r>
                      </w:p>
                    </w:tc>
                    <w:tc>
                      <w:tcPr>
                        <w:tcW w:w="3685" w:type="dxa"/>
                        <w:tcBorders>
                          <w:left w:val="single" w:sz="4" w:space="0" w:color="FFE8CB"/>
                          <w:right w:val="single" w:sz="4" w:space="0" w:color="FFE8CB"/>
                        </w:tcBorders>
                        <w:shd w:val="clear" w:color="auto" w:fill="auto"/>
                        <w:vAlign w:val="center"/>
                      </w:tcPr>
                      <w:p>
                        <w:pPr>
                          <w:rPr>
                            <w:color w:val="000000"/>
                            <w:sz w:val="22"/>
                            <w:szCs w:val="22"/>
                          </w:rPr>
                        </w:pPr>
                        <w:r>
                          <w:rPr>
                            <w:color w:val="000000"/>
                            <w:sz w:val="22"/>
                            <w:szCs w:val="22"/>
                          </w:rPr>
                          <w:t xml:space="preserve">Rekonstruotas sporto paskirties inžinerinis statinys, vnt. </w:t>
                        </w:r>
                      </w:p>
                    </w:tc>
                    <w:tc>
                      <w:tcPr>
                        <w:tcW w:w="1276" w:type="dxa"/>
                        <w:tcBorders>
                          <w:left w:val="single" w:sz="4" w:space="0" w:color="FFE8CB"/>
                          <w:right w:val="single" w:sz="4" w:space="0" w:color="FFE8CB"/>
                        </w:tcBorders>
                        <w:shd w:val="clear" w:color="auto" w:fill="auto"/>
                        <w:vAlign w:val="center"/>
                      </w:tcPr>
                      <w:p>
                        <w:pPr>
                          <w:jc w:val="center"/>
                          <w:rPr>
                            <w:bCs/>
                            <w:sz w:val="20"/>
                          </w:rPr>
                        </w:pPr>
                      </w:p>
                    </w:tc>
                    <w:tc>
                      <w:tcPr>
                        <w:tcW w:w="1417" w:type="dxa"/>
                        <w:tcBorders>
                          <w:left w:val="single" w:sz="4" w:space="0" w:color="FFE8CB"/>
                          <w:right w:val="single" w:sz="4" w:space="0" w:color="FFE8CB"/>
                        </w:tcBorders>
                        <w:shd w:val="clear" w:color="auto" w:fill="auto"/>
                        <w:vAlign w:val="center"/>
                      </w:tcPr>
                      <w:p>
                        <w:pPr>
                          <w:jc w:val="center"/>
                          <w:rPr>
                            <w:sz w:val="20"/>
                          </w:rPr>
                        </w:pPr>
                        <w:r>
                          <w:rPr>
                            <w:sz w:val="20"/>
                          </w:rPr>
                          <w:t>1</w:t>
                        </w:r>
                      </w:p>
                    </w:tc>
                    <w:tc>
                      <w:tcPr>
                        <w:tcW w:w="1134" w:type="dxa"/>
                        <w:tcBorders>
                          <w:left w:val="single" w:sz="4" w:space="0" w:color="FFE8CB"/>
                          <w:right w:val="single" w:sz="4" w:space="0" w:color="FFE8CB"/>
                        </w:tcBorders>
                        <w:shd w:val="clear" w:color="auto" w:fill="auto"/>
                        <w:vAlign w:val="center"/>
                      </w:tcPr>
                      <w:p>
                        <w:pPr>
                          <w:jc w:val="center"/>
                          <w:rPr>
                            <w:sz w:val="20"/>
                          </w:rPr>
                        </w:pPr>
                      </w:p>
                    </w:tc>
                    <w:tc>
                      <w:tcPr>
                        <w:tcW w:w="1418" w:type="dxa"/>
                        <w:tcBorders>
                          <w:left w:val="single" w:sz="4" w:space="0" w:color="FFE8CB"/>
                          <w:right w:val="single" w:sz="4" w:space="0" w:color="FFE8CB"/>
                        </w:tcBorders>
                        <w:shd w:val="clear" w:color="auto" w:fill="auto"/>
                        <w:vAlign w:val="center"/>
                      </w:tcPr>
                      <w:p>
                        <w:pPr>
                          <w:jc w:val="center"/>
                          <w:rPr>
                            <w:sz w:val="20"/>
                          </w:rPr>
                        </w:pPr>
                        <w:r>
                          <w:rPr>
                            <w:color w:val="000000"/>
                            <w:sz w:val="18"/>
                            <w:szCs w:val="18"/>
                          </w:rPr>
                          <w:t>Inicijuotų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15"/>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color w:val="000000"/>
                            <w:sz w:val="22"/>
                            <w:szCs w:val="22"/>
                          </w:rPr>
                          <w:t>23. Priemonė „Pažangos finansavimas gydymo paskirties pastato Gedimino g. 9, Radviliškis, lifto įrengimui“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15"/>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P-04-01-04-23</w:t>
                        </w:r>
                      </w:p>
                    </w:tc>
                    <w:tc>
                      <w:tcPr>
                        <w:tcW w:w="3685" w:type="dxa"/>
                        <w:tcBorders>
                          <w:left w:val="single" w:sz="4" w:space="0" w:color="FFE8CB"/>
                          <w:right w:val="single" w:sz="4" w:space="0" w:color="FFE8CB"/>
                        </w:tcBorders>
                        <w:shd w:val="clear" w:color="auto" w:fill="auto"/>
                        <w:vAlign w:val="center"/>
                      </w:tcPr>
                      <w:p>
                        <w:pPr>
                          <w:rPr>
                            <w:color w:val="000000"/>
                            <w:sz w:val="22"/>
                            <w:szCs w:val="22"/>
                          </w:rPr>
                        </w:pPr>
                        <w:r>
                          <w:rPr>
                            <w:color w:val="000000"/>
                            <w:sz w:val="22"/>
                            <w:szCs w:val="22"/>
                          </w:rPr>
                          <w:t xml:space="preserve">Įrengtas liftas, vnt. </w:t>
                        </w:r>
                      </w:p>
                    </w:tc>
                    <w:tc>
                      <w:tcPr>
                        <w:tcW w:w="1276" w:type="dxa"/>
                        <w:tcBorders>
                          <w:left w:val="single" w:sz="4" w:space="0" w:color="FFE8CB"/>
                          <w:right w:val="single" w:sz="4" w:space="0" w:color="FFE8CB"/>
                        </w:tcBorders>
                        <w:shd w:val="clear" w:color="auto" w:fill="auto"/>
                        <w:vAlign w:val="center"/>
                      </w:tcPr>
                      <w:p>
                        <w:pPr>
                          <w:jc w:val="center"/>
                          <w:rPr>
                            <w:bCs/>
                            <w:sz w:val="20"/>
                          </w:rPr>
                        </w:pPr>
                        <w:r>
                          <w:rPr>
                            <w:bCs/>
                            <w:sz w:val="20"/>
                          </w:rPr>
                          <w:t>1</w:t>
                        </w:r>
                      </w:p>
                    </w:tc>
                    <w:tc>
                      <w:tcPr>
                        <w:tcW w:w="1417" w:type="dxa"/>
                        <w:tcBorders>
                          <w:left w:val="single" w:sz="4" w:space="0" w:color="FFE8CB"/>
                          <w:right w:val="single" w:sz="4" w:space="0" w:color="FFE8CB"/>
                        </w:tcBorders>
                        <w:shd w:val="clear" w:color="auto" w:fill="auto"/>
                        <w:vAlign w:val="center"/>
                      </w:tcPr>
                      <w:p>
                        <w:pPr>
                          <w:jc w:val="center"/>
                          <w:rPr>
                            <w:sz w:val="20"/>
                          </w:rPr>
                        </w:pPr>
                      </w:p>
                    </w:tc>
                    <w:tc>
                      <w:tcPr>
                        <w:tcW w:w="1134" w:type="dxa"/>
                        <w:tcBorders>
                          <w:left w:val="single" w:sz="4" w:space="0" w:color="FFE8CB"/>
                          <w:right w:val="single" w:sz="4" w:space="0" w:color="FFE8CB"/>
                        </w:tcBorders>
                        <w:shd w:val="clear" w:color="auto" w:fill="auto"/>
                        <w:vAlign w:val="center"/>
                      </w:tcPr>
                      <w:p>
                        <w:pPr>
                          <w:jc w:val="center"/>
                          <w:rPr>
                            <w:sz w:val="20"/>
                          </w:rPr>
                        </w:pPr>
                      </w:p>
                    </w:tc>
                    <w:tc>
                      <w:tcPr>
                        <w:tcW w:w="1418" w:type="dxa"/>
                        <w:tcBorders>
                          <w:left w:val="single" w:sz="4" w:space="0" w:color="FFE8CB"/>
                          <w:right w:val="single" w:sz="4" w:space="0" w:color="FFE8CB"/>
                        </w:tcBorders>
                        <w:shd w:val="clear" w:color="auto" w:fill="auto"/>
                        <w:vAlign w:val="center"/>
                      </w:tcPr>
                      <w:p>
                        <w:pPr>
                          <w:jc w:val="center"/>
                          <w:rPr>
                            <w:sz w:val="20"/>
                          </w:rPr>
                        </w:pPr>
                        <w:r>
                          <w:rPr>
                            <w:color w:val="000000"/>
                            <w:sz w:val="18"/>
                            <w:szCs w:val="18"/>
                          </w:rPr>
                          <w:t>Inicijuotų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7"/>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color w:val="000000"/>
                            <w:sz w:val="22"/>
                            <w:szCs w:val="22"/>
                          </w:rPr>
                          <w:t>29. Priemonė „Pažangos finansavimas Radviliškio Vinco Kudirkos progimnazijos pastato atnaujinimui (modernizavimui)“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7"/>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P-04-01-04-29</w:t>
                        </w:r>
                      </w:p>
                    </w:tc>
                    <w:tc>
                      <w:tcPr>
                        <w:tcW w:w="3685" w:type="dxa"/>
                        <w:tcBorders>
                          <w:left w:val="single" w:sz="4" w:space="0" w:color="FFE8CB"/>
                          <w:right w:val="single" w:sz="4" w:space="0" w:color="FFE8CB"/>
                        </w:tcBorders>
                        <w:shd w:val="clear" w:color="auto" w:fill="auto"/>
                        <w:vAlign w:val="center"/>
                      </w:tcPr>
                      <w:p>
                        <w:pPr>
                          <w:rPr>
                            <w:color w:val="000000"/>
                            <w:sz w:val="22"/>
                            <w:szCs w:val="22"/>
                          </w:rPr>
                        </w:pPr>
                        <w:r>
                          <w:rPr>
                            <w:color w:val="000000"/>
                            <w:sz w:val="22"/>
                            <w:szCs w:val="22"/>
                          </w:rPr>
                          <w:t xml:space="preserve">Parengtas techninis darbo projektas, vnt.  </w:t>
                        </w:r>
                      </w:p>
                    </w:tc>
                    <w:tc>
                      <w:tcPr>
                        <w:tcW w:w="1276" w:type="dxa"/>
                        <w:tcBorders>
                          <w:left w:val="single" w:sz="4" w:space="0" w:color="FFE8CB"/>
                          <w:right w:val="single" w:sz="4" w:space="0" w:color="FFE8CB"/>
                        </w:tcBorders>
                        <w:shd w:val="clear" w:color="auto" w:fill="auto"/>
                        <w:vAlign w:val="center"/>
                      </w:tcPr>
                      <w:p>
                        <w:pPr>
                          <w:jc w:val="center"/>
                          <w:rPr>
                            <w:bCs/>
                            <w:sz w:val="20"/>
                          </w:rPr>
                        </w:pPr>
                        <w:r>
                          <w:rPr>
                            <w:bCs/>
                            <w:sz w:val="20"/>
                          </w:rPr>
                          <w:t>1</w:t>
                        </w:r>
                      </w:p>
                    </w:tc>
                    <w:tc>
                      <w:tcPr>
                        <w:tcW w:w="1417" w:type="dxa"/>
                        <w:tcBorders>
                          <w:left w:val="single" w:sz="4" w:space="0" w:color="FFE8CB"/>
                          <w:right w:val="single" w:sz="4" w:space="0" w:color="FFE8CB"/>
                        </w:tcBorders>
                        <w:shd w:val="clear" w:color="auto" w:fill="auto"/>
                        <w:vAlign w:val="center"/>
                      </w:tcPr>
                      <w:p>
                        <w:pPr>
                          <w:jc w:val="center"/>
                          <w:rPr>
                            <w:sz w:val="20"/>
                          </w:rPr>
                        </w:pPr>
                      </w:p>
                    </w:tc>
                    <w:tc>
                      <w:tcPr>
                        <w:tcW w:w="1134" w:type="dxa"/>
                        <w:tcBorders>
                          <w:left w:val="single" w:sz="4" w:space="0" w:color="FFE8CB"/>
                          <w:right w:val="single" w:sz="4" w:space="0" w:color="FFE8CB"/>
                        </w:tcBorders>
                        <w:shd w:val="clear" w:color="auto" w:fill="auto"/>
                        <w:vAlign w:val="center"/>
                      </w:tcPr>
                      <w:p>
                        <w:pPr>
                          <w:jc w:val="center"/>
                          <w:rPr>
                            <w:sz w:val="20"/>
                          </w:rPr>
                        </w:pPr>
                      </w:p>
                    </w:tc>
                    <w:tc>
                      <w:tcPr>
                        <w:tcW w:w="1418" w:type="dxa"/>
                        <w:tcBorders>
                          <w:left w:val="single" w:sz="4" w:space="0" w:color="FFE8CB"/>
                          <w:right w:val="single" w:sz="4" w:space="0" w:color="FFE8CB"/>
                        </w:tcBorders>
                        <w:shd w:val="clear" w:color="auto" w:fill="auto"/>
                        <w:vAlign w:val="center"/>
                      </w:tcPr>
                      <w:p>
                        <w:pPr>
                          <w:jc w:val="center"/>
                          <w:rPr>
                            <w:sz w:val="20"/>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97"/>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color w:val="000000"/>
                            <w:sz w:val="22"/>
                            <w:szCs w:val="22"/>
                          </w:rPr>
                          <w:t>31. Priemonė „Pažangos finansavimas daugiabučių gyvenamųjų namų modernizavimui Radviliškio rajono savivaldybėje“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97"/>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P-04-01-04-31</w:t>
                        </w:r>
                      </w:p>
                    </w:tc>
                    <w:tc>
                      <w:tcPr>
                        <w:tcW w:w="3685" w:type="dxa"/>
                        <w:tcBorders>
                          <w:left w:val="single" w:sz="4" w:space="0" w:color="FFE8CB"/>
                          <w:right w:val="single" w:sz="4" w:space="0" w:color="FFE8CB"/>
                        </w:tcBorders>
                        <w:shd w:val="clear" w:color="auto" w:fill="auto"/>
                        <w:vAlign w:val="center"/>
                      </w:tcPr>
                      <w:p>
                        <w:pPr>
                          <w:rPr>
                            <w:sz w:val="22"/>
                            <w:szCs w:val="22"/>
                          </w:rPr>
                        </w:pPr>
                        <w:r>
                          <w:rPr>
                            <w:color w:val="000000"/>
                            <w:sz w:val="22"/>
                            <w:szCs w:val="22"/>
                          </w:rPr>
                          <w:t xml:space="preserve">Modernizuoti daugiabučiai gyvenamieji namai Radviliškio rajono savivaldybėje, </w:t>
                        </w:r>
                        <w:r>
                          <w:rPr>
                            <w:bCs/>
                            <w:sz w:val="20"/>
                          </w:rPr>
                          <w:t>vnt.</w:t>
                        </w:r>
                        <w:r>
                          <w:rPr>
                            <w:color w:val="000000"/>
                            <w:sz w:val="22"/>
                            <w:szCs w:val="22"/>
                          </w:rPr>
                          <w:t xml:space="preserve">  </w:t>
                        </w:r>
                      </w:p>
                    </w:tc>
                    <w:tc>
                      <w:tcPr>
                        <w:tcW w:w="1276" w:type="dxa"/>
                        <w:tcBorders>
                          <w:left w:val="single" w:sz="4" w:space="0" w:color="FFE8CB"/>
                          <w:right w:val="single" w:sz="4" w:space="0" w:color="FFE8CB"/>
                        </w:tcBorders>
                        <w:shd w:val="clear" w:color="auto" w:fill="auto"/>
                        <w:vAlign w:val="center"/>
                      </w:tcPr>
                      <w:p>
                        <w:pPr>
                          <w:jc w:val="center"/>
                          <w:rPr>
                            <w:bCs/>
                            <w:sz w:val="20"/>
                          </w:rPr>
                        </w:pPr>
                        <w:r>
                          <w:rPr>
                            <w:bCs/>
                            <w:sz w:val="20"/>
                          </w:rPr>
                          <w:t>3</w:t>
                        </w:r>
                      </w:p>
                    </w:tc>
                    <w:tc>
                      <w:tcPr>
                        <w:tcW w:w="1417" w:type="dxa"/>
                        <w:tcBorders>
                          <w:left w:val="single" w:sz="4" w:space="0" w:color="FFE8CB"/>
                          <w:right w:val="single" w:sz="4" w:space="0" w:color="FFE8CB"/>
                        </w:tcBorders>
                        <w:shd w:val="clear" w:color="auto" w:fill="auto"/>
                        <w:vAlign w:val="center"/>
                      </w:tcPr>
                      <w:p>
                        <w:pPr>
                          <w:jc w:val="center"/>
                          <w:rPr>
                            <w:sz w:val="20"/>
                          </w:rPr>
                        </w:pPr>
                        <w:r>
                          <w:rPr>
                            <w:sz w:val="20"/>
                          </w:rPr>
                          <w:t>3</w:t>
                        </w:r>
                      </w:p>
                    </w:tc>
                    <w:tc>
                      <w:tcPr>
                        <w:tcW w:w="1134" w:type="dxa"/>
                        <w:tcBorders>
                          <w:left w:val="single" w:sz="4" w:space="0" w:color="FFE8CB"/>
                          <w:right w:val="single" w:sz="4" w:space="0" w:color="FFE8CB"/>
                        </w:tcBorders>
                        <w:shd w:val="clear" w:color="auto" w:fill="auto"/>
                        <w:vAlign w:val="center"/>
                      </w:tcPr>
                      <w:p>
                        <w:pPr>
                          <w:jc w:val="center"/>
                          <w:rPr>
                            <w:sz w:val="20"/>
                          </w:rPr>
                        </w:pPr>
                        <w:r>
                          <w:rPr>
                            <w:sz w:val="20"/>
                          </w:rPr>
                          <w:t>3</w:t>
                        </w:r>
                      </w:p>
                    </w:tc>
                    <w:tc>
                      <w:tcPr>
                        <w:tcW w:w="1418" w:type="dxa"/>
                        <w:tcBorders>
                          <w:left w:val="single" w:sz="4" w:space="0" w:color="FFE8CB"/>
                          <w:right w:val="single" w:sz="4" w:space="0" w:color="FFE8CB"/>
                        </w:tcBorders>
                        <w:shd w:val="clear" w:color="auto" w:fill="auto"/>
                        <w:vAlign w:val="center"/>
                      </w:tcPr>
                      <w:p>
                        <w:pPr>
                          <w:jc w:val="center"/>
                          <w:rPr>
                            <w:sz w:val="20"/>
                          </w:rPr>
                        </w:pPr>
                        <w:r>
                          <w:rPr>
                            <w:color w:val="000000"/>
                            <w:sz w:val="18"/>
                            <w:szCs w:val="18"/>
                          </w:rPr>
                          <w:t>Įdiegtų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3"/>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sz w:val="22"/>
                            <w:szCs w:val="22"/>
                          </w:rPr>
                          <w:t xml:space="preserve">33. </w:t>
                        </w:r>
                        <w:r>
                          <w:rPr>
                            <w:color w:val="000000"/>
                            <w:sz w:val="22"/>
                            <w:szCs w:val="22"/>
                          </w:rPr>
                          <w:t>Priemonė</w:t>
                        </w:r>
                        <w:r>
                          <w:rPr>
                            <w:sz w:val="22"/>
                            <w:szCs w:val="22"/>
                          </w:rPr>
                          <w:t xml:space="preserve"> „Pažangos finansavimas Šiaulėnų Marcelino Šikšnio gimnazijos pastato atnaujinimui (modernizavimui)“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3"/>
                    </w:trPr>
                    <w:tc>
                      <w:tcPr>
                        <w:tcW w:w="1418" w:type="dxa"/>
                        <w:tcBorders>
                          <w:left w:val="single" w:sz="4" w:space="0" w:color="FFE8CB"/>
                          <w:right w:val="single" w:sz="4" w:space="0" w:color="FFE8CB"/>
                        </w:tcBorders>
                        <w:shd w:val="clear" w:color="auto" w:fill="auto"/>
                        <w:vAlign w:val="center"/>
                      </w:tcPr>
                      <w:p>
                        <w:pPr>
                          <w:rPr>
                            <w:sz w:val="20"/>
                          </w:rPr>
                        </w:pPr>
                        <w:r>
                          <w:rPr>
                            <w:bCs/>
                            <w:sz w:val="20"/>
                          </w:rPr>
                          <w:t>P-04-01-04-33</w:t>
                        </w:r>
                      </w:p>
                    </w:tc>
                    <w:tc>
                      <w:tcPr>
                        <w:tcW w:w="3685" w:type="dxa"/>
                        <w:tcBorders>
                          <w:left w:val="single" w:sz="4" w:space="0" w:color="FFE8CB"/>
                          <w:right w:val="single" w:sz="4" w:space="0" w:color="FFE8CB"/>
                        </w:tcBorders>
                        <w:shd w:val="clear" w:color="auto" w:fill="auto"/>
                        <w:vAlign w:val="center"/>
                      </w:tcPr>
                      <w:p>
                        <w:pPr>
                          <w:rPr>
                            <w:sz w:val="22"/>
                            <w:szCs w:val="22"/>
                          </w:rPr>
                        </w:pPr>
                        <w:r>
                          <w:rPr>
                            <w:color w:val="000000"/>
                            <w:sz w:val="22"/>
                            <w:szCs w:val="22"/>
                          </w:rPr>
                          <w:t>Atnaujintas (modernizuotas) Šiaulėnų Marcelino Šikšnio gimnazijos pastatas</w:t>
                        </w:r>
                      </w:p>
                    </w:tc>
                    <w:tc>
                      <w:tcPr>
                        <w:tcW w:w="1276" w:type="dxa"/>
                        <w:tcBorders>
                          <w:left w:val="single" w:sz="4" w:space="0" w:color="FFE8CB"/>
                          <w:right w:val="single" w:sz="4" w:space="0" w:color="FFE8CB"/>
                        </w:tcBorders>
                        <w:shd w:val="clear" w:color="auto" w:fill="auto"/>
                        <w:vAlign w:val="center"/>
                      </w:tcPr>
                      <w:p>
                        <w:pPr>
                          <w:jc w:val="center"/>
                          <w:rPr>
                            <w:sz w:val="20"/>
                          </w:rPr>
                        </w:pPr>
                      </w:p>
                    </w:tc>
                    <w:tc>
                      <w:tcPr>
                        <w:tcW w:w="1417" w:type="dxa"/>
                        <w:tcBorders>
                          <w:left w:val="single" w:sz="4" w:space="0" w:color="FFE8CB"/>
                          <w:right w:val="single" w:sz="4" w:space="0" w:color="FFE8CB"/>
                        </w:tcBorders>
                        <w:shd w:val="clear" w:color="auto" w:fill="auto"/>
                        <w:vAlign w:val="center"/>
                      </w:tcPr>
                      <w:p>
                        <w:pPr>
                          <w:jc w:val="center"/>
                          <w:rPr>
                            <w:sz w:val="20"/>
                          </w:rPr>
                        </w:pPr>
                      </w:p>
                    </w:tc>
                    <w:tc>
                      <w:tcPr>
                        <w:tcW w:w="1134" w:type="dxa"/>
                        <w:tcBorders>
                          <w:left w:val="single" w:sz="4" w:space="0" w:color="FFE8CB"/>
                          <w:right w:val="single" w:sz="4" w:space="0" w:color="FFE8CB"/>
                        </w:tcBorders>
                        <w:shd w:val="clear" w:color="auto" w:fill="auto"/>
                        <w:vAlign w:val="center"/>
                      </w:tcPr>
                      <w:p>
                        <w:pPr>
                          <w:jc w:val="center"/>
                          <w:rPr>
                            <w:sz w:val="20"/>
                          </w:rPr>
                        </w:pPr>
                        <w:r>
                          <w:rPr>
                            <w:sz w:val="20"/>
                          </w:rPr>
                          <w:t>1</w:t>
                        </w:r>
                      </w:p>
                    </w:tc>
                    <w:tc>
                      <w:tcPr>
                        <w:tcW w:w="1418" w:type="dxa"/>
                        <w:tcBorders>
                          <w:left w:val="single" w:sz="4" w:space="0" w:color="FFE8CB"/>
                          <w:right w:val="single" w:sz="4" w:space="0" w:color="FFE8CB"/>
                        </w:tcBorders>
                        <w:shd w:val="clear" w:color="auto" w:fill="auto"/>
                        <w:vAlign w:val="center"/>
                      </w:tcPr>
                      <w:p>
                        <w:pPr>
                          <w:jc w:val="center"/>
                          <w:rPr>
                            <w:sz w:val="20"/>
                          </w:rPr>
                        </w:pPr>
                        <w:r>
                          <w:rPr>
                            <w:color w:val="000000"/>
                            <w:sz w:val="18"/>
                            <w:szCs w:val="18"/>
                          </w:rPr>
                          <w:t>Įdiegtų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99"/>
                    </w:trPr>
                    <w:tc>
                      <w:tcPr>
                        <w:tcW w:w="1418" w:type="dxa"/>
                        <w:tcBorders>
                          <w:left w:val="single" w:sz="4" w:space="0" w:color="FFE8CB"/>
                          <w:right w:val="single" w:sz="4" w:space="0" w:color="FFE8CB"/>
                        </w:tcBorders>
                        <w:shd w:val="clear" w:color="auto" w:fill="auto"/>
                        <w:vAlign w:val="center"/>
                      </w:tcPr>
                      <w:p>
                        <w:pPr>
                          <w:rPr>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37. </w:t>
                        </w:r>
                        <w:r>
                          <w:rPr>
                            <w:color w:val="000000"/>
                            <w:sz w:val="22"/>
                            <w:szCs w:val="22"/>
                          </w:rPr>
                          <w:t>Priemonė</w:t>
                        </w:r>
                        <w:r>
                          <w:rPr>
                            <w:bCs/>
                            <w:sz w:val="22"/>
                            <w:szCs w:val="22"/>
                          </w:rPr>
                          <w:t xml:space="preserve"> „Pažangos finansavimas ugdymo prieinamumo didinimui atskirtį patiriantiems vaikams Radviliškio rajone“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sz w:val="20"/>
                          </w:rPr>
                        </w:pPr>
                        <w:r>
                          <w:rPr>
                            <w:bCs/>
                            <w:sz w:val="20"/>
                          </w:rPr>
                          <w:t>P-04-01-04-37</w:t>
                        </w:r>
                      </w:p>
                    </w:tc>
                    <w:tc>
                      <w:tcPr>
                        <w:tcW w:w="3685" w:type="dxa"/>
                        <w:tcBorders>
                          <w:left w:val="single" w:sz="4" w:space="0" w:color="FFE8CB"/>
                          <w:right w:val="single" w:sz="4" w:space="0" w:color="FFE8CB"/>
                        </w:tcBorders>
                        <w:shd w:val="clear" w:color="auto" w:fill="auto"/>
                        <w:vAlign w:val="center"/>
                        <w:hideMark/>
                      </w:tcPr>
                      <w:p>
                        <w:pPr>
                          <w:jc w:val="both"/>
                          <w:rPr>
                            <w:bCs/>
                            <w:sz w:val="22"/>
                            <w:szCs w:val="22"/>
                          </w:rPr>
                        </w:pPr>
                        <w:r>
                          <w:rPr>
                            <w:bCs/>
                            <w:sz w:val="22"/>
                            <w:szCs w:val="22"/>
                          </w:rPr>
                          <w:t>Mokyklos, kuriose buvo įdiegtos universalaus dizaino ir kitos inžinerinės priemonės, pritaikant aplinką asmenims, turintiems negalią</w:t>
                        </w:r>
                      </w:p>
                    </w:tc>
                    <w:tc>
                      <w:tcPr>
                        <w:tcW w:w="1276" w:type="dxa"/>
                        <w:tcBorders>
                          <w:left w:val="single" w:sz="4" w:space="0" w:color="FFE8CB"/>
                          <w:right w:val="single" w:sz="4" w:space="0" w:color="FFE8CB"/>
                        </w:tcBorders>
                        <w:shd w:val="clear" w:color="auto" w:fill="auto"/>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1</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vMerge w:val="restart"/>
                        <w:tcBorders>
                          <w:top w:val="single" w:sz="4" w:space="0" w:color="auto"/>
                          <w:left w:val="single" w:sz="4" w:space="0" w:color="FFE8CB"/>
                          <w:right w:val="single" w:sz="4" w:space="0" w:color="FFE8CB"/>
                        </w:tcBorders>
                        <w:shd w:val="clear" w:color="auto" w:fill="auto"/>
                        <w:noWrap/>
                        <w:vAlign w:val="center"/>
                      </w:tcPr>
                      <w:p>
                        <w:pPr>
                          <w:jc w:val="center"/>
                          <w:rPr>
                            <w:sz w:val="20"/>
                            <w:lang w:eastAsia="lt-LT"/>
                          </w:rPr>
                        </w:pPr>
                        <w:r>
                          <w:rPr>
                            <w:color w:val="000000"/>
                            <w:sz w:val="18"/>
                            <w:szCs w:val="18"/>
                          </w:rPr>
                          <w:t>Inicijuotų ir įgyvendintų priemonių skaičius, vnt.</w:t>
                        </w:r>
                      </w:p>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6"/>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P-04-01-04-37</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Naujos arba modernizuotos švietimo infrastruktūros mokymo klasių talpumas, asmenys</w:t>
                        </w:r>
                      </w:p>
                    </w:tc>
                    <w:tc>
                      <w:tcPr>
                        <w:tcW w:w="1276" w:type="dxa"/>
                        <w:tcBorders>
                          <w:left w:val="single" w:sz="4" w:space="0" w:color="FFE8CB"/>
                          <w:right w:val="single" w:sz="4" w:space="0" w:color="FFE8CB"/>
                        </w:tcBorders>
                        <w:shd w:val="clear" w:color="auto" w:fill="auto"/>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531</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vMerge/>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6"/>
                    </w:trPr>
                    <w:tc>
                      <w:tcPr>
                        <w:tcW w:w="1418" w:type="dxa"/>
                        <w:tcBorders>
                          <w:left w:val="single" w:sz="4" w:space="0" w:color="FFE8CB"/>
                          <w:right w:val="single" w:sz="4" w:space="0" w:color="FFE8CB"/>
                        </w:tcBorders>
                        <w:shd w:val="clear" w:color="auto" w:fill="auto"/>
                        <w:vAlign w:val="center"/>
                      </w:tcPr>
                      <w:p>
                        <w:pPr>
                          <w:rPr>
                            <w:bCs/>
                            <w:sz w:val="20"/>
                          </w:rPr>
                        </w:pPr>
                        <w:r>
                          <w:rPr>
                            <w:bCs/>
                            <w:sz w:val="20"/>
                          </w:rPr>
                          <w:t>R-04-01-04-37</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Naujos arba modernizuotos švietimo infrastruktūros naudotojų skaičius per metus,  </w:t>
                        </w:r>
                        <w:r>
                          <w:rPr>
                            <w:bCs/>
                            <w:sz w:val="20"/>
                          </w:rPr>
                          <w:t>naudotojai per metus</w:t>
                        </w:r>
                      </w:p>
                    </w:tc>
                    <w:tc>
                      <w:tcPr>
                        <w:tcW w:w="1276" w:type="dxa"/>
                        <w:tcBorders>
                          <w:left w:val="single" w:sz="4" w:space="0" w:color="FFE8CB"/>
                          <w:right w:val="single" w:sz="4" w:space="0" w:color="FFE8CB"/>
                        </w:tcBorders>
                        <w:shd w:val="clear" w:color="auto" w:fill="auto"/>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531</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vMerge/>
                        <w:tcBorders>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6"/>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38. </w:t>
                        </w:r>
                        <w:r>
                          <w:rPr>
                            <w:color w:val="000000"/>
                            <w:sz w:val="22"/>
                            <w:szCs w:val="22"/>
                          </w:rPr>
                          <w:t>Priemonė</w:t>
                        </w:r>
                        <w:r>
                          <w:rPr>
                            <w:bCs/>
                            <w:sz w:val="22"/>
                            <w:szCs w:val="22"/>
                          </w:rPr>
                          <w:t xml:space="preserve"> „Pažangos finansavimas edukacinių erdvių įrengimui Šeduvos gimnazijoje, kuriant visos dienos mokyklą“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6"/>
                    </w:trPr>
                    <w:tc>
                      <w:tcPr>
                        <w:tcW w:w="1418" w:type="dxa"/>
                        <w:tcBorders>
                          <w:left w:val="single" w:sz="4" w:space="0" w:color="FFE8CB"/>
                          <w:right w:val="single" w:sz="4" w:space="0" w:color="FFE8CB"/>
                        </w:tcBorders>
                        <w:shd w:val="clear" w:color="auto" w:fill="auto"/>
                        <w:vAlign w:val="center"/>
                      </w:tcPr>
                      <w:p>
                        <w:pPr>
                          <w:rPr>
                            <w:sz w:val="20"/>
                          </w:rPr>
                        </w:pPr>
                        <w:r>
                          <w:rPr>
                            <w:bCs/>
                            <w:sz w:val="20"/>
                          </w:rPr>
                          <w:t>P-04-01-04-38</w:t>
                        </w:r>
                      </w:p>
                    </w:tc>
                    <w:tc>
                      <w:tcPr>
                        <w:tcW w:w="3685" w:type="dxa"/>
                        <w:tcBorders>
                          <w:left w:val="single" w:sz="4" w:space="0" w:color="FFE8CB"/>
                          <w:right w:val="single" w:sz="4" w:space="0" w:color="FFE8CB"/>
                        </w:tcBorders>
                        <w:shd w:val="clear" w:color="auto" w:fill="auto"/>
                        <w:vAlign w:val="center"/>
                        <w:hideMark/>
                      </w:tcPr>
                      <w:p>
                        <w:pPr>
                          <w:rPr>
                            <w:bCs/>
                            <w:sz w:val="22"/>
                            <w:szCs w:val="22"/>
                          </w:rPr>
                        </w:pPr>
                        <w:r>
                          <w:rPr>
                            <w:bCs/>
                            <w:sz w:val="22"/>
                            <w:szCs w:val="22"/>
                          </w:rPr>
                          <w:t>Mokinių, kurie naudojasi sukurta visos dienos mokyklos infrastruktūra (skaičius)</w:t>
                        </w:r>
                      </w:p>
                    </w:tc>
                    <w:tc>
                      <w:tcPr>
                        <w:tcW w:w="1276" w:type="dxa"/>
                        <w:tcBorders>
                          <w:left w:val="single" w:sz="4" w:space="0" w:color="FFE8CB"/>
                          <w:right w:val="single" w:sz="4" w:space="0" w:color="FFE8CB"/>
                        </w:tcBorders>
                        <w:shd w:val="clear" w:color="auto" w:fill="auto"/>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60</w:t>
                        </w:r>
                      </w:p>
                    </w:tc>
                    <w:tc>
                      <w:tcPr>
                        <w:tcW w:w="1418" w:type="dxa"/>
                        <w:vMerge w:val="restart"/>
                        <w:tcBorders>
                          <w:top w:val="single" w:sz="4" w:space="0" w:color="auto"/>
                          <w:left w:val="single" w:sz="4" w:space="0" w:color="FFE8CB"/>
                          <w:right w:val="single" w:sz="4" w:space="0" w:color="FFE8CB"/>
                        </w:tcBorders>
                        <w:shd w:val="clear" w:color="auto" w:fill="auto"/>
                        <w:noWrap/>
                        <w:vAlign w:val="center"/>
                      </w:tcPr>
                      <w:p>
                        <w:pPr>
                          <w:jc w:val="center"/>
                          <w:rPr>
                            <w:sz w:val="20"/>
                            <w:lang w:eastAsia="lt-LT"/>
                          </w:rPr>
                        </w:pPr>
                        <w:r>
                          <w:rPr>
                            <w:color w:val="000000"/>
                            <w:sz w:val="18"/>
                            <w:szCs w:val="18"/>
                          </w:rPr>
                          <w:t>Inicijuotų ir įgyvendintų priemonių skaičius, vnt.</w:t>
                        </w:r>
                      </w:p>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95"/>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P-04-01-04-38</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Naujos arba modernizuotos švietimo infrastruktūros naudotojų skaičius per metus (skaičius</w:t>
                        </w:r>
                        <w:r>
                          <w:rPr>
                            <w:bCs/>
                            <w:sz w:val="20"/>
                          </w:rPr>
                          <w:t>)</w:t>
                        </w:r>
                        <w:r>
                          <w:rPr>
                            <w:sz w:val="22"/>
                            <w:szCs w:val="22"/>
                          </w:rPr>
                          <w:t xml:space="preserve"> </w:t>
                        </w:r>
                      </w:p>
                    </w:tc>
                    <w:tc>
                      <w:tcPr>
                        <w:tcW w:w="1276" w:type="dxa"/>
                        <w:tcBorders>
                          <w:left w:val="single" w:sz="4" w:space="0" w:color="FFE8CB"/>
                          <w:right w:val="single" w:sz="4" w:space="0" w:color="FFE8CB"/>
                        </w:tcBorders>
                        <w:shd w:val="clear" w:color="auto" w:fill="auto"/>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160</w:t>
                        </w:r>
                      </w:p>
                    </w:tc>
                    <w:tc>
                      <w:tcPr>
                        <w:tcW w:w="1418" w:type="dxa"/>
                        <w:vMerge/>
                        <w:tcBorders>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sz w:val="22"/>
                            <w:szCs w:val="22"/>
                          </w:rPr>
                          <w:t xml:space="preserve">41. </w:t>
                        </w:r>
                        <w:r>
                          <w:rPr>
                            <w:color w:val="000000"/>
                            <w:sz w:val="22"/>
                            <w:szCs w:val="22"/>
                          </w:rPr>
                          <w:t>Priemonė</w:t>
                        </w:r>
                        <w:r>
                          <w:rPr>
                            <w:sz w:val="22"/>
                            <w:szCs w:val="22"/>
                          </w:rPr>
                          <w:t xml:space="preserve"> „Pažangos finansavimas saulės elektrinės, ant pastato Aušros a. 10, Radviliškyje, įrengimui“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P-04-01-04-41</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 xml:space="preserve">Saulės elektrinė ant pastato Aušros a, 10, Radviliškyje, </w:t>
                        </w:r>
                        <w:r>
                          <w:rPr>
                            <w:bCs/>
                            <w:sz w:val="20"/>
                          </w:rPr>
                          <w:t>vnt.</w:t>
                        </w:r>
                      </w:p>
                    </w:tc>
                    <w:tc>
                      <w:tcPr>
                        <w:tcW w:w="1276" w:type="dxa"/>
                        <w:tcBorders>
                          <w:left w:val="single" w:sz="4" w:space="0" w:color="FFE8CB"/>
                          <w:right w:val="single" w:sz="4" w:space="0" w:color="FFE8CB"/>
                        </w:tcBorders>
                        <w:shd w:val="clear" w:color="auto" w:fill="auto"/>
                        <w:vAlign w:val="center"/>
                      </w:tcPr>
                      <w:p>
                        <w:pPr>
                          <w:jc w:val="center"/>
                          <w:rPr>
                            <w:bCs/>
                            <w:sz w:val="20"/>
                          </w:rPr>
                        </w:pPr>
                        <w:r>
                          <w:rPr>
                            <w:bCs/>
                            <w:sz w:val="20"/>
                          </w:rPr>
                          <w:t>1</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r>
                          <w:rPr>
                            <w:sz w:val="18"/>
                            <w:szCs w:val="18"/>
                            <w:lang w:eastAsia="lt-LT"/>
                          </w:rPr>
                          <w:t>Įdiegtų priemonių skaičius, vnt</w:t>
                        </w:r>
                        <w:r>
                          <w:rPr>
                            <w:sz w:val="20"/>
                            <w:lang w:eastAsia="lt-LT"/>
                          </w:rPr>
                          <w: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shd w:val="clear" w:color="auto" w:fill="auto"/>
                        <w:vAlign w:val="center"/>
                      </w:tcPr>
                      <w:p>
                        <w:pPr>
                          <w:rPr>
                            <w:sz w:val="8"/>
                            <w:szCs w:val="8"/>
                          </w:rPr>
                        </w:pPr>
                      </w:p>
                    </w:tc>
                    <w:tc>
                      <w:tcPr>
                        <w:tcW w:w="8930" w:type="dxa"/>
                        <w:gridSpan w:val="5"/>
                        <w:tcBorders>
                          <w:left w:val="single" w:sz="4" w:space="0" w:color="FFE8CB"/>
                          <w:right w:val="single" w:sz="4" w:space="0" w:color="FFE8CB"/>
                        </w:tcBorders>
                        <w:shd w:val="clear" w:color="auto" w:fill="auto"/>
                        <w:vAlign w:val="center"/>
                        <w:hideMark/>
                      </w:tcPr>
                      <w:p>
                        <w:pPr>
                          <w:jc w:val="both"/>
                          <w:rPr>
                            <w:bCs/>
                            <w:sz w:val="22"/>
                            <w:szCs w:val="22"/>
                          </w:rPr>
                        </w:pPr>
                        <w:r>
                          <w:rPr>
                            <w:color w:val="000000"/>
                            <w:lang w:eastAsia="lt-LT"/>
                          </w:rPr>
                          <w:t>4.2.1. Uždavinys „Pritaikyti gamtos ir kultūros paveldo objektus lankytojams, švietimui, kultūrai, edukacijai bei kitų paslaugų teikimui“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ind w:left="317" w:hanging="317"/>
                          <w:rPr>
                            <w:lang w:eastAsia="lt-LT"/>
                          </w:rPr>
                        </w:pPr>
                        <w:r>
                          <w:rPr>
                            <w:sz w:val="22"/>
                            <w:szCs w:val="22"/>
                            <w:lang w:eastAsia="lt-LT"/>
                          </w:rPr>
                          <w:t>1.</w:t>
                          <w:tab/>
                        </w:r>
                        <w:r>
                          <w:rPr>
                            <w:color w:val="000000"/>
                          </w:rPr>
                          <w:t>Priemonė</w:t>
                        </w:r>
                        <w:r>
                          <w:t xml:space="preserve"> „Pažangos finansavimas kitų inžinerinių statinių, stoginių, Panevėžio g. 36, Šeduva, statybai“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sz w:val="20"/>
                          </w:rPr>
                        </w:pPr>
                        <w:r>
                          <w:rPr>
                            <w:bCs/>
                            <w:sz w:val="20"/>
                          </w:rPr>
                          <w:t>P-04-02-01-04</w:t>
                        </w:r>
                      </w:p>
                    </w:tc>
                    <w:tc>
                      <w:tcPr>
                        <w:tcW w:w="3685" w:type="dxa"/>
                        <w:tcBorders>
                          <w:left w:val="single" w:sz="4" w:space="0" w:color="FFE8CB"/>
                          <w:right w:val="single" w:sz="4" w:space="0" w:color="FFE8CB"/>
                        </w:tcBorders>
                        <w:shd w:val="clear" w:color="auto" w:fill="auto"/>
                        <w:vAlign w:val="center"/>
                        <w:hideMark/>
                      </w:tcPr>
                      <w:p>
                        <w:pPr>
                          <w:jc w:val="both"/>
                          <w:rPr>
                            <w:bCs/>
                            <w:sz w:val="22"/>
                            <w:szCs w:val="22"/>
                          </w:rPr>
                        </w:pPr>
                        <w:r>
                          <w:rPr>
                            <w:bCs/>
                            <w:sz w:val="22"/>
                            <w:szCs w:val="22"/>
                          </w:rPr>
                          <w:t xml:space="preserve">Įrengtos stoginės, </w:t>
                        </w:r>
                        <w:r>
                          <w:rPr>
                            <w:bCs/>
                            <w:sz w:val="20"/>
                          </w:rPr>
                          <w:t>komplektas</w:t>
                        </w:r>
                      </w:p>
                    </w:tc>
                    <w:tc>
                      <w:tcPr>
                        <w:tcW w:w="1276" w:type="dxa"/>
                        <w:tcBorders>
                          <w:left w:val="single" w:sz="4" w:space="0" w:color="FFE8CB"/>
                          <w:right w:val="single" w:sz="4" w:space="0" w:color="FFE8CB"/>
                        </w:tcBorders>
                        <w:shd w:val="clear" w:color="auto" w:fill="auto"/>
                        <w:noWrap/>
                        <w:vAlign w:val="center"/>
                        <w:hideMark/>
                      </w:tcPr>
                      <w:p>
                        <w:pPr>
                          <w:jc w:val="center"/>
                          <w:rPr>
                            <w:bCs/>
                            <w:sz w:val="20"/>
                          </w:rPr>
                        </w:pPr>
                        <w:r>
                          <w:rPr>
                            <w:bCs/>
                            <w:sz w:val="20"/>
                          </w:rPr>
                          <w:t>1</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left w:val="single" w:sz="4" w:space="0" w:color="FFE8CB"/>
                          <w:right w:val="single" w:sz="4" w:space="0" w:color="FFE8CB"/>
                        </w:tcBorders>
                        <w:shd w:val="clear" w:color="auto" w:fill="auto"/>
                        <w:noWrap/>
                        <w:vAlign w:val="center"/>
                      </w:tcPr>
                      <w:p>
                        <w:pPr>
                          <w:jc w:val="center"/>
                          <w:rPr>
                            <w:sz w:val="18"/>
                            <w:szCs w:val="18"/>
                            <w:lang w:eastAsia="lt-LT"/>
                          </w:rPr>
                        </w:pPr>
                        <w:r>
                          <w:rPr>
                            <w:sz w:val="18"/>
                            <w:szCs w:val="18"/>
                            <w:lang w:eastAsia="lt-LT"/>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sz w:val="22"/>
                            <w:szCs w:val="22"/>
                          </w:rPr>
                          <w:t>9. Priemonė „Pažangos finansavimas Kudinų piliakalnio (kitaip vadinamo Šiaulės kalnu) pritaikymo lankymui“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P-04-02-01-09</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Sukurtos arba atkurtos atviros erdvės (kv. metrai)</w:t>
                        </w:r>
                      </w:p>
                    </w:tc>
                    <w:tc>
                      <w:tcPr>
                        <w:tcW w:w="1276" w:type="dxa"/>
                        <w:tcBorders>
                          <w:left w:val="single" w:sz="4" w:space="0" w:color="FFE8CB"/>
                          <w:right w:val="single" w:sz="4" w:space="0" w:color="FFE8CB"/>
                        </w:tcBorders>
                        <w:shd w:val="clear" w:color="auto" w:fill="auto"/>
                        <w:noWrap/>
                        <w:vAlign w:val="center"/>
                      </w:tcPr>
                      <w:p>
                        <w:pPr>
                          <w:jc w:val="both"/>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8000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color w:val="000000"/>
                            <w:sz w:val="20"/>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P-04-02-01-09</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Integruoti teritorinio vystymo projektai (projektai)</w:t>
                        </w:r>
                      </w:p>
                    </w:tc>
                    <w:tc>
                      <w:tcPr>
                        <w:tcW w:w="1276" w:type="dxa"/>
                        <w:tcBorders>
                          <w:left w:val="single" w:sz="4" w:space="0" w:color="FFE8CB"/>
                          <w:right w:val="single" w:sz="4" w:space="0" w:color="FFE8CB"/>
                        </w:tcBorders>
                        <w:shd w:val="clear" w:color="auto" w:fill="auto"/>
                        <w:noWrap/>
                        <w:vAlign w:val="center"/>
                      </w:tcPr>
                      <w:p>
                        <w:pPr>
                          <w:jc w:val="both"/>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1</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color w:val="000000"/>
                            <w:sz w:val="20"/>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r>
                          <w:rPr>
                            <w:bCs/>
                            <w:sz w:val="20"/>
                          </w:rPr>
                          <w:t>R-04-02-01-09</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Sukurtos arba atkurtos teritorijos, naudojamos ekonominei, rekreacinei ar turizmo paskirčiai (hektarai)</w:t>
                        </w:r>
                      </w:p>
                    </w:tc>
                    <w:tc>
                      <w:tcPr>
                        <w:tcW w:w="1276" w:type="dxa"/>
                        <w:tcBorders>
                          <w:left w:val="single" w:sz="4" w:space="0" w:color="FFE8CB"/>
                          <w:right w:val="single" w:sz="4" w:space="0" w:color="FFE8CB"/>
                        </w:tcBorders>
                        <w:shd w:val="clear" w:color="auto" w:fill="auto"/>
                        <w:noWrap/>
                        <w:vAlign w:val="center"/>
                      </w:tcPr>
                      <w:p>
                        <w:pPr>
                          <w:jc w:val="both"/>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1</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color w:val="000000"/>
                            <w:sz w:val="20"/>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sz w:val="22"/>
                            <w:szCs w:val="22"/>
                          </w:rPr>
                          <w:t>10. Pažangos finansavimas Baisogalos dvare esančių kultūros paveldo objektų aktualizavimui ir pritaikymui kultūrinėms, edukacinėms ir visuomeninėms reikmėms. Arklidės su ratine remontas ir pritaikymas mokslinei, edukacinei ir kultūrinei veiklai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P-04-02-01-10</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Suremontuota ir pritaikyta mokslinei, edukacinei ir kultūrinei veiklai arklidė su ratine (vnt.)</w:t>
                        </w:r>
                      </w:p>
                    </w:tc>
                    <w:tc>
                      <w:tcPr>
                        <w:tcW w:w="1276" w:type="dxa"/>
                        <w:tcBorders>
                          <w:left w:val="single" w:sz="4" w:space="0" w:color="FFE8CB"/>
                          <w:right w:val="single" w:sz="4" w:space="0" w:color="FFE8CB"/>
                        </w:tcBorders>
                        <w:shd w:val="clear" w:color="auto" w:fill="auto"/>
                        <w:noWrap/>
                        <w:vAlign w:val="center"/>
                      </w:tcPr>
                      <w:p>
                        <w:pPr>
                          <w:jc w:val="both"/>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1</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sz w:val="22"/>
                            <w:szCs w:val="22"/>
                          </w:rPr>
                          <w:t>11. Pažangos finansavimas Radviliškio miesto Antaniškių miške esančio žemės sklypo, Vytauto Landsbergio - Žemkalnio 26, Radviliškio m., sutvarkymo ir pritaikymo lankymui techninio darbo projekto parengimui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P-04-02-01-11</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Parengtas techninis darbo projektas</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1</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shd w:val="clear" w:color="auto" w:fill="auto"/>
                        <w:vAlign w:val="center"/>
                      </w:tcPr>
                      <w:p>
                        <w:pPr>
                          <w:jc w:val="both"/>
                          <w:rPr>
                            <w:color w:val="000000"/>
                            <w:sz w:val="20"/>
                            <w:lang w:eastAsia="lt-LT"/>
                          </w:rPr>
                        </w:pPr>
                      </w:p>
                    </w:tc>
                    <w:tc>
                      <w:tcPr>
                        <w:tcW w:w="8930" w:type="dxa"/>
                        <w:gridSpan w:val="5"/>
                        <w:tcBorders>
                          <w:left w:val="single" w:sz="4" w:space="0" w:color="FFE8CB"/>
                          <w:right w:val="single" w:sz="4" w:space="0" w:color="FFE8CB"/>
                        </w:tcBorders>
                        <w:shd w:val="clear" w:color="auto" w:fill="auto"/>
                        <w:vAlign w:val="center"/>
                        <w:hideMark/>
                      </w:tcPr>
                      <w:p>
                        <w:pPr>
                          <w:jc w:val="both"/>
                          <w:rPr>
                            <w:bCs/>
                            <w:sz w:val="22"/>
                            <w:szCs w:val="22"/>
                          </w:rPr>
                        </w:pPr>
                        <w:r>
                          <w:rPr>
                            <w:color w:val="000000"/>
                            <w:lang w:eastAsia="lt-LT"/>
                          </w:rPr>
                          <w:t>4.2.2. Uždavinys „Didinti miesto ir kaimo gyvenamųjų erdvių ir kraštovaizdžio patrauklumą“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ind w:left="317" w:hanging="284"/>
                          <w:rPr>
                            <w:sz w:val="20"/>
                            <w:lang w:eastAsia="lt-LT"/>
                          </w:rPr>
                        </w:pPr>
                        <w:r>
                          <w:rPr>
                            <w:sz w:val="22"/>
                            <w:szCs w:val="22"/>
                            <w:lang w:eastAsia="lt-LT"/>
                          </w:rPr>
                          <w:t>2.</w:t>
                          <w:tab/>
                        </w:r>
                        <w:r>
                          <w:rPr>
                            <w:color w:val="000000"/>
                          </w:rPr>
                          <w:t>Priemonė</w:t>
                        </w:r>
                        <w:r>
                          <w:t xml:space="preserve"> „Pažangos finansavimas Alksniupių krašto skverui“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P-04-02-02-05</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 xml:space="preserve">Įrengtas Alksniupių krašto skveras,  </w:t>
                        </w:r>
                        <w:r>
                          <w:rPr>
                            <w:bCs/>
                            <w:sz w:val="20"/>
                          </w:rPr>
                          <w:t>vnt.</w:t>
                        </w:r>
                      </w:p>
                    </w:tc>
                    <w:tc>
                      <w:tcPr>
                        <w:tcW w:w="1276" w:type="dxa"/>
                        <w:tcBorders>
                          <w:left w:val="single" w:sz="4" w:space="0" w:color="FFE8CB"/>
                          <w:right w:val="single" w:sz="4" w:space="0" w:color="FFE8CB"/>
                        </w:tcBorders>
                        <w:shd w:val="clear" w:color="auto" w:fill="auto"/>
                        <w:noWrap/>
                        <w:vAlign w:val="center"/>
                      </w:tcPr>
                      <w:p>
                        <w:pPr>
                          <w:jc w:val="both"/>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1</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shd w:val="clear" w:color="auto" w:fill="auto"/>
                        <w:vAlign w:val="center"/>
                      </w:tcPr>
                      <w:p>
                        <w:pPr>
                          <w:jc w:val="both"/>
                          <w:rPr>
                            <w:color w:val="000000"/>
                            <w:sz w:val="20"/>
                            <w:lang w:eastAsia="lt-LT"/>
                          </w:rPr>
                        </w:pPr>
                      </w:p>
                    </w:tc>
                    <w:tc>
                      <w:tcPr>
                        <w:tcW w:w="8930" w:type="dxa"/>
                        <w:gridSpan w:val="5"/>
                        <w:tcBorders>
                          <w:left w:val="single" w:sz="4" w:space="0" w:color="FFE8CB"/>
                          <w:right w:val="single" w:sz="4" w:space="0" w:color="FFE8CB"/>
                        </w:tcBorders>
                        <w:shd w:val="clear" w:color="auto" w:fill="auto"/>
                        <w:vAlign w:val="center"/>
                        <w:hideMark/>
                      </w:tcPr>
                      <w:p>
                        <w:pPr>
                          <w:jc w:val="both"/>
                          <w:rPr>
                            <w:bCs/>
                            <w:sz w:val="22"/>
                            <w:szCs w:val="22"/>
                          </w:rPr>
                        </w:pPr>
                        <w:r>
                          <w:rPr>
                            <w:color w:val="000000"/>
                            <w:lang w:eastAsia="lt-LT"/>
                          </w:rPr>
                          <w:t>4.2.3. Uždavinys „Užtikrinti efektyvų viešąjį valdymą, gerinti paslaugų kokybę ir prieinamumą“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tabs>
                            <w:tab w:val="left" w:pos="317"/>
                          </w:tabs>
                          <w:ind w:left="33"/>
                          <w:rPr>
                            <w:lang w:eastAsia="lt-LT"/>
                          </w:rPr>
                        </w:pPr>
                        <w:r>
                          <w:rPr>
                            <w:lang w:eastAsia="lt-LT"/>
                          </w:rPr>
                          <w:t>1.</w:t>
                          <w:tab/>
                        </w:r>
                        <w:r>
                          <w:rPr>
                            <w:color w:val="000000"/>
                          </w:rPr>
                          <w:t>Priemonė</w:t>
                        </w:r>
                        <w:r>
                          <w:t xml:space="preserve"> „Pažangos finansavimas naujiems investiciniams projektams, galimybių studijoms, TP rengimui ir kitoms  paslaugoms“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sz w:val="20"/>
                          </w:rPr>
                        </w:pPr>
                        <w:r>
                          <w:rPr>
                            <w:bCs/>
                            <w:sz w:val="20"/>
                          </w:rPr>
                          <w:t>P-04-02-03-01</w:t>
                        </w:r>
                      </w:p>
                    </w:tc>
                    <w:tc>
                      <w:tcPr>
                        <w:tcW w:w="3685" w:type="dxa"/>
                        <w:tcBorders>
                          <w:left w:val="single" w:sz="4" w:space="0" w:color="FFE8CB"/>
                          <w:right w:val="single" w:sz="4" w:space="0" w:color="FFE8CB"/>
                        </w:tcBorders>
                        <w:shd w:val="clear" w:color="auto" w:fill="auto"/>
                        <w:vAlign w:val="center"/>
                        <w:hideMark/>
                      </w:tcPr>
                      <w:p>
                        <w:pPr>
                          <w:rPr>
                            <w:bCs/>
                            <w:sz w:val="22"/>
                            <w:szCs w:val="22"/>
                          </w:rPr>
                        </w:pPr>
                        <w:r>
                          <w:rPr>
                            <w:bCs/>
                            <w:sz w:val="22"/>
                            <w:szCs w:val="22"/>
                          </w:rPr>
                          <w:t xml:space="preserve">Parengtas naujas investicinis projektas, </w:t>
                        </w:r>
                        <w:r>
                          <w:rPr>
                            <w:bCs/>
                            <w:sz w:val="20"/>
                          </w:rPr>
                          <w:t>vnt.</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4</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4</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4</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shd w:val="clear" w:color="auto" w:fill="auto"/>
                        <w:vAlign w:val="center"/>
                      </w:tcPr>
                      <w:p>
                        <w:pPr>
                          <w:jc w:val="both"/>
                          <w:rPr>
                            <w:color w:val="000000"/>
                            <w:lang w:eastAsia="lt-LT"/>
                          </w:rPr>
                        </w:pPr>
                      </w:p>
                    </w:tc>
                    <w:tc>
                      <w:tcPr>
                        <w:tcW w:w="8930" w:type="dxa"/>
                        <w:gridSpan w:val="5"/>
                        <w:tcBorders>
                          <w:left w:val="single" w:sz="4" w:space="0" w:color="FFE8CB"/>
                          <w:right w:val="single" w:sz="4" w:space="0" w:color="FFE8CB"/>
                        </w:tcBorders>
                        <w:shd w:val="clear" w:color="auto" w:fill="auto"/>
                        <w:vAlign w:val="center"/>
                        <w:hideMark/>
                      </w:tcPr>
                      <w:p>
                        <w:pPr>
                          <w:jc w:val="both"/>
                          <w:rPr>
                            <w:bCs/>
                            <w:szCs w:val="24"/>
                          </w:rPr>
                        </w:pPr>
                        <w:r>
                          <w:rPr>
                            <w:color w:val="000000"/>
                            <w:szCs w:val="24"/>
                            <w:lang w:eastAsia="lt-LT"/>
                          </w:rPr>
                          <w:t>4.3.1. Uždavinys „Užtikrinti vienodas galimybes naudotis sveikatos priežiūros paslaugomis“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tabs>
                            <w:tab w:val="left" w:pos="317"/>
                          </w:tabs>
                          <w:ind w:left="33"/>
                          <w:rPr>
                            <w:sz w:val="20"/>
                          </w:rPr>
                        </w:pPr>
                        <w:r>
                          <w:rPr>
                            <w:sz w:val="20"/>
                          </w:rPr>
                          <w:t>3.</w:t>
                          <w:tab/>
                        </w:r>
                        <w:r>
                          <w:rPr>
                            <w:color w:val="000000"/>
                          </w:rPr>
                          <w:t>Priemonė</w:t>
                        </w:r>
                        <w:r>
                          <w:t xml:space="preserve"> „</w:t>
                        </w:r>
                        <w:r>
                          <w:rPr>
                            <w:bCs/>
                          </w:rPr>
                          <w:t>Pažangos finansavimas mobiliųjų komandų aprūpinimui įranga ir transporto priemonėmis Radviliškio rajone“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P-04-03-01-03</w:t>
                        </w:r>
                      </w:p>
                    </w:tc>
                    <w:tc>
                      <w:tcPr>
                        <w:tcW w:w="3685" w:type="dxa"/>
                        <w:tcBorders>
                          <w:left w:val="single" w:sz="4" w:space="0" w:color="FFE8CB"/>
                          <w:right w:val="single" w:sz="4" w:space="0" w:color="FFE8CB"/>
                        </w:tcBorders>
                        <w:shd w:val="clear" w:color="auto" w:fill="auto"/>
                        <w:vAlign w:val="center"/>
                      </w:tcPr>
                      <w:p>
                        <w:pPr>
                          <w:rPr>
                            <w:bCs/>
                            <w:color w:val="000000"/>
                            <w:sz w:val="22"/>
                            <w:szCs w:val="22"/>
                            <w:lang w:val="en-US"/>
                          </w:rPr>
                        </w:pPr>
                        <w:r>
                          <w:rPr>
                            <w:bCs/>
                            <w:color w:val="000000"/>
                            <w:sz w:val="22"/>
                            <w:szCs w:val="22"/>
                            <w:lang w:val="en-US"/>
                          </w:rPr>
                          <w:t xml:space="preserve">Naujos arba modernizuotos sveikatos priežiūros infrastruktūros naudotojų skaičius per metus (naudotojai per metus) </w:t>
                        </w:r>
                      </w:p>
                    </w:tc>
                    <w:tc>
                      <w:tcPr>
                        <w:tcW w:w="1276" w:type="dxa"/>
                        <w:tcBorders>
                          <w:left w:val="single" w:sz="4" w:space="0" w:color="FFE8CB"/>
                          <w:right w:val="single" w:sz="4" w:space="0" w:color="FFE8CB"/>
                        </w:tcBorders>
                        <w:shd w:val="clear" w:color="auto" w:fill="auto"/>
                        <w:noWrap/>
                        <w:vAlign w:val="center"/>
                      </w:tcPr>
                      <w:p>
                        <w:pPr>
                          <w:jc w:val="both"/>
                          <w:rPr>
                            <w:bCs/>
                            <w:sz w:val="20"/>
                          </w:rPr>
                        </w:pPr>
                      </w:p>
                    </w:tc>
                    <w:tc>
                      <w:tcPr>
                        <w:tcW w:w="1417"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p>
                    </w:tc>
                    <w:tc>
                      <w:tcPr>
                        <w:tcW w:w="1134"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sz w:val="20"/>
                          </w:rPr>
                          <w:t>640</w:t>
                        </w:r>
                      </w:p>
                    </w:tc>
                    <w:tc>
                      <w:tcPr>
                        <w:tcW w:w="1418"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sz w:val="20"/>
                          </w:rPr>
                          <w:t>Įnicijuotų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bCs/>
                            <w:sz w:val="22"/>
                            <w:szCs w:val="22"/>
                          </w:rPr>
                          <w:t xml:space="preserve">7. </w:t>
                        </w:r>
                        <w:r>
                          <w:rPr>
                            <w:color w:val="000000"/>
                            <w:sz w:val="22"/>
                            <w:szCs w:val="22"/>
                          </w:rPr>
                          <w:t>Priemonė</w:t>
                        </w:r>
                        <w:r>
                          <w:t xml:space="preserve"> „</w:t>
                        </w:r>
                        <w:r>
                          <w:rPr>
                            <w:bCs/>
                            <w:sz w:val="22"/>
                            <w:szCs w:val="22"/>
                          </w:rPr>
                          <w:t>Pažangos finansavimas psichiatrijos dienos stacionaro įkūrimui ir paslaugų plėtrai Radviliškio rajone“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P-04-03-01-07</w:t>
                        </w:r>
                      </w:p>
                    </w:tc>
                    <w:tc>
                      <w:tcPr>
                        <w:tcW w:w="3685" w:type="dxa"/>
                        <w:tcBorders>
                          <w:left w:val="single" w:sz="4" w:space="0" w:color="FFE8CB"/>
                          <w:right w:val="single" w:sz="4" w:space="0" w:color="FFE8CB"/>
                        </w:tcBorders>
                        <w:shd w:val="clear" w:color="auto" w:fill="auto"/>
                        <w:vAlign w:val="center"/>
                      </w:tcPr>
                      <w:p>
                        <w:pPr>
                          <w:rPr>
                            <w:bCs/>
                            <w:sz w:val="22"/>
                            <w:szCs w:val="22"/>
                          </w:rPr>
                        </w:pPr>
                        <w:r>
                          <w:rPr>
                            <w:bCs/>
                            <w:sz w:val="22"/>
                            <w:szCs w:val="22"/>
                          </w:rPr>
                          <w:t xml:space="preserve">Naujos arba modernizuotos sveikatos priežiūros infrastruktūros naudotojų skaičius per metus (naudotojai per metus) </w:t>
                        </w:r>
                      </w:p>
                    </w:tc>
                    <w:tc>
                      <w:tcPr>
                        <w:tcW w:w="1276" w:type="dxa"/>
                        <w:tcBorders>
                          <w:left w:val="single" w:sz="4" w:space="0" w:color="FFE8CB"/>
                          <w:right w:val="single" w:sz="4" w:space="0" w:color="FFE8CB"/>
                        </w:tcBorders>
                        <w:shd w:val="clear" w:color="auto" w:fill="auto"/>
                        <w:noWrap/>
                        <w:vAlign w:val="center"/>
                      </w:tcPr>
                      <w:p>
                        <w:pPr>
                          <w:jc w:val="both"/>
                          <w:rPr>
                            <w:bCs/>
                            <w:sz w:val="20"/>
                          </w:rPr>
                        </w:pPr>
                      </w:p>
                    </w:tc>
                    <w:tc>
                      <w:tcPr>
                        <w:tcW w:w="1417"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p>
                    </w:tc>
                    <w:tc>
                      <w:tcPr>
                        <w:tcW w:w="1134"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sz w:val="20"/>
                          </w:rPr>
                          <w:t>120</w:t>
                        </w:r>
                      </w:p>
                    </w:tc>
                    <w:tc>
                      <w:tcPr>
                        <w:tcW w:w="1418"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sz w:val="20"/>
                          </w:rPr>
                          <w:t>Įnicijuotų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Cs w:val="24"/>
                          </w:rPr>
                        </w:pPr>
                        <w:r>
                          <w:rPr>
                            <w:bCs/>
                            <w:szCs w:val="24"/>
                          </w:rPr>
                          <w:t>4.4.1. Uždavinys „Verslo aplinkos gerinimas ir konkurencingumo skatinimas“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bCs/>
                            <w:sz w:val="22"/>
                            <w:szCs w:val="22"/>
                          </w:rPr>
                          <w:t xml:space="preserve">2. </w:t>
                        </w:r>
                        <w:r>
                          <w:rPr>
                            <w:color w:val="000000"/>
                            <w:sz w:val="22"/>
                            <w:szCs w:val="22"/>
                          </w:rPr>
                          <w:t>Priemonė</w:t>
                        </w:r>
                        <w:r>
                          <w:t xml:space="preserve"> „</w:t>
                        </w:r>
                        <w:r>
                          <w:rPr>
                            <w:bCs/>
                            <w:sz w:val="22"/>
                            <w:szCs w:val="22"/>
                          </w:rPr>
                          <w:t>Pažangos projektas „Susisiekimo infrastruktūros privažiuojamojo kelio prie investicinių sklypų Vėriškių g. 63 ir Vėriškių g. 66, Šeduvos m. Radviliškio r. sav. tiesimas“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P-04-04-01-02</w:t>
                        </w:r>
                      </w:p>
                    </w:tc>
                    <w:tc>
                      <w:tcPr>
                        <w:tcW w:w="3685" w:type="dxa"/>
                        <w:tcBorders>
                          <w:left w:val="single" w:sz="4" w:space="0" w:color="FFE8CB"/>
                          <w:right w:val="single" w:sz="4" w:space="0" w:color="FFE8CB"/>
                        </w:tcBorders>
                        <w:shd w:val="clear" w:color="auto" w:fill="auto"/>
                        <w:vAlign w:val="center"/>
                      </w:tcPr>
                      <w:p>
                        <w:pPr>
                          <w:rPr>
                            <w:bCs/>
                            <w:sz w:val="22"/>
                            <w:szCs w:val="22"/>
                          </w:rPr>
                        </w:pPr>
                        <w:r>
                          <w:rPr>
                            <w:bCs/>
                            <w:sz w:val="22"/>
                            <w:szCs w:val="22"/>
                          </w:rPr>
                          <w:t>Nutiesta naujų kelių,</w:t>
                        </w:r>
                        <w:r>
                          <w:rPr>
                            <w:bCs/>
                            <w:sz w:val="20"/>
                          </w:rPr>
                          <w:t xml:space="preserve">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0,8</w:t>
                        </w:r>
                      </w:p>
                    </w:tc>
                    <w:tc>
                      <w:tcPr>
                        <w:tcW w:w="1417" w:type="dxa"/>
                        <w:tcBorders>
                          <w:left w:val="single" w:sz="4" w:space="0" w:color="FFE8CB"/>
                          <w:right w:val="single" w:sz="4" w:space="0" w:color="FFE8CB"/>
                        </w:tcBorders>
                        <w:shd w:val="clear" w:color="auto" w:fill="auto"/>
                        <w:noWrap/>
                        <w:vAlign w:val="center"/>
                      </w:tcPr>
                      <w:p>
                        <w:pPr>
                          <w:jc w:val="center"/>
                          <w:rPr>
                            <w:sz w:val="20"/>
                          </w:rPr>
                        </w:pPr>
                        <w:r>
                          <w:rPr>
                            <w:sz w:val="20"/>
                            <w:lang w:eastAsia="lt-LT"/>
                          </w:rPr>
                          <w:t>0,2</w:t>
                        </w:r>
                      </w:p>
                    </w:tc>
                    <w:tc>
                      <w:tcPr>
                        <w:tcW w:w="1134" w:type="dxa"/>
                        <w:tcBorders>
                          <w:left w:val="single" w:sz="4" w:space="0" w:color="FFE8CB"/>
                          <w:right w:val="single" w:sz="4" w:space="0" w:color="FFE8CB"/>
                        </w:tcBorders>
                        <w:shd w:val="clear" w:color="auto" w:fill="auto"/>
                        <w:noWrap/>
                        <w:vAlign w:val="center"/>
                      </w:tcPr>
                      <w:p>
                        <w:pPr>
                          <w:jc w:val="center"/>
                          <w:rPr>
                            <w:sz w:val="20"/>
                          </w:rPr>
                        </w:pPr>
                        <w:r>
                          <w:rPr>
                            <w:sz w:val="20"/>
                            <w:lang w:eastAsia="lt-LT"/>
                          </w:rPr>
                          <w:t>0,0</w:t>
                        </w:r>
                      </w:p>
                    </w:tc>
                    <w:tc>
                      <w:tcPr>
                        <w:tcW w:w="1418" w:type="dxa"/>
                        <w:tcBorders>
                          <w:left w:val="single" w:sz="4" w:space="0" w:color="FFE8CB"/>
                          <w:right w:val="single" w:sz="4" w:space="0" w:color="FFE8CB"/>
                        </w:tcBorders>
                        <w:shd w:val="clear" w:color="auto" w:fill="auto"/>
                        <w:noWrap/>
                        <w:vAlign w:val="center"/>
                      </w:tcPr>
                      <w:p>
                        <w:pPr>
                          <w:jc w:val="center"/>
                          <w:rPr>
                            <w:sz w:val="20"/>
                          </w:rPr>
                        </w:pPr>
                        <w:r>
                          <w:rPr>
                            <w:color w:val="000000"/>
                            <w:sz w:val="20"/>
                          </w:rPr>
                          <w:t>Patvirtintų naujų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color w:val="000000"/>
                            <w:sz w:val="22"/>
                            <w:szCs w:val="22"/>
                          </w:rPr>
                          <w:t>4</w:t>
                        </w:r>
                        <w:r>
                          <w:rPr>
                            <w:color w:val="000000"/>
                            <w:szCs w:val="24"/>
                          </w:rPr>
                          <w:t>.5.1. Uždavinys „Socialinės pagalbos prieinamumo didinimas, socialinės atsakomybės stiprinimas“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color w:val="000000"/>
                            <w:sz w:val="22"/>
                            <w:szCs w:val="22"/>
                          </w:rPr>
                          <w:t>2. Priemonė „Pažangos finansavimas socialinio būsto fondo plėtrai Radviliškio rajono savivaldybėje“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P-04-05-01-02</w:t>
                        </w:r>
                      </w:p>
                    </w:tc>
                    <w:tc>
                      <w:tcPr>
                        <w:tcW w:w="3685" w:type="dxa"/>
                        <w:tcBorders>
                          <w:left w:val="single" w:sz="4" w:space="0" w:color="FFE8CB"/>
                          <w:right w:val="single" w:sz="4" w:space="0" w:color="FFE8CB"/>
                        </w:tcBorders>
                        <w:shd w:val="clear" w:color="auto" w:fill="auto"/>
                        <w:vAlign w:val="center"/>
                      </w:tcPr>
                      <w:p>
                        <w:pPr>
                          <w:rPr>
                            <w:bCs/>
                            <w:sz w:val="22"/>
                            <w:szCs w:val="22"/>
                          </w:rPr>
                        </w:pPr>
                        <w:r>
                          <w:rPr>
                            <w:color w:val="000000"/>
                            <w:sz w:val="22"/>
                            <w:szCs w:val="22"/>
                          </w:rPr>
                          <w:t>Naujų arba modernizuotų socialinių būstų naudotojų skaičius per metus (asmenys)</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sz w:val="20"/>
                          </w:rPr>
                          <w:t>26</w:t>
                        </w:r>
                      </w:p>
                    </w:tc>
                    <w:tc>
                      <w:tcPr>
                        <w:tcW w:w="1417" w:type="dxa"/>
                        <w:tcBorders>
                          <w:left w:val="single" w:sz="4" w:space="0" w:color="FFE8CB"/>
                          <w:right w:val="single" w:sz="4" w:space="0" w:color="FFE8CB"/>
                        </w:tcBorders>
                        <w:shd w:val="clear" w:color="auto" w:fill="auto"/>
                        <w:noWrap/>
                        <w:vAlign w:val="center"/>
                      </w:tcPr>
                      <w:p>
                        <w:pPr>
                          <w:jc w:val="center"/>
                          <w:rPr>
                            <w:sz w:val="20"/>
                          </w:rPr>
                        </w:pPr>
                        <w:r>
                          <w:rPr>
                            <w:sz w:val="20"/>
                          </w:rPr>
                          <w:t>33</w:t>
                        </w:r>
                      </w:p>
                    </w:tc>
                    <w:tc>
                      <w:tcPr>
                        <w:tcW w:w="1134" w:type="dxa"/>
                        <w:tcBorders>
                          <w:left w:val="single" w:sz="4" w:space="0" w:color="FFE8CB"/>
                          <w:right w:val="single" w:sz="4" w:space="0" w:color="FFE8CB"/>
                        </w:tcBorders>
                        <w:shd w:val="clear" w:color="auto" w:fill="auto"/>
                        <w:noWrap/>
                        <w:vAlign w:val="center"/>
                      </w:tcPr>
                      <w:p>
                        <w:pPr>
                          <w:jc w:val="center"/>
                          <w:rPr>
                            <w:sz w:val="20"/>
                          </w:rPr>
                        </w:pPr>
                        <w:r>
                          <w:rPr>
                            <w:sz w:val="20"/>
                          </w:rPr>
                          <w:t>27</w:t>
                        </w:r>
                      </w:p>
                    </w:tc>
                    <w:tc>
                      <w:tcPr>
                        <w:tcW w:w="1418"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sz w:val="20"/>
                          </w:rPr>
                          <w:t>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bCs/>
                            <w:sz w:val="22"/>
                            <w:szCs w:val="22"/>
                          </w:rPr>
                          <w:t xml:space="preserve">3. </w:t>
                        </w:r>
                        <w:r>
                          <w:rPr>
                            <w:color w:val="000000"/>
                            <w:sz w:val="22"/>
                            <w:szCs w:val="22"/>
                          </w:rPr>
                          <w:t>Priemonė</w:t>
                        </w:r>
                        <w:r>
                          <w:t xml:space="preserve"> „</w:t>
                        </w:r>
                        <w:r>
                          <w:rPr>
                            <w:bCs/>
                            <w:sz w:val="22"/>
                            <w:szCs w:val="22"/>
                          </w:rPr>
                          <w:t>Pažangos finansavimas socialinio būsto fondo plėtrai“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bottom w:val="single" w:sz="4" w:space="0" w:color="FFE8CB"/>
                          <w:right w:val="single" w:sz="4" w:space="0" w:color="FFE8CB"/>
                        </w:tcBorders>
                        <w:shd w:val="clear" w:color="auto" w:fill="auto"/>
                        <w:vAlign w:val="center"/>
                      </w:tcPr>
                      <w:p>
                        <w:pPr>
                          <w:rPr>
                            <w:bCs/>
                            <w:sz w:val="20"/>
                          </w:rPr>
                        </w:pPr>
                        <w:r>
                          <w:rPr>
                            <w:bCs/>
                            <w:sz w:val="20"/>
                          </w:rPr>
                          <w:t>P-04-05-01-03</w:t>
                        </w:r>
                      </w:p>
                    </w:tc>
                    <w:tc>
                      <w:tcPr>
                        <w:tcW w:w="3685" w:type="dxa"/>
                        <w:tcBorders>
                          <w:left w:val="single" w:sz="4" w:space="0" w:color="FFE8CB"/>
                          <w:bottom w:val="single" w:sz="4" w:space="0" w:color="FFE8CB"/>
                          <w:right w:val="single" w:sz="4" w:space="0" w:color="FFE8CB"/>
                        </w:tcBorders>
                        <w:shd w:val="clear" w:color="auto" w:fill="auto"/>
                        <w:vAlign w:val="center"/>
                      </w:tcPr>
                      <w:p>
                        <w:pPr>
                          <w:rPr>
                            <w:bCs/>
                            <w:sz w:val="22"/>
                            <w:szCs w:val="22"/>
                          </w:rPr>
                        </w:pPr>
                        <w:r>
                          <w:rPr>
                            <w:color w:val="000000"/>
                            <w:sz w:val="22"/>
                            <w:szCs w:val="22"/>
                          </w:rPr>
                          <w:t>Naujų arba modernizuotų socialinių būstų naudotojų skaičius per metus (asmenys)</w:t>
                        </w:r>
                      </w:p>
                    </w:tc>
                    <w:tc>
                      <w:tcPr>
                        <w:tcW w:w="1276" w:type="dxa"/>
                        <w:tcBorders>
                          <w:left w:val="single" w:sz="4" w:space="0" w:color="FFE8CB"/>
                          <w:bottom w:val="single" w:sz="4" w:space="0" w:color="FFE8CB"/>
                          <w:right w:val="single" w:sz="4" w:space="0" w:color="FFE8CB"/>
                        </w:tcBorders>
                        <w:shd w:val="clear" w:color="auto" w:fill="auto"/>
                        <w:noWrap/>
                        <w:vAlign w:val="center"/>
                      </w:tcPr>
                      <w:p>
                        <w:pPr>
                          <w:jc w:val="center"/>
                          <w:rPr>
                            <w:bCs/>
                            <w:sz w:val="20"/>
                          </w:rPr>
                        </w:pPr>
                        <w:r>
                          <w:rPr>
                            <w:bCs/>
                            <w:sz w:val="20"/>
                          </w:rPr>
                          <w:t>4</w:t>
                        </w:r>
                      </w:p>
                    </w:tc>
                    <w:tc>
                      <w:tcPr>
                        <w:tcW w:w="1417" w:type="dxa"/>
                        <w:tcBorders>
                          <w:left w:val="single" w:sz="4" w:space="0" w:color="FFE8CB"/>
                          <w:bottom w:val="single" w:sz="4" w:space="0" w:color="FFE8CB"/>
                          <w:right w:val="single" w:sz="4" w:space="0" w:color="FFE8CB"/>
                        </w:tcBorders>
                        <w:shd w:val="clear" w:color="auto" w:fill="auto"/>
                        <w:noWrap/>
                        <w:vAlign w:val="center"/>
                      </w:tcPr>
                      <w:p>
                        <w:pPr>
                          <w:jc w:val="center"/>
                          <w:rPr>
                            <w:sz w:val="20"/>
                          </w:rPr>
                        </w:pPr>
                        <w:r>
                          <w:rPr>
                            <w:sz w:val="20"/>
                          </w:rPr>
                          <w:t>5</w:t>
                        </w:r>
                      </w:p>
                    </w:tc>
                    <w:tc>
                      <w:tcPr>
                        <w:tcW w:w="1134" w:type="dxa"/>
                        <w:tcBorders>
                          <w:left w:val="single" w:sz="4" w:space="0" w:color="FFE8CB"/>
                          <w:bottom w:val="single" w:sz="4" w:space="0" w:color="FFE8CB"/>
                          <w:right w:val="single" w:sz="4" w:space="0" w:color="FFE8CB"/>
                        </w:tcBorders>
                        <w:shd w:val="clear" w:color="auto" w:fill="auto"/>
                        <w:noWrap/>
                        <w:vAlign w:val="center"/>
                      </w:tcPr>
                      <w:p>
                        <w:pPr>
                          <w:jc w:val="center"/>
                          <w:rPr>
                            <w:sz w:val="20"/>
                          </w:rPr>
                        </w:pPr>
                        <w:r>
                          <w:rPr>
                            <w:sz w:val="20"/>
                          </w:rPr>
                          <w:t>5</w:t>
                        </w:r>
                      </w:p>
                    </w:tc>
                    <w:tc>
                      <w:tcPr>
                        <w:tcW w:w="1418" w:type="dxa"/>
                        <w:tcBorders>
                          <w:top w:val="single" w:sz="4" w:space="0" w:color="auto"/>
                          <w:left w:val="single" w:sz="4" w:space="0" w:color="FFE8CB"/>
                          <w:bottom w:val="single" w:sz="4" w:space="0" w:color="FFE8CB"/>
                          <w:right w:val="single" w:sz="4" w:space="0" w:color="FFE8CB"/>
                        </w:tcBorders>
                        <w:shd w:val="clear" w:color="auto" w:fill="auto"/>
                        <w:noWrap/>
                        <w:vAlign w:val="center"/>
                      </w:tcPr>
                      <w:p>
                        <w:pPr>
                          <w:jc w:val="center"/>
                          <w:rPr>
                            <w:sz w:val="20"/>
                          </w:rPr>
                        </w:pPr>
                        <w:r>
                          <w:rPr>
                            <w:sz w:val="20"/>
                          </w:rPr>
                          <w:t>Įgyvendintų priemonių skaičius, vnt.</w:t>
                        </w:r>
                      </w:p>
                    </w:tc>
                  </w:tr>
                </w:tbl>
                <w:p>
                  <w:pPr>
                    <w:ind w:firstLine="252"/>
                    <w:jc w:val="center"/>
                    <w:rPr>
                      <w:szCs w:val="24"/>
                    </w:rPr>
                  </w:pPr>
                </w:p>
                <w:p>
                  <w:pPr>
                    <w:jc w:val="center"/>
                    <w:rPr>
                      <w:b/>
                      <w:bCs/>
                      <w:szCs w:val="24"/>
                    </w:rPr>
                  </w:pPr>
                </w:p>
                <w:p/>
                <w:p>
                  <w:pPr>
                    <w:ind w:firstLine="709"/>
                    <w:jc w:val="both"/>
                  </w:pPr>
                  <w:r>
                    <w:rPr>
                      <w:szCs w:val="24"/>
                    </w:rPr>
                    <w:t xml:space="preserve">Programos Nr. 4 koordinatorius: Gintaras Pilypas, Investicijų ir turto valdymo skyriaus vedėjas, telefonas +370 422 69138, el. paštas </w:t>
                  </w:r>
                  <w:r>
                    <w:rPr>
                      <w:color w:val="000000"/>
                      <w:szCs w:val="24"/>
                      <w:u w:val="single"/>
                    </w:rPr>
                    <w:t>gintaras.pilypas@radviliskis.lt</w:t>
                  </w:r>
                </w:p>
                <w:p>
                  <w:pPr>
                    <w:ind w:firstLine="709"/>
                    <w:jc w:val="both"/>
                  </w:pPr>
                </w:p>
                <w:p>
                  <w:pPr>
                    <w:ind w:firstLine="709"/>
                    <w:jc w:val="both"/>
                    <w:rPr>
                      <w:szCs w:val="24"/>
                    </w:rPr>
                  </w:pPr>
                </w:p>
                <w:p>
                  <w:pPr>
                    <w:ind w:firstLine="709"/>
                    <w:jc w:val="both"/>
                    <w:rPr>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ind w:firstLine="62"/>
                          <w:jc w:val="center"/>
                          <w:rPr>
                            <w:b/>
                            <w:bCs/>
                            <w:color w:val="000000"/>
                            <w:szCs w:val="24"/>
                          </w:rPr>
                        </w:pPr>
                        <w:r>
                          <w:rPr>
                            <w:b/>
                            <w:bCs/>
                          </w:rPr>
                          <w:t xml:space="preserve">05  </w:t>
                        </w:r>
                        <w:r>
                          <w:rPr>
                            <w:b/>
                            <w:bCs/>
                            <w:szCs w:val="24"/>
                          </w:rPr>
                          <w:t xml:space="preserve">Gyventojų turiningo laisvalaikio užtikrinimo, bendruomeniškumo ir veiklumo skatinimo programa </w:t>
                        </w:r>
                      </w:p>
                    </w:tc>
                  </w:tr>
                </w:tbl>
                <w:p>
                  <w:pPr>
                    <w:tabs>
                      <w:tab w:val="center" w:pos="4153"/>
                      <w:tab w:val="right" w:pos="8306"/>
                    </w:tabs>
                    <w:ind w:firstLine="186"/>
                    <w:jc w:val="center"/>
                    <w:rPr>
                      <w:b/>
                      <w:bCs/>
                      <w:szCs w:val="24"/>
                    </w:rPr>
                  </w:pPr>
                </w:p>
                <w:p>
                  <w:pPr>
                    <w:rPr>
                      <w:b/>
                      <w:bCs/>
                    </w:rPr>
                  </w:pPr>
                </w:p>
              </w:sdtContent>
            </w:sdt>
            <w:sdt>
              <w:sdtPr>
                <w:alias w:val="poskyris"/>
                <w:tag w:val="part_908ae05b4c0040738c55bc0a2cddabe0"/>
                <w:lock w:val="sdtLocked"/>
                <w:richText/>
              </w:sdtPr>
              <w:sdtContent>
                <w:p>
                  <w:pPr>
                    <w:tabs>
                      <w:tab w:val="center" w:pos="4153"/>
                      <w:tab w:val="right" w:pos="8306"/>
                    </w:tabs>
                    <w:ind w:firstLine="248"/>
                    <w:jc w:val="center"/>
                    <w:rPr>
                      <w:b/>
                      <w:bCs/>
                      <w:szCs w:val="24"/>
                    </w:rPr>
                  </w:pPr>
                  <w:sdt>
                    <w:sdtPr>
                      <w:alias w:val="Pavadinimas"/>
                      <w:tag w:val="title_908ae05b4c0040738c55bc0a2cddabe0"/>
                      <w:lock w:val="sdtLocked"/>
                      <w:richText/>
                    </w:sdtPr>
                    <w:sdtContent>
                      <w:r>
                        <w:rPr>
                          <w:b/>
                          <w:bCs/>
                          <w:szCs w:val="24"/>
                        </w:rPr>
                        <w:t>Gyventojų turiningo laisvalaikio užtikrinimo, bendruomeniškumo ir veiklumo skatinimo programa ir jos uždaviniai</w:t>
                      </w:r>
                    </w:sdtContent>
                  </w:sdt>
                </w:p>
                <w:p>
                  <w:pPr>
                    <w:tabs>
                      <w:tab w:val="center" w:pos="4153"/>
                      <w:tab w:val="right" w:pos="8306"/>
                    </w:tabs>
                    <w:jc w:val="center"/>
                    <w:rPr>
                      <w:b/>
                      <w:bCs/>
                      <w:szCs w:val="24"/>
                    </w:rPr>
                  </w:pPr>
                </w:p>
                <w:p>
                  <w:pPr>
                    <w:tabs>
                      <w:tab w:val="center" w:pos="4153"/>
                      <w:tab w:val="right" w:pos="8306"/>
                    </w:tabs>
                    <w:jc w:val="center"/>
                    <w:rPr>
                      <w:b/>
                      <w:bCs/>
                      <w:szCs w:val="24"/>
                    </w:rPr>
                  </w:pPr>
                  <w:r>
                    <w:rPr>
                      <w:b/>
                      <w:sz w:val="20"/>
                      <w:szCs w:val="24"/>
                      <w:lang w:val="en-US"/>
                    </w:rPr>
                    <w:drawing>
                      <wp:inline distT="0" distB="0" distL="0" distR="0" wp14:anchorId="3120C565" wp14:editId="0B0C3C2D">
                        <wp:extent cx="6267450" cy="4057650"/>
                        <wp:effectExtent l="0" t="19050" r="19050" b="19050"/>
                        <wp:docPr id="3" name="Diagrama 3"/>
                        <wp:cNvGraphicFramePr/>
                        <a:graphic xmlns:a="http://schemas.openxmlformats.org/drawingml/2006/main">
                          <a:graphicData uri="http://schemas.openxmlformats.org/drawingml/2006/diagram">
                            <dgm:relIds xmlns:dgm="http://schemas.openxmlformats.org/drawingml/2006/diagram" r:dm="rId25" r:lo="rId26" r:qs="rId27" r:cs="rId28"/>
                          </a:graphicData>
                        </a:graphic>
                      </wp:inline>
                    </w:drawing>
                  </w:r>
                </w:p>
                <w:p>
                  <w:pPr>
                    <w:tabs>
                      <w:tab w:val="center" w:pos="4153"/>
                      <w:tab w:val="right" w:pos="8306"/>
                    </w:tabs>
                    <w:jc w:val="center"/>
                    <w:rPr>
                      <w:b/>
                      <w:bCs/>
                      <w:szCs w:val="24"/>
                    </w:rPr>
                  </w:pPr>
                </w:p>
                <w:tbl>
                  <w:tblPr>
                    <w:tblW w:w="998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941"/>
                    <w:gridCol w:w="3040"/>
                  </w:tblGrid>
                  <w:tr>
                    <w:trPr>
                      <w:jc w:val="center"/>
                    </w:trPr>
                    <w:tc>
                      <w:tcPr>
                        <w:tcW w:w="6941" w:type="dxa"/>
                        <w:shd w:val="clear" w:color="auto" w:fill="FFE8CB"/>
                      </w:tcPr>
                      <w:p>
                        <w:pPr>
                          <w:tabs>
                            <w:tab w:val="center" w:pos="4153"/>
                            <w:tab w:val="right" w:pos="8306"/>
                          </w:tabs>
                          <w:snapToGrid w:val="0"/>
                          <w:jc w:val="center"/>
                          <w:rPr>
                            <w:b/>
                            <w:szCs w:val="24"/>
                          </w:rPr>
                        </w:pPr>
                        <w:r>
                          <w:rPr>
                            <w:b/>
                            <w:szCs w:val="24"/>
                          </w:rPr>
                          <w:t>Programos vykdytojas</w:t>
                        </w:r>
                      </w:p>
                    </w:tc>
                    <w:tc>
                      <w:tcPr>
                        <w:tcW w:w="3040" w:type="dxa"/>
                        <w:shd w:val="clear" w:color="auto" w:fill="FFE8CB"/>
                      </w:tcPr>
                      <w:p>
                        <w:pPr>
                          <w:tabs>
                            <w:tab w:val="center" w:pos="4153"/>
                            <w:tab w:val="right" w:pos="8306"/>
                          </w:tabs>
                          <w:snapToGrid w:val="0"/>
                          <w:jc w:val="center"/>
                          <w:rPr>
                            <w:b/>
                            <w:bCs/>
                            <w:szCs w:val="24"/>
                          </w:rPr>
                        </w:pPr>
                        <w:r>
                          <w:rPr>
                            <w:b/>
                            <w:szCs w:val="24"/>
                          </w:rPr>
                          <w:t>Vykdytojo kodas</w:t>
                        </w:r>
                      </w:p>
                    </w:tc>
                  </w:tr>
                  <w:tr>
                    <w:trPr>
                      <w:jc w:val="center"/>
                    </w:trPr>
                    <w:tc>
                      <w:tcPr>
                        <w:tcW w:w="6941" w:type="dxa"/>
                      </w:tcPr>
                      <w:p>
                        <w:r>
                          <w:t>Radviliškio rajono savivaldybės administracija</w:t>
                        </w:r>
                      </w:p>
                    </w:tc>
                    <w:tc>
                      <w:tcPr>
                        <w:tcW w:w="3040" w:type="dxa"/>
                      </w:tcPr>
                      <w:p>
                        <w:pPr>
                          <w:jc w:val="center"/>
                          <w:rPr>
                            <w:szCs w:val="24"/>
                          </w:rPr>
                        </w:pPr>
                        <w:r>
                          <w:rPr>
                            <w:szCs w:val="24"/>
                          </w:rPr>
                          <w:t>188726247</w:t>
                        </w:r>
                      </w:p>
                    </w:tc>
                  </w:tr>
                  <w:tr>
                    <w:trPr>
                      <w:jc w:val="center"/>
                    </w:trPr>
                    <w:tc>
                      <w:tcPr>
                        <w:tcW w:w="6941" w:type="dxa"/>
                      </w:tcPr>
                      <w:p>
                        <w:r>
                          <w:t>Radviliškio rajono savivaldybės švietimo ir sporto paslaugų centras</w:t>
                        </w:r>
                      </w:p>
                    </w:tc>
                    <w:tc>
                      <w:tcPr>
                        <w:tcW w:w="3040" w:type="dxa"/>
                      </w:tcPr>
                      <w:p>
                        <w:pPr>
                          <w:jc w:val="center"/>
                        </w:pPr>
                        <w:r>
                          <w:t>302296387</w:t>
                        </w:r>
                      </w:p>
                    </w:tc>
                  </w:tr>
                  <w:tr>
                    <w:trPr>
                      <w:jc w:val="center"/>
                    </w:trPr>
                    <w:tc>
                      <w:tcPr>
                        <w:tcW w:w="6941" w:type="dxa"/>
                      </w:tcPr>
                      <w:p>
                        <w:r>
                          <w:t>Radviliškio plaukimo baseinas</w:t>
                        </w:r>
                      </w:p>
                    </w:tc>
                    <w:tc>
                      <w:tcPr>
                        <w:tcW w:w="3040" w:type="dxa"/>
                      </w:tcPr>
                      <w:p>
                        <w:pPr>
                          <w:jc w:val="center"/>
                        </w:pPr>
                        <w:r>
                          <w:t>304516775</w:t>
                        </w:r>
                      </w:p>
                    </w:tc>
                  </w:tr>
                  <w:tr>
                    <w:trPr>
                      <w:jc w:val="center"/>
                    </w:trPr>
                    <w:tc>
                      <w:tcPr>
                        <w:tcW w:w="6941" w:type="dxa"/>
                      </w:tcPr>
                      <w:p>
                        <w:pPr>
                          <w:rPr>
                            <w:color w:val="000000"/>
                            <w:szCs w:val="24"/>
                          </w:rPr>
                        </w:pPr>
                        <w:r>
                          <w:rPr>
                            <w:color w:val="000000"/>
                            <w:szCs w:val="24"/>
                          </w:rPr>
                          <w:t>Radviliškio miesto kultūros centras</w:t>
                        </w:r>
                      </w:p>
                    </w:tc>
                    <w:tc>
                      <w:tcPr>
                        <w:tcW w:w="3040" w:type="dxa"/>
                      </w:tcPr>
                      <w:p>
                        <w:pPr>
                          <w:jc w:val="center"/>
                          <w:rPr>
                            <w:color w:val="000000"/>
                            <w:szCs w:val="24"/>
                          </w:rPr>
                        </w:pPr>
                        <w:r>
                          <w:rPr>
                            <w:bCs/>
                            <w:color w:val="000000"/>
                            <w:szCs w:val="24"/>
                          </w:rPr>
                          <w:t>188209029</w:t>
                        </w:r>
                      </w:p>
                    </w:tc>
                  </w:tr>
                  <w:tr>
                    <w:trPr>
                      <w:jc w:val="center"/>
                    </w:trPr>
                    <w:tc>
                      <w:tcPr>
                        <w:tcW w:w="6941" w:type="dxa"/>
                      </w:tcPr>
                      <w:p>
                        <w:r>
                          <w:rPr>
                            <w:bCs/>
                          </w:rPr>
                          <w:t>Radviliškio rajono savivaldybės viešoji biblioteka</w:t>
                        </w:r>
                      </w:p>
                    </w:tc>
                    <w:tc>
                      <w:tcPr>
                        <w:tcW w:w="3040" w:type="dxa"/>
                      </w:tcPr>
                      <w:p>
                        <w:pPr>
                          <w:jc w:val="center"/>
                          <w:rPr>
                            <w:color w:val="000000"/>
                            <w:szCs w:val="24"/>
                          </w:rPr>
                        </w:pPr>
                        <w:r>
                          <w:rPr>
                            <w:bCs/>
                            <w:color w:val="000000"/>
                            <w:szCs w:val="24"/>
                          </w:rPr>
                          <w:t>190669757</w:t>
                        </w:r>
                      </w:p>
                    </w:tc>
                  </w:tr>
                  <w:tr>
                    <w:trPr>
                      <w:jc w:val="center"/>
                    </w:trPr>
                    <w:tc>
                      <w:tcPr>
                        <w:tcW w:w="6941" w:type="dxa"/>
                      </w:tcPr>
                      <w:p>
                        <w:r>
                          <w:rPr>
                            <w:bCs/>
                          </w:rPr>
                          <w:t>Daugyvenės kultūros istorijos muziejus-draustinis</w:t>
                        </w:r>
                      </w:p>
                    </w:tc>
                    <w:tc>
                      <w:tcPr>
                        <w:tcW w:w="3040" w:type="dxa"/>
                      </w:tcPr>
                      <w:p>
                        <w:pPr>
                          <w:jc w:val="center"/>
                          <w:rPr>
                            <w:color w:val="000000"/>
                            <w:szCs w:val="24"/>
                          </w:rPr>
                        </w:pPr>
                        <w:r>
                          <w:rPr>
                            <w:bCs/>
                            <w:color w:val="000000"/>
                            <w:szCs w:val="24"/>
                          </w:rPr>
                          <w:t>188208646</w:t>
                        </w:r>
                      </w:p>
                    </w:tc>
                  </w:tr>
                  <w:tr>
                    <w:trPr>
                      <w:jc w:val="center"/>
                    </w:trPr>
                    <w:tc>
                      <w:tcPr>
                        <w:tcW w:w="6941" w:type="dxa"/>
                      </w:tcPr>
                      <w:p>
                        <w:pPr>
                          <w:rPr>
                            <w:bCs/>
                          </w:rPr>
                        </w:pPr>
                        <w:r>
                          <w:rPr>
                            <w:bCs/>
                          </w:rPr>
                          <w:t>Radviliškio rajono etninės kultūros ir amatų centras</w:t>
                        </w:r>
                      </w:p>
                    </w:tc>
                    <w:tc>
                      <w:tcPr>
                        <w:tcW w:w="3040" w:type="dxa"/>
                      </w:tcPr>
                      <w:p>
                        <w:pPr>
                          <w:jc w:val="center"/>
                          <w:rPr>
                            <w:bCs/>
                            <w:color w:val="000000"/>
                            <w:szCs w:val="24"/>
                          </w:rPr>
                        </w:pPr>
                        <w:r>
                          <w:rPr>
                            <w:bCs/>
                            <w:color w:val="000000"/>
                            <w:szCs w:val="24"/>
                          </w:rPr>
                          <w:t>302644114</w:t>
                        </w:r>
                      </w:p>
                    </w:tc>
                  </w:tr>
                  <w:tr>
                    <w:trPr>
                      <w:jc w:val="center"/>
                    </w:trPr>
                    <w:tc>
                      <w:tcPr>
                        <w:tcW w:w="6941" w:type="dxa"/>
                      </w:tcPr>
                      <w:p>
                        <w:pPr>
                          <w:rPr>
                            <w:bCs/>
                          </w:rPr>
                        </w:pPr>
                        <w:r>
                          <w:rPr>
                            <w:bCs/>
                          </w:rPr>
                          <w:t>Šeduvos kultūros ir amatų centras</w:t>
                        </w:r>
                      </w:p>
                    </w:tc>
                    <w:tc>
                      <w:tcPr>
                        <w:tcW w:w="3040" w:type="dxa"/>
                      </w:tcPr>
                      <w:p>
                        <w:pPr>
                          <w:jc w:val="center"/>
                          <w:rPr>
                            <w:bCs/>
                            <w:color w:val="000000"/>
                            <w:szCs w:val="24"/>
                          </w:rPr>
                        </w:pPr>
                        <w:r>
                          <w:rPr>
                            <w:bCs/>
                            <w:color w:val="000000"/>
                            <w:szCs w:val="24"/>
                          </w:rPr>
                          <w:t>303213615</w:t>
                        </w:r>
                      </w:p>
                    </w:tc>
                  </w:tr>
                  <w:tr>
                    <w:trPr>
                      <w:jc w:val="center"/>
                    </w:trPr>
                    <w:tc>
                      <w:tcPr>
                        <w:tcW w:w="6941" w:type="dxa"/>
                      </w:tcPr>
                      <w:p>
                        <w:pPr>
                          <w:rPr>
                            <w:bCs/>
                          </w:rPr>
                        </w:pPr>
                        <w:r>
                          <w:rPr>
                            <w:bCs/>
                          </w:rPr>
                          <w:t>Radviliškio r. Baisogalos kultūros centras</w:t>
                        </w:r>
                      </w:p>
                    </w:tc>
                    <w:tc>
                      <w:tcPr>
                        <w:tcW w:w="3040" w:type="dxa"/>
                      </w:tcPr>
                      <w:p>
                        <w:pPr>
                          <w:jc w:val="center"/>
                          <w:rPr>
                            <w:bCs/>
                            <w:color w:val="000000"/>
                            <w:szCs w:val="24"/>
                          </w:rPr>
                        </w:pPr>
                        <w:r>
                          <w:rPr>
                            <w:bCs/>
                            <w:color w:val="000000"/>
                            <w:szCs w:val="24"/>
                          </w:rPr>
                          <w:t>304523588</w:t>
                        </w:r>
                      </w:p>
                    </w:tc>
                  </w:tr>
                  <w:tr>
                    <w:trPr>
                      <w:jc w:val="center"/>
                    </w:trPr>
                    <w:tc>
                      <w:tcPr>
                        <w:tcW w:w="6941" w:type="dxa"/>
                      </w:tcPr>
                      <w:p>
                        <w:pPr>
                          <w:rPr>
                            <w:bCs/>
                          </w:rPr>
                        </w:pPr>
                        <w:r>
                          <w:t>Radviliškio turizmo informacijos centras</w:t>
                        </w:r>
                      </w:p>
                    </w:tc>
                    <w:tc>
                      <w:tcPr>
                        <w:tcW w:w="3040" w:type="dxa"/>
                      </w:tcPr>
                      <w:p>
                        <w:pPr>
                          <w:jc w:val="center"/>
                          <w:rPr>
                            <w:bCs/>
                            <w:color w:val="000000"/>
                            <w:szCs w:val="24"/>
                          </w:rPr>
                        </w:pPr>
                        <w:r>
                          <w:rPr>
                            <w:color w:val="000000"/>
                            <w:szCs w:val="24"/>
                            <w:lang w:val="en-US"/>
                          </w:rPr>
                          <w:t>306059866</w:t>
                        </w:r>
                      </w:p>
                    </w:tc>
                  </w:tr>
                  <w:tr>
                    <w:trPr>
                      <w:jc w:val="center"/>
                    </w:trPr>
                    <w:tc>
                      <w:tcPr>
                        <w:tcW w:w="6941" w:type="dxa"/>
                        <w:vAlign w:val="bottom"/>
                      </w:tcPr>
                      <w:p>
                        <w:pPr>
                          <w:rPr>
                            <w:szCs w:val="24"/>
                          </w:rPr>
                        </w:pPr>
                        <w:r>
                          <w:rPr>
                            <w:color w:val="000000"/>
                            <w:szCs w:val="24"/>
                          </w:rPr>
                          <w:t>Kutiškių universalus daugiafunkcis centras</w:t>
                        </w:r>
                      </w:p>
                    </w:tc>
                    <w:tc>
                      <w:tcPr>
                        <w:tcW w:w="3040" w:type="dxa"/>
                        <w:vAlign w:val="bottom"/>
                      </w:tcPr>
                      <w:p>
                        <w:pPr>
                          <w:jc w:val="center"/>
                          <w:rPr>
                            <w:color w:val="000000"/>
                            <w:szCs w:val="24"/>
                            <w:lang w:val="en-US"/>
                          </w:rPr>
                        </w:pPr>
                        <w:r>
                          <w:rPr>
                            <w:color w:val="000000"/>
                            <w:szCs w:val="24"/>
                          </w:rPr>
                          <w:t>302540140</w:t>
                        </w:r>
                      </w:p>
                    </w:tc>
                  </w:tr>
                </w:tbl>
                <w:p>
                  <w:pPr>
                    <w:tabs>
                      <w:tab w:val="center" w:pos="4153"/>
                      <w:tab w:val="right" w:pos="8306"/>
                    </w:tabs>
                    <w:jc w:val="center"/>
                    <w:rPr>
                      <w:b/>
                      <w:bCs/>
                      <w:szCs w:val="24"/>
                    </w:rPr>
                  </w:pPr>
                </w:p>
                <w:p>
                  <w:pPr>
                    <w:rPr>
                      <w:b/>
                      <w:strike/>
                    </w:rPr>
                  </w:pPr>
                </w:p>
                <w:tbl>
                  <w:tblPr>
                    <w:tblW w:w="1006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10063"/>
                  </w:tblGrid>
                  <w:tr>
                    <w:trPr>
                      <w:cantSplit/>
                      <w:trHeight w:val="1094"/>
                      <w:jc w:val="center"/>
                    </w:trPr>
                    <w:tc>
                      <w:tcPr>
                        <w:tcW w:w="10063" w:type="dxa"/>
                      </w:tcPr>
                      <w:p>
                        <w:pPr>
                          <w:ind w:firstLine="731"/>
                          <w:rPr>
                            <w:b/>
                          </w:rPr>
                        </w:pPr>
                        <w:r>
                          <w:rPr>
                            <w:b/>
                          </w:rPr>
                          <w:t>Programos parengimo argumentai</w:t>
                        </w:r>
                      </w:p>
                      <w:p>
                        <w:pPr>
                          <w:ind w:firstLine="731"/>
                          <w:rPr>
                            <w:b/>
                          </w:rPr>
                        </w:pPr>
                        <w:r>
                          <w:rPr>
                            <w:szCs w:val="24"/>
                          </w:rPr>
                          <w:t>Programa parengta siekiant realizuoti Lietuvos Respublikos vietos savivaldos įstatymu nustatytų savarankiškų savivaldybių funkcijų vykdymą. Tai –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 kraštovaizdžio, nekilnojamųjų kultūros vertybių ir savivaldybės įsteigtų saugomų teritorijų tvarkymas ir apsauga; sąlygų verslo ir turizmo plėtrai sudarymas ir šios veiklos skatinimas; informacinės visuomenės plėtros įgyvendinimas; dalyvavimas sprendžiant gyventojų užimtumo, kvalifikacijos įgijimo ir perkvalifikavimo klausimus.</w:t>
                        </w:r>
                      </w:p>
                    </w:tc>
                  </w:tr>
                </w:tbl>
                <w:p/>
                <w:tbl>
                  <w:tblPr>
                    <w:tblW w:w="1005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053"/>
                  </w:tblGrid>
                  <w:tr>
                    <w:trPr>
                      <w:jc w:val="center"/>
                    </w:trPr>
                    <w:tc>
                      <w:tcPr>
                        <w:tcW w:w="10053" w:type="dxa"/>
                      </w:tcPr>
                      <w:p>
                        <w:pPr>
                          <w:ind w:firstLine="731"/>
                          <w:rPr>
                            <w:b/>
                          </w:rPr>
                        </w:pPr>
                        <w:r>
                          <w:rPr>
                            <w:b/>
                          </w:rPr>
                          <w:t>Numatomas programos įgyvendinimo rezultatas:</w:t>
                        </w:r>
                      </w:p>
                      <w:p>
                        <w:pPr>
                          <w:ind w:firstLine="731"/>
                          <w:rPr>
                            <w:b/>
                          </w:rPr>
                        </w:pPr>
                        <w:r>
                          <w:t>Įgyvendinus programoje suplanuotus siekius, rajono savivaldybės gyventojai turės palankias sąlygas turiningai praleisti laisvalaikį, įgyvendinti bendruomenės kultūrines ir sporto iniciatyvas. Padaugės gyventojų, įsitraukusių į kultūros ir sporto veiklas. Padaugės verslo besiimančių ir sėkmingai jį plėtojančių gyventojų, pagerės darbo rinkos situacija.</w:t>
                        </w:r>
                      </w:p>
                    </w:tc>
                  </w:tr>
                </w:tbl>
                <w:p>
                  <w:pPr>
                    <w:rPr>
                      <w:b/>
                      <w:bCs/>
                    </w:rPr>
                  </w:pPr>
                </w:p>
              </w:sdtContent>
            </w:sdt>
            <w:sdt>
              <w:sdtPr>
                <w:alias w:val="poskyris"/>
                <w:tag w:val="part_7d82b41e97e8455da23e46155fa4c160"/>
                <w:lock w:val="sdtLocked"/>
                <w:richText/>
              </w:sdtPr>
              <w:sdtContent>
                <w:p>
                  <w:pPr>
                    <w:jc w:val="center"/>
                    <w:rPr>
                      <w:b/>
                      <w:bCs/>
                      <w:szCs w:val="24"/>
                    </w:rPr>
                  </w:pPr>
                  <w:sdt>
                    <w:sdtPr>
                      <w:alias w:val="Pavadinimas"/>
                      <w:tag w:val="title_7d82b41e97e8455da23e46155fa4c160"/>
                      <w:lock w:val="sdtLocked"/>
                      <w:richText/>
                    </w:sdtPr>
                    <w:sdtContent>
                      <w:r>
                        <w:rPr>
                          <w:b/>
                          <w:bCs/>
                          <w:szCs w:val="24"/>
                        </w:rPr>
                        <w:t>Programos uždaviniai, priemonės ir jų stebėsenos rodikliai</w:t>
                      </w:r>
                    </w:sdtContent>
                  </w:sdt>
                </w:p>
                <w:tbl>
                  <w:tblPr>
                    <w:tblW w:w="4937" w:type="pct"/>
                    <w:tblInd w:w="113"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340"/>
                    <w:gridCol w:w="4419"/>
                    <w:gridCol w:w="944"/>
                    <w:gridCol w:w="1059"/>
                    <w:gridCol w:w="995"/>
                    <w:gridCol w:w="1567"/>
                  </w:tblGrid>
                  <w:tr>
                    <w:trPr>
                      <w:trHeight w:val="230"/>
                      <w:tblHeader/>
                    </w:trPr>
                    <w:tc>
                      <w:tcPr>
                        <w:tcW w:w="649"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140"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452"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9" w:type="pct"/>
                        <w:vMerge w:val="restart"/>
                        <w:shd w:val="clear" w:color="auto" w:fill="FFE8CB"/>
                      </w:tcPr>
                      <w:p>
                        <w:pPr>
                          <w:spacing w:line="256" w:lineRule="auto"/>
                          <w:jc w:val="center"/>
                          <w:rPr>
                            <w:b/>
                            <w:bCs/>
                            <w:lang w:eastAsia="lt-LT"/>
                          </w:rPr>
                        </w:pPr>
                        <w:r>
                          <w:rPr>
                            <w:b/>
                            <w:bCs/>
                            <w:lang w:eastAsia="lt-LT"/>
                          </w:rPr>
                          <w:t>Savivaldybės strateginio plėtros plano rodiklis</w:t>
                        </w:r>
                      </w:p>
                    </w:tc>
                  </w:tr>
                  <w:tr>
                    <w:trPr>
                      <w:trHeight w:val="230"/>
                      <w:tblHeader/>
                    </w:trPr>
                    <w:tc>
                      <w:tcPr>
                        <w:tcW w:w="649" w:type="pct"/>
                        <w:vMerge/>
                        <w:shd w:val="clear" w:color="auto" w:fill="FFE8CB"/>
                        <w:vAlign w:val="center"/>
                        <w:hideMark/>
                      </w:tcPr>
                      <w:p>
                        <w:pPr>
                          <w:spacing w:line="256" w:lineRule="auto"/>
                          <w:rPr>
                            <w:b/>
                            <w:bCs/>
                            <w:lang w:eastAsia="lt-LT"/>
                          </w:rPr>
                        </w:pPr>
                      </w:p>
                    </w:tc>
                    <w:tc>
                      <w:tcPr>
                        <w:tcW w:w="2140" w:type="pct"/>
                        <w:vMerge/>
                        <w:shd w:val="clear" w:color="auto" w:fill="FFE8CB"/>
                        <w:vAlign w:val="center"/>
                        <w:hideMark/>
                      </w:tcPr>
                      <w:p>
                        <w:pPr>
                          <w:spacing w:line="256" w:lineRule="auto"/>
                          <w:rPr>
                            <w:b/>
                            <w:bCs/>
                            <w:color w:val="000000"/>
                            <w:lang w:eastAsia="lt-LT"/>
                          </w:rPr>
                        </w:pPr>
                      </w:p>
                    </w:tc>
                    <w:tc>
                      <w:tcPr>
                        <w:tcW w:w="457"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513"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482"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759" w:type="pct"/>
                        <w:vMerge/>
                        <w:shd w:val="clear" w:color="auto" w:fill="FFE8CB"/>
                      </w:tcPr>
                      <w:p>
                        <w:pPr>
                          <w:spacing w:line="256" w:lineRule="auto"/>
                          <w:jc w:val="center"/>
                          <w:rPr>
                            <w:b/>
                            <w:bCs/>
                            <w:i/>
                            <w:lang w:eastAsia="lt-LT"/>
                          </w:rPr>
                        </w:pPr>
                      </w:p>
                    </w:tc>
                  </w:tr>
                  <w:tr>
                    <w:trPr>
                      <w:trHeight w:val="42"/>
                      <w:tblHeader/>
                    </w:trPr>
                    <w:tc>
                      <w:tcPr>
                        <w:tcW w:w="649"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140"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57"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51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48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759" w:type="pct"/>
                        <w:shd w:val="clear" w:color="auto" w:fill="FFE8CB"/>
                      </w:tcPr>
                      <w:p>
                        <w:pPr>
                          <w:spacing w:line="256" w:lineRule="auto"/>
                          <w:jc w:val="center"/>
                          <w:rPr>
                            <w:lang w:eastAsia="lt-LT"/>
                          </w:rPr>
                        </w:pPr>
                        <w:r>
                          <w:rPr>
                            <w:lang w:eastAsia="lt-LT"/>
                          </w:rPr>
                          <w:t>6</w:t>
                        </w:r>
                      </w:p>
                    </w:tc>
                  </w:tr>
                  <w:tr>
                    <w:tc>
                      <w:tcPr>
                        <w:tcW w:w="649" w:type="pct"/>
                        <w:tcMar>
                          <w:top w:w="28" w:type="dxa"/>
                          <w:left w:w="57" w:type="dxa"/>
                          <w:bottom w:w="28" w:type="dxa"/>
                          <w:right w:w="57" w:type="dxa"/>
                        </w:tcMar>
                      </w:tcPr>
                      <w:p>
                        <w:pPr>
                          <w:spacing w:line="256" w:lineRule="auto"/>
                          <w:rPr>
                            <w:sz w:val="20"/>
                            <w:lang w:eastAsia="lt-LT"/>
                          </w:rPr>
                        </w:pPr>
                      </w:p>
                    </w:tc>
                    <w:tc>
                      <w:tcPr>
                        <w:tcW w:w="2140" w:type="pct"/>
                        <w:tcMar>
                          <w:top w:w="28" w:type="dxa"/>
                          <w:left w:w="57" w:type="dxa"/>
                          <w:bottom w:w="28" w:type="dxa"/>
                          <w:right w:w="57" w:type="dxa"/>
                        </w:tcMar>
                        <w:hideMark/>
                      </w:tcPr>
                      <w:p>
                        <w:pPr>
                          <w:spacing w:line="256" w:lineRule="auto"/>
                          <w:rPr>
                            <w:sz w:val="20"/>
                            <w:lang w:eastAsia="lt-LT"/>
                          </w:rPr>
                        </w:pPr>
                        <w:r>
                          <w:rPr>
                            <w:bCs/>
                            <w:sz w:val="20"/>
                          </w:rPr>
                          <w:t>Visuomenės įtraukimas į kultūros sektoriaus plėtrą organizuojant viešas diskusijas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140" w:type="pct"/>
                        <w:tcMar>
                          <w:top w:w="28" w:type="dxa"/>
                          <w:left w:w="57" w:type="dxa"/>
                          <w:bottom w:w="28" w:type="dxa"/>
                          <w:right w:w="57" w:type="dxa"/>
                        </w:tcMar>
                        <w:hideMark/>
                      </w:tcPr>
                      <w:p>
                        <w:pPr>
                          <w:spacing w:line="256" w:lineRule="auto"/>
                          <w:rPr>
                            <w:bCs/>
                            <w:sz w:val="20"/>
                          </w:rPr>
                        </w:pPr>
                        <w:r>
                          <w:rPr>
                            <w:sz w:val="20"/>
                          </w:rPr>
                          <w:t>Suorganizuotų renginių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lang w:eastAsia="lt-LT"/>
                          </w:rPr>
                        </w:pPr>
                      </w:p>
                    </w:tc>
                    <w:tc>
                      <w:tcPr>
                        <w:tcW w:w="2140" w:type="pct"/>
                        <w:tcMar>
                          <w:top w:w="28" w:type="dxa"/>
                          <w:left w:w="57" w:type="dxa"/>
                          <w:bottom w:w="28" w:type="dxa"/>
                          <w:right w:w="57" w:type="dxa"/>
                        </w:tcMar>
                        <w:hideMark/>
                      </w:tcPr>
                      <w:p>
                        <w:pPr>
                          <w:spacing w:line="256" w:lineRule="auto"/>
                          <w:rPr>
                            <w:sz w:val="20"/>
                            <w:lang w:eastAsia="lt-LT"/>
                          </w:rPr>
                        </w:pPr>
                        <w:r>
                          <w:rPr>
                            <w:bCs/>
                            <w:sz w:val="20"/>
                          </w:rPr>
                          <w:t>Jaunimo įtraukimas į kultūrines veiklas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140" w:type="pct"/>
                        <w:tcMar>
                          <w:top w:w="28" w:type="dxa"/>
                          <w:left w:w="57" w:type="dxa"/>
                          <w:bottom w:w="28" w:type="dxa"/>
                          <w:right w:w="57" w:type="dxa"/>
                        </w:tcMar>
                        <w:hideMark/>
                      </w:tcPr>
                      <w:p>
                        <w:pPr>
                          <w:spacing w:line="256" w:lineRule="auto"/>
                          <w:rPr>
                            <w:sz w:val="20"/>
                            <w:lang w:eastAsia="lt-LT"/>
                          </w:rPr>
                        </w:pPr>
                        <w:r>
                          <w:rPr>
                            <w:sz w:val="20"/>
                          </w:rPr>
                          <w:t>Įgyvendintų projektų, iniciatyvų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6</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7</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8</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lang w:eastAsia="lt-LT"/>
                          </w:rPr>
                        </w:pPr>
                      </w:p>
                    </w:tc>
                    <w:tc>
                      <w:tcPr>
                        <w:tcW w:w="2140" w:type="pct"/>
                        <w:tcMar>
                          <w:top w:w="28" w:type="dxa"/>
                          <w:left w:w="57" w:type="dxa"/>
                          <w:bottom w:w="28" w:type="dxa"/>
                          <w:right w:w="57" w:type="dxa"/>
                        </w:tcMar>
                        <w:hideMark/>
                      </w:tcPr>
                      <w:p>
                        <w:pPr>
                          <w:spacing w:line="256" w:lineRule="auto"/>
                          <w:rPr>
                            <w:sz w:val="20"/>
                            <w:lang w:eastAsia="lt-LT"/>
                          </w:rPr>
                        </w:pPr>
                        <w:r>
                          <w:rPr>
                            <w:bCs/>
                            <w:sz w:val="20"/>
                          </w:rPr>
                          <w:t>Kūrybinio bendradarbiavimo tarp verslo ir meno atstovų skatinimas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140" w:type="pct"/>
                        <w:tcMar>
                          <w:top w:w="28" w:type="dxa"/>
                          <w:left w:w="57" w:type="dxa"/>
                          <w:bottom w:w="28" w:type="dxa"/>
                          <w:right w:w="57" w:type="dxa"/>
                        </w:tcMar>
                        <w:hideMark/>
                      </w:tcPr>
                      <w:p>
                        <w:pPr>
                          <w:spacing w:line="256" w:lineRule="auto"/>
                          <w:rPr>
                            <w:sz w:val="20"/>
                            <w:lang w:eastAsia="lt-LT"/>
                          </w:rPr>
                        </w:pPr>
                        <w:r>
                          <w:rPr>
                            <w:sz w:val="20"/>
                          </w:rPr>
                          <w:t>Įgyvendintų bendrų iniciatyvų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3</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lang w:eastAsia="lt-LT"/>
                          </w:rPr>
                        </w:pPr>
                      </w:p>
                    </w:tc>
                    <w:tc>
                      <w:tcPr>
                        <w:tcW w:w="2140" w:type="pct"/>
                        <w:tcMar>
                          <w:top w:w="28" w:type="dxa"/>
                          <w:left w:w="57" w:type="dxa"/>
                          <w:bottom w:w="28" w:type="dxa"/>
                          <w:right w:w="57" w:type="dxa"/>
                        </w:tcMar>
                        <w:hideMark/>
                      </w:tcPr>
                      <w:p>
                        <w:pPr>
                          <w:spacing w:line="256" w:lineRule="auto"/>
                          <w:rPr>
                            <w:sz w:val="20"/>
                            <w:lang w:eastAsia="lt-LT"/>
                          </w:rPr>
                        </w:pPr>
                        <w:r>
                          <w:rPr>
                            <w:bCs/>
                            <w:sz w:val="20"/>
                          </w:rPr>
                          <w:t>Kūrėjų rezidencijos organizavimas Radviliškio mieste ir rajone</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140" w:type="pct"/>
                        <w:tcMar>
                          <w:top w:w="28" w:type="dxa"/>
                          <w:left w:w="57" w:type="dxa"/>
                          <w:bottom w:w="28" w:type="dxa"/>
                          <w:right w:w="57" w:type="dxa"/>
                        </w:tcMar>
                        <w:hideMark/>
                      </w:tcPr>
                      <w:p>
                        <w:pPr>
                          <w:spacing w:line="256" w:lineRule="auto"/>
                          <w:rPr>
                            <w:sz w:val="20"/>
                            <w:lang w:eastAsia="lt-LT"/>
                          </w:rPr>
                        </w:pPr>
                        <w:r>
                          <w:rPr>
                            <w:bCs/>
                            <w:sz w:val="20"/>
                          </w:rPr>
                          <w:t>Kūrėjų rezidencijos organizavimas kultūros įstaigose</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lang w:eastAsia="lt-LT"/>
                          </w:rPr>
                        </w:pPr>
                      </w:p>
                    </w:tc>
                    <w:tc>
                      <w:tcPr>
                        <w:tcW w:w="2140" w:type="pct"/>
                        <w:tcMar>
                          <w:top w:w="28" w:type="dxa"/>
                          <w:left w:w="57" w:type="dxa"/>
                          <w:bottom w:w="28" w:type="dxa"/>
                          <w:right w:w="57" w:type="dxa"/>
                        </w:tcMar>
                        <w:hideMark/>
                      </w:tcPr>
                      <w:p>
                        <w:pPr>
                          <w:spacing w:line="256" w:lineRule="auto"/>
                          <w:rPr>
                            <w:sz w:val="20"/>
                            <w:lang w:eastAsia="lt-LT"/>
                          </w:rPr>
                        </w:pPr>
                        <w:r>
                          <w:rPr>
                            <w:sz w:val="20"/>
                          </w:rPr>
                          <w:t>Netradicinių meno festivalių organizavimas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140" w:type="pct"/>
                        <w:tcMar>
                          <w:top w:w="28" w:type="dxa"/>
                          <w:left w:w="57" w:type="dxa"/>
                          <w:bottom w:w="28" w:type="dxa"/>
                          <w:right w:w="57" w:type="dxa"/>
                        </w:tcMar>
                        <w:hideMark/>
                      </w:tcPr>
                      <w:p>
                        <w:pPr>
                          <w:spacing w:line="256" w:lineRule="auto"/>
                          <w:rPr>
                            <w:sz w:val="20"/>
                            <w:lang w:eastAsia="lt-LT"/>
                          </w:rPr>
                        </w:pPr>
                        <w:r>
                          <w:rPr>
                            <w:sz w:val="20"/>
                          </w:rPr>
                          <w:t>Suorganizuoti renginiai</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bCs/>
                            <w:sz w:val="20"/>
                          </w:rPr>
                        </w:pPr>
                        <w:r>
                          <w:rPr>
                            <w:bCs/>
                            <w:sz w:val="20"/>
                          </w:rPr>
                          <w:t>Istorinių įvykių aktualizavimas įvairiomis meno formomis</w:t>
                        </w:r>
                      </w:p>
                    </w:tc>
                    <w:tc>
                      <w:tcPr>
                        <w:tcW w:w="457" w:type="pct"/>
                        <w:tcMar>
                          <w:top w:w="28" w:type="dxa"/>
                          <w:left w:w="57" w:type="dxa"/>
                          <w:bottom w:w="28" w:type="dxa"/>
                          <w:right w:w="57" w:type="dxa"/>
                        </w:tcMar>
                      </w:tcPr>
                      <w:p>
                        <w:pPr>
                          <w:spacing w:line="256" w:lineRule="auto"/>
                          <w:rPr>
                            <w:bCs/>
                            <w:color w:val="C00000"/>
                            <w:lang w:eastAsia="lt-LT"/>
                          </w:rPr>
                        </w:pPr>
                      </w:p>
                    </w:tc>
                    <w:tc>
                      <w:tcPr>
                        <w:tcW w:w="513" w:type="pct"/>
                        <w:tcMar>
                          <w:top w:w="28" w:type="dxa"/>
                          <w:left w:w="57" w:type="dxa"/>
                          <w:bottom w:w="28" w:type="dxa"/>
                          <w:right w:w="57" w:type="dxa"/>
                        </w:tcMar>
                      </w:tcPr>
                      <w:p>
                        <w:pPr>
                          <w:spacing w:line="256" w:lineRule="auto"/>
                          <w:rPr>
                            <w:bCs/>
                            <w:lang w:eastAsia="lt-LT"/>
                          </w:rPr>
                        </w:pPr>
                      </w:p>
                    </w:tc>
                    <w:tc>
                      <w:tcPr>
                        <w:tcW w:w="482" w:type="pct"/>
                        <w:tcMar>
                          <w:top w:w="28" w:type="dxa"/>
                          <w:left w:w="57" w:type="dxa"/>
                          <w:bottom w:w="28" w:type="dxa"/>
                          <w:right w:w="57" w:type="dxa"/>
                        </w:tcMar>
                      </w:tcPr>
                      <w:p>
                        <w:pPr>
                          <w:spacing w:line="256" w:lineRule="auto"/>
                          <w:rPr>
                            <w:bCs/>
                            <w:lang w:eastAsia="lt-LT"/>
                          </w:rPr>
                        </w:pPr>
                      </w:p>
                    </w:tc>
                    <w:tc>
                      <w:tcPr>
                        <w:tcW w:w="759" w:type="pct"/>
                      </w:tcPr>
                      <w:p>
                        <w:pPr>
                          <w:spacing w:line="256" w:lineRule="auto"/>
                          <w:rPr>
                            <w:bCs/>
                            <w:lang w:eastAsia="lt-LT"/>
                          </w:rPr>
                        </w:pPr>
                      </w:p>
                    </w:tc>
                  </w:tr>
                  <w:tr>
                    <w:tc>
                      <w:tcPr>
                        <w:tcW w:w="649" w:type="pct"/>
                        <w:tcMar>
                          <w:top w:w="28" w:type="dxa"/>
                          <w:left w:w="57" w:type="dxa"/>
                          <w:bottom w:w="28" w:type="dxa"/>
                          <w:right w:w="57" w:type="dxa"/>
                        </w:tcMar>
                      </w:tcPr>
                      <w:p>
                        <w:pPr>
                          <w:spacing w:line="256" w:lineRule="auto"/>
                          <w:rPr>
                            <w:sz w:val="20"/>
                          </w:rPr>
                        </w:pPr>
                        <w:r>
                          <w:rPr>
                            <w:sz w:val="20"/>
                            <w:lang w:eastAsia="lt-LT"/>
                          </w:rPr>
                          <w:t>P-5-1-1-19</w:t>
                        </w:r>
                      </w:p>
                    </w:tc>
                    <w:tc>
                      <w:tcPr>
                        <w:tcW w:w="2140" w:type="pct"/>
                        <w:tcMar>
                          <w:top w:w="28" w:type="dxa"/>
                          <w:left w:w="57" w:type="dxa"/>
                          <w:bottom w:w="28" w:type="dxa"/>
                          <w:right w:w="57" w:type="dxa"/>
                        </w:tcMar>
                        <w:hideMark/>
                      </w:tcPr>
                      <w:p>
                        <w:pPr>
                          <w:spacing w:line="256" w:lineRule="auto"/>
                          <w:rPr>
                            <w:bCs/>
                            <w:sz w:val="20"/>
                          </w:rPr>
                        </w:pPr>
                        <w:r>
                          <w:rPr>
                            <w:sz w:val="20"/>
                          </w:rPr>
                          <w:t>Suorganizuoti renginiai</w:t>
                        </w:r>
                      </w:p>
                    </w:tc>
                    <w:tc>
                      <w:tcPr>
                        <w:tcW w:w="457" w:type="pct"/>
                        <w:tcMar>
                          <w:top w:w="28" w:type="dxa"/>
                          <w:left w:w="57" w:type="dxa"/>
                          <w:bottom w:w="28" w:type="dxa"/>
                          <w:right w:w="57" w:type="dxa"/>
                        </w:tcMar>
                        <w:hideMark/>
                      </w:tcPr>
                      <w:p>
                        <w:pPr>
                          <w:spacing w:line="256" w:lineRule="auto"/>
                          <w:rPr>
                            <w:bCs/>
                            <w:lang w:eastAsia="lt-LT"/>
                          </w:rPr>
                        </w:pPr>
                        <w:r>
                          <w:rPr>
                            <w:bCs/>
                            <w:lang w:eastAsia="lt-LT"/>
                          </w:rPr>
                          <w:t>3</w:t>
                        </w:r>
                      </w:p>
                    </w:tc>
                    <w:tc>
                      <w:tcPr>
                        <w:tcW w:w="513" w:type="pct"/>
                        <w:tcMar>
                          <w:top w:w="28" w:type="dxa"/>
                          <w:left w:w="57" w:type="dxa"/>
                          <w:bottom w:w="28" w:type="dxa"/>
                          <w:right w:w="57" w:type="dxa"/>
                        </w:tcMar>
                        <w:hideMark/>
                      </w:tcPr>
                      <w:p>
                        <w:pPr>
                          <w:spacing w:line="256" w:lineRule="auto"/>
                          <w:rPr>
                            <w:bCs/>
                            <w:lang w:eastAsia="lt-LT"/>
                          </w:rPr>
                        </w:pPr>
                        <w:r>
                          <w:rPr>
                            <w:bCs/>
                            <w:lang w:eastAsia="lt-LT"/>
                          </w:rPr>
                          <w:t>4</w:t>
                        </w:r>
                      </w:p>
                    </w:tc>
                    <w:tc>
                      <w:tcPr>
                        <w:tcW w:w="482" w:type="pct"/>
                        <w:tcMar>
                          <w:top w:w="28" w:type="dxa"/>
                          <w:left w:w="57" w:type="dxa"/>
                          <w:bottom w:w="28" w:type="dxa"/>
                          <w:right w:w="57" w:type="dxa"/>
                        </w:tcMar>
                        <w:hideMark/>
                      </w:tcPr>
                      <w:p>
                        <w:pPr>
                          <w:spacing w:line="256" w:lineRule="auto"/>
                          <w:rPr>
                            <w:bCs/>
                            <w:lang w:eastAsia="lt-LT"/>
                          </w:rPr>
                        </w:pPr>
                        <w:r>
                          <w:rPr>
                            <w:bCs/>
                            <w:lang w:eastAsia="lt-LT"/>
                          </w:rPr>
                          <w:t>4</w:t>
                        </w:r>
                      </w:p>
                    </w:tc>
                    <w:tc>
                      <w:tcPr>
                        <w:tcW w:w="759" w:type="pct"/>
                      </w:tcPr>
                      <w:p>
                        <w:pPr>
                          <w:spacing w:line="256" w:lineRule="auto"/>
                          <w:rPr>
                            <w:bCs/>
                            <w:sz w:val="20"/>
                            <w:lang w:eastAsia="lt-LT"/>
                          </w:rPr>
                        </w:pPr>
                        <w:r>
                          <w:rPr>
                            <w:bCs/>
                            <w:sz w:val="20"/>
                            <w:lang w:eastAsia="lt-LT"/>
                          </w:rPr>
                          <w:t>Aktyvių/</w:t>
                        </w:r>
                      </w:p>
                      <w:p>
                        <w:pPr>
                          <w:spacing w:line="256" w:lineRule="auto"/>
                          <w:rPr>
                            <w:bCs/>
                            <w:lang w:eastAsia="lt-LT"/>
                          </w:rPr>
                        </w:pPr>
                        <w:r>
                          <w:rPr>
                            <w:bCs/>
                            <w:sz w:val="20"/>
                            <w:lang w:eastAsia="lt-LT"/>
                          </w:rPr>
                          <w:t>įgyvendintų kultūrinių, edukacinių ir meno programų projektų skaičius, vnt</w:t>
                        </w:r>
                        <w:r>
                          <w:rPr>
                            <w:bCs/>
                            <w:lang w:eastAsia="lt-LT"/>
                          </w:rPr>
                          <w: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Istorinio paveldo objektų aktualizavimas organizuojant renginius objektų prieigose</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lang w:eastAsia="lt-LT"/>
                          </w:rPr>
                          <w:t>P-5-1-1-19</w:t>
                        </w:r>
                      </w:p>
                    </w:tc>
                    <w:tc>
                      <w:tcPr>
                        <w:tcW w:w="2140" w:type="pct"/>
                        <w:tcMar>
                          <w:top w:w="28" w:type="dxa"/>
                          <w:left w:w="57" w:type="dxa"/>
                          <w:bottom w:w="28" w:type="dxa"/>
                          <w:right w:w="57" w:type="dxa"/>
                        </w:tcMar>
                        <w:hideMark/>
                      </w:tcPr>
                      <w:p>
                        <w:pPr>
                          <w:spacing w:line="256" w:lineRule="auto"/>
                          <w:rPr>
                            <w:sz w:val="20"/>
                          </w:rPr>
                        </w:pPr>
                        <w:r>
                          <w:rPr>
                            <w:sz w:val="20"/>
                          </w:rPr>
                          <w:t>Suorganizuoti renginiai</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3</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3</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Profesionaliojo meno sklaidos kūrybinių dirbtuvių organizavimas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lang w:eastAsia="lt-LT"/>
                          </w:rPr>
                          <w:t>P-5-1-1-19</w:t>
                        </w:r>
                      </w:p>
                    </w:tc>
                    <w:tc>
                      <w:tcPr>
                        <w:tcW w:w="2140" w:type="pct"/>
                        <w:tcMar>
                          <w:top w:w="28" w:type="dxa"/>
                          <w:left w:w="57" w:type="dxa"/>
                          <w:bottom w:w="28" w:type="dxa"/>
                          <w:right w:w="57" w:type="dxa"/>
                        </w:tcMar>
                        <w:hideMark/>
                      </w:tcPr>
                      <w:p>
                        <w:pPr>
                          <w:spacing w:line="256" w:lineRule="auto"/>
                          <w:rPr>
                            <w:bCs/>
                            <w:sz w:val="20"/>
                          </w:rPr>
                        </w:pPr>
                        <w:r>
                          <w:rPr>
                            <w:sz w:val="20"/>
                          </w:rPr>
                          <w:t>Suorganizuotos teminės kūrybinės dirbtuvės, kurių metu dalyviai supažindinami su krašto kūrėjais, istorinėmis asmenybėmis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r>
                          <w:rPr>
                            <w:sz w:val="20"/>
                          </w:rPr>
                          <w:t>P-5-1-3-01</w:t>
                        </w:r>
                      </w:p>
                    </w:tc>
                    <w:tc>
                      <w:tcPr>
                        <w:tcW w:w="2140" w:type="pct"/>
                        <w:tcMar>
                          <w:top w:w="28" w:type="dxa"/>
                          <w:left w:w="57" w:type="dxa"/>
                          <w:bottom w:w="28" w:type="dxa"/>
                          <w:right w:w="57" w:type="dxa"/>
                        </w:tcMar>
                        <w:hideMark/>
                      </w:tcPr>
                      <w:p>
                        <w:pPr>
                          <w:spacing w:line="256" w:lineRule="auto"/>
                          <w:rPr>
                            <w:sz w:val="20"/>
                          </w:rPr>
                        </w:pPr>
                        <w:r>
                          <w:rPr>
                            <w:sz w:val="20"/>
                          </w:rPr>
                          <w:t>Vykdomas kraštotyros darbų ir spaudos leidinių skaitmeninimas ir perkėlimas į virtualią erdvę</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19</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20</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21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r>
                          <w:rPr>
                            <w:sz w:val="20"/>
                          </w:rPr>
                          <w:t>P-5-1-3-01</w:t>
                        </w:r>
                      </w:p>
                    </w:tc>
                    <w:tc>
                      <w:tcPr>
                        <w:tcW w:w="2140" w:type="pct"/>
                        <w:tcMar>
                          <w:top w:w="28" w:type="dxa"/>
                          <w:left w:w="57" w:type="dxa"/>
                          <w:bottom w:w="28" w:type="dxa"/>
                          <w:right w:w="57" w:type="dxa"/>
                        </w:tcMar>
                        <w:hideMark/>
                      </w:tcPr>
                      <w:p>
                        <w:pPr>
                          <w:spacing w:line="256" w:lineRule="auto"/>
                          <w:rPr>
                            <w:sz w:val="20"/>
                          </w:rPr>
                        </w:pPr>
                        <w:r>
                          <w:rPr>
                            <w:sz w:val="20"/>
                          </w:rPr>
                          <w:t xml:space="preserve">Nykstančio kultūros paveldo vertybių 3D modeliavimas </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sz w:val="20"/>
                          </w:rPr>
                        </w:pPr>
                        <w:r>
                          <w:rPr>
                            <w:sz w:val="20"/>
                          </w:rPr>
                          <w:t>P-5-1-1-29</w:t>
                        </w:r>
                      </w:p>
                    </w:tc>
                    <w:tc>
                      <w:tcPr>
                        <w:tcW w:w="2140" w:type="pct"/>
                        <w:tcMar>
                          <w:top w:w="28" w:type="dxa"/>
                          <w:left w:w="57" w:type="dxa"/>
                          <w:bottom w:w="28" w:type="dxa"/>
                          <w:right w:w="57" w:type="dxa"/>
                        </w:tcMar>
                        <w:hideMark/>
                      </w:tcPr>
                      <w:p>
                        <w:pPr>
                          <w:spacing w:line="256" w:lineRule="auto"/>
                          <w:rPr>
                            <w:sz w:val="20"/>
                          </w:rPr>
                        </w:pPr>
                        <w:r>
                          <w:rPr>
                            <w:sz w:val="20"/>
                          </w:rPr>
                          <w:t>Vykdomos kultūros paslaugų vartotojų pasitenkinimo teikiamomis kultūros paslaugomis apklausos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color w:val="FF0000"/>
                            <w:sz w:val="20"/>
                          </w:rPr>
                        </w:pPr>
                        <w:r>
                          <w:rPr>
                            <w:sz w:val="20"/>
                          </w:rPr>
                          <w:t>P-5-1-1-21</w:t>
                        </w:r>
                      </w:p>
                    </w:tc>
                    <w:tc>
                      <w:tcPr>
                        <w:tcW w:w="2140" w:type="pct"/>
                        <w:tcMar>
                          <w:top w:w="28" w:type="dxa"/>
                          <w:left w:w="57" w:type="dxa"/>
                          <w:bottom w:w="28" w:type="dxa"/>
                          <w:right w:w="57" w:type="dxa"/>
                        </w:tcMar>
                        <w:hideMark/>
                      </w:tcPr>
                      <w:p>
                        <w:pPr>
                          <w:spacing w:line="256" w:lineRule="auto"/>
                          <w:rPr>
                            <w:sz w:val="20"/>
                          </w:rPr>
                        </w:pPr>
                        <w:r>
                          <w:rPr>
                            <w:sz w:val="20"/>
                          </w:rPr>
                          <w:t>Vykdomi atvykstančių turistų srautų tyrimai ir analizė</w:t>
                        </w:r>
                      </w:p>
                    </w:tc>
                    <w:tc>
                      <w:tcPr>
                        <w:tcW w:w="457" w:type="pct"/>
                        <w:tcMar>
                          <w:top w:w="28" w:type="dxa"/>
                          <w:left w:w="57" w:type="dxa"/>
                          <w:bottom w:w="28" w:type="dxa"/>
                          <w:right w:w="57" w:type="dxa"/>
                        </w:tcMar>
                        <w:hideMark/>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color w:val="FF0000"/>
                            <w:sz w:val="20"/>
                          </w:rPr>
                        </w:pPr>
                      </w:p>
                    </w:tc>
                    <w:tc>
                      <w:tcPr>
                        <w:tcW w:w="2140" w:type="pct"/>
                        <w:tcMar>
                          <w:top w:w="28" w:type="dxa"/>
                          <w:left w:w="57" w:type="dxa"/>
                          <w:bottom w:w="28" w:type="dxa"/>
                          <w:right w:w="57" w:type="dxa"/>
                        </w:tcMar>
                      </w:tcPr>
                      <w:p>
                        <w:pPr>
                          <w:spacing w:line="256" w:lineRule="auto"/>
                          <w:rPr>
                            <w:sz w:val="20"/>
                          </w:rPr>
                        </w:pPr>
                        <w:r>
                          <w:rPr>
                            <w:sz w:val="20"/>
                          </w:rPr>
                          <w:t>Užsienio turistai (apsilankę TIC)</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68</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+ 10</w:t>
                        </w:r>
                        <w:r>
                          <w:rPr>
                            <w:kern w:val="2"/>
                            <w:sz w:val="22"/>
                            <w:szCs w:val="22"/>
                            <w14:ligatures w14:val="standardContextual"/>
                          </w:rPr>
                          <w:t xml:space="preserve"> </w:t>
                        </w:r>
                        <w:r>
                          <w:rPr>
                            <w:bCs/>
                            <w:sz w:val="20"/>
                            <w:lang w:eastAsia="lt-LT"/>
                          </w:rPr>
                          <w:t>proc.</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759" w:type="pct"/>
                      </w:tcPr>
                      <w:p>
                        <w:pPr>
                          <w:spacing w:line="256" w:lineRule="auto"/>
                          <w:rPr>
                            <w:bCs/>
                            <w:sz w:val="20"/>
                            <w:lang w:eastAsia="lt-LT"/>
                          </w:rPr>
                        </w:pPr>
                        <w:r>
                          <w:rPr>
                            <w:bCs/>
                            <w:sz w:val="20"/>
                            <w:lang w:eastAsia="lt-LT"/>
                          </w:rPr>
                          <w:t>Turistų skaičiaus pokytis procentais</w:t>
                        </w:r>
                      </w:p>
                    </w:tc>
                  </w:tr>
                  <w:tr>
                    <w:tc>
                      <w:tcPr>
                        <w:tcW w:w="649" w:type="pct"/>
                        <w:tcMar>
                          <w:top w:w="28" w:type="dxa"/>
                          <w:left w:w="57" w:type="dxa"/>
                          <w:bottom w:w="28" w:type="dxa"/>
                          <w:right w:w="57" w:type="dxa"/>
                        </w:tcMar>
                      </w:tcPr>
                      <w:p>
                        <w:pPr>
                          <w:spacing w:line="256" w:lineRule="auto"/>
                          <w:rPr>
                            <w:color w:val="FF0000"/>
                            <w:sz w:val="20"/>
                          </w:rPr>
                        </w:pPr>
                      </w:p>
                    </w:tc>
                    <w:tc>
                      <w:tcPr>
                        <w:tcW w:w="2140" w:type="pct"/>
                        <w:tcMar>
                          <w:top w:w="28" w:type="dxa"/>
                          <w:left w:w="57" w:type="dxa"/>
                          <w:bottom w:w="28" w:type="dxa"/>
                          <w:right w:w="57" w:type="dxa"/>
                        </w:tcMar>
                      </w:tcPr>
                      <w:p>
                        <w:pPr>
                          <w:spacing w:line="256" w:lineRule="auto"/>
                          <w:rPr>
                            <w:sz w:val="20"/>
                          </w:rPr>
                        </w:pPr>
                        <w:r>
                          <w:rPr>
                            <w:sz w:val="20"/>
                          </w:rPr>
                          <w:t>Turistai iš Lietuvos (apsilankę TIC)</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1354</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759" w:type="pct"/>
                      </w:tcPr>
                      <w:p>
                        <w:pPr>
                          <w:spacing w:line="256" w:lineRule="auto"/>
                          <w:rPr>
                            <w:bCs/>
                            <w:sz w:val="20"/>
                            <w:lang w:eastAsia="lt-LT"/>
                          </w:rPr>
                        </w:pPr>
                        <w:r>
                          <w:rPr>
                            <w:bCs/>
                            <w:sz w:val="20"/>
                            <w:lang w:eastAsia="lt-LT"/>
                          </w:rPr>
                          <w:t>Turistų skaičiaus pokytis procentais</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Įvairialypių kultūros paslaugų bibliotekų vartotojams užtikrinimas per kultūros paslaugų ir darbo formų įvairovės plėtrą</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color w:val="FF0000"/>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P-5-1-1-02</w:t>
                        </w:r>
                      </w:p>
                    </w:tc>
                    <w:tc>
                      <w:tcPr>
                        <w:tcW w:w="2140" w:type="pct"/>
                        <w:tcMar>
                          <w:top w:w="28" w:type="dxa"/>
                          <w:left w:w="57" w:type="dxa"/>
                          <w:bottom w:w="28" w:type="dxa"/>
                          <w:right w:w="57" w:type="dxa"/>
                        </w:tcMar>
                        <w:hideMark/>
                      </w:tcPr>
                      <w:p>
                        <w:pPr>
                          <w:spacing w:line="256" w:lineRule="auto"/>
                          <w:rPr>
                            <w:sz w:val="20"/>
                          </w:rPr>
                        </w:pPr>
                        <w:r>
                          <w:rPr>
                            <w:sz w:val="20"/>
                          </w:rPr>
                          <w:t>Sukurtų naujų paslaugų bibliotekų vartotojams skaičius</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rPr>
                      <w:trHeight w:val="281"/>
                    </w:trP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tcPr>
                      <w:p>
                        <w:pPr>
                          <w:spacing w:line="256" w:lineRule="auto"/>
                          <w:rPr>
                            <w:sz w:val="20"/>
                          </w:rPr>
                        </w:pPr>
                        <w:r>
                          <w:rPr>
                            <w:sz w:val="20"/>
                          </w:rPr>
                          <w:t>Lankytojų skaičiaus bibliotekoje ir padaliniuose tyrimai ir analizė</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rPr>
                      <w:trHeight w:val="281"/>
                    </w:trP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tcPr>
                      <w:p>
                        <w:pPr>
                          <w:spacing w:line="256" w:lineRule="auto"/>
                          <w:rPr>
                            <w:sz w:val="20"/>
                          </w:rPr>
                        </w:pPr>
                        <w:r>
                          <w:rPr>
                            <w:sz w:val="20"/>
                          </w:rPr>
                          <w:t>Lankytojai Radviliškio viešojoje bibliotekoje</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64860</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759" w:type="pct"/>
                      </w:tcPr>
                      <w:p>
                        <w:pPr>
                          <w:spacing w:line="256" w:lineRule="auto"/>
                          <w:rPr>
                            <w:bCs/>
                            <w:sz w:val="20"/>
                            <w:lang w:eastAsia="lt-LT"/>
                          </w:rPr>
                        </w:pPr>
                        <w:r>
                          <w:rPr>
                            <w:bCs/>
                            <w:sz w:val="20"/>
                            <w:lang w:eastAsia="lt-LT"/>
                          </w:rPr>
                          <w:t>Lankytojų skaičiaus pokytis procentais</w:t>
                        </w:r>
                      </w:p>
                    </w:tc>
                  </w:tr>
                  <w:tr>
                    <w:trPr>
                      <w:trHeight w:val="281"/>
                    </w:trP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tcPr>
                      <w:p>
                        <w:pPr>
                          <w:spacing w:line="256" w:lineRule="auto"/>
                          <w:rPr>
                            <w:sz w:val="20"/>
                          </w:rPr>
                        </w:pPr>
                        <w:r>
                          <w:rPr>
                            <w:sz w:val="20"/>
                          </w:rPr>
                          <w:t>Lankytojai Radviliškio viešosios bibliotekos padaliniuose</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137119</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759" w:type="pct"/>
                      </w:tcPr>
                      <w:p>
                        <w:pPr>
                          <w:spacing w:line="256" w:lineRule="auto"/>
                          <w:rPr>
                            <w:bCs/>
                            <w:sz w:val="20"/>
                            <w:lang w:eastAsia="lt-LT"/>
                          </w:rPr>
                        </w:pPr>
                        <w:r>
                          <w:rPr>
                            <w:bCs/>
                            <w:sz w:val="20"/>
                            <w:lang w:eastAsia="lt-LT"/>
                          </w:rPr>
                          <w:t>Lankytojų skaičiaus pokytis procentais</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Atvirų durų dienų organizavimas kultūros įstaigose</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P-5-1-1-29</w:t>
                        </w:r>
                      </w:p>
                    </w:tc>
                    <w:tc>
                      <w:tcPr>
                        <w:tcW w:w="2140" w:type="pct"/>
                        <w:tcMar>
                          <w:top w:w="28" w:type="dxa"/>
                          <w:left w:w="57" w:type="dxa"/>
                          <w:bottom w:w="28" w:type="dxa"/>
                          <w:right w:w="57" w:type="dxa"/>
                        </w:tcMar>
                        <w:hideMark/>
                      </w:tcPr>
                      <w:p>
                        <w:pPr>
                          <w:spacing w:line="256" w:lineRule="auto"/>
                          <w:rPr>
                            <w:sz w:val="20"/>
                          </w:rPr>
                        </w:pPr>
                        <w:r>
                          <w:rPr>
                            <w:sz w:val="20"/>
                          </w:rPr>
                          <w:t>Organizuojamos Atvirų durų dienos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Efektyvios Radviliškio turizmo informacijos centro veiklos užtikrinimas, stiprinant darnaus kultūrinio turizmo plėtrą</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P-5-1-1-21</w:t>
                        </w:r>
                      </w:p>
                    </w:tc>
                    <w:tc>
                      <w:tcPr>
                        <w:tcW w:w="2140" w:type="pct"/>
                        <w:tcMar>
                          <w:top w:w="28" w:type="dxa"/>
                          <w:left w:w="57" w:type="dxa"/>
                          <w:bottom w:w="28" w:type="dxa"/>
                          <w:right w:w="57" w:type="dxa"/>
                        </w:tcMar>
                        <w:hideMark/>
                      </w:tcPr>
                      <w:p>
                        <w:pPr>
                          <w:spacing w:line="256" w:lineRule="auto"/>
                          <w:rPr>
                            <w:sz w:val="20"/>
                          </w:rPr>
                        </w:pPr>
                        <w:r>
                          <w:rPr>
                            <w:sz w:val="20"/>
                          </w:rPr>
                          <w:t>Sukurtų kultūrinio turizmo paslaugų ir (ar) produktų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rPr>
                      <w:trHeight w:val="42"/>
                    </w:trP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Kultūros įstaigų darbuotojų gerosios patirties mainai ir sklaida</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P-5-1-1-29</w:t>
                        </w:r>
                      </w:p>
                    </w:tc>
                    <w:tc>
                      <w:tcPr>
                        <w:tcW w:w="2140" w:type="pct"/>
                        <w:tcMar>
                          <w:top w:w="28" w:type="dxa"/>
                          <w:left w:w="57" w:type="dxa"/>
                          <w:bottom w:w="28" w:type="dxa"/>
                          <w:right w:w="57" w:type="dxa"/>
                        </w:tcMar>
                        <w:hideMark/>
                      </w:tcPr>
                      <w:p>
                        <w:pPr>
                          <w:spacing w:line="256" w:lineRule="auto"/>
                          <w:rPr>
                            <w:sz w:val="20"/>
                          </w:rPr>
                        </w:pPr>
                        <w:r>
                          <w:rPr>
                            <w:sz w:val="20"/>
                          </w:rPr>
                          <w:t>Įgyvendintų iniciatyvų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b/>
                            <w:bCs/>
                            <w:sz w:val="20"/>
                          </w:rPr>
                        </w:pPr>
                      </w:p>
                    </w:tc>
                    <w:tc>
                      <w:tcPr>
                        <w:tcW w:w="2140" w:type="pct"/>
                        <w:tcMar>
                          <w:top w:w="28" w:type="dxa"/>
                          <w:left w:w="57" w:type="dxa"/>
                          <w:bottom w:w="28" w:type="dxa"/>
                          <w:right w:w="57" w:type="dxa"/>
                        </w:tcMar>
                        <w:hideMark/>
                      </w:tcPr>
                      <w:p>
                        <w:pPr>
                          <w:spacing w:line="256" w:lineRule="auto"/>
                          <w:rPr>
                            <w:sz w:val="20"/>
                          </w:rPr>
                        </w:pPr>
                        <w:r>
                          <w:rPr>
                            <w:bCs/>
                            <w:sz w:val="20"/>
                          </w:rPr>
                          <w:t>Kultūros darbuotojų asmeninių ir profesinių kompetencijų stiprinimas</w:t>
                        </w:r>
                      </w:p>
                    </w:tc>
                    <w:tc>
                      <w:tcPr>
                        <w:tcW w:w="457" w:type="pct"/>
                        <w:tcMar>
                          <w:top w:w="28" w:type="dxa"/>
                          <w:left w:w="57" w:type="dxa"/>
                          <w:bottom w:w="28" w:type="dxa"/>
                          <w:right w:w="57" w:type="dxa"/>
                        </w:tcMar>
                      </w:tcPr>
                      <w:p>
                        <w:pPr>
                          <w:spacing w:line="256" w:lineRule="auto"/>
                          <w:rPr>
                            <w:b/>
                            <w:bCs/>
                            <w:sz w:val="20"/>
                            <w:lang w:eastAsia="lt-LT"/>
                          </w:rPr>
                        </w:pPr>
                      </w:p>
                    </w:tc>
                    <w:tc>
                      <w:tcPr>
                        <w:tcW w:w="513" w:type="pct"/>
                        <w:tcMar>
                          <w:top w:w="28" w:type="dxa"/>
                          <w:left w:w="57" w:type="dxa"/>
                          <w:bottom w:w="28" w:type="dxa"/>
                          <w:right w:w="57" w:type="dxa"/>
                        </w:tcMar>
                      </w:tcPr>
                      <w:p>
                        <w:pPr>
                          <w:spacing w:line="256" w:lineRule="auto"/>
                          <w:rPr>
                            <w:b/>
                            <w:bCs/>
                            <w:sz w:val="20"/>
                            <w:lang w:eastAsia="lt-LT"/>
                          </w:rPr>
                        </w:pPr>
                      </w:p>
                    </w:tc>
                    <w:tc>
                      <w:tcPr>
                        <w:tcW w:w="482" w:type="pct"/>
                        <w:tcMar>
                          <w:top w:w="28" w:type="dxa"/>
                          <w:left w:w="57" w:type="dxa"/>
                          <w:bottom w:w="28" w:type="dxa"/>
                          <w:right w:w="57" w:type="dxa"/>
                        </w:tcMar>
                      </w:tcPr>
                      <w:p>
                        <w:pPr>
                          <w:spacing w:line="256" w:lineRule="auto"/>
                          <w:rPr>
                            <w:b/>
                            <w:bCs/>
                            <w:sz w:val="20"/>
                            <w:lang w:eastAsia="lt-LT"/>
                          </w:rPr>
                        </w:pPr>
                      </w:p>
                    </w:tc>
                    <w:tc>
                      <w:tcPr>
                        <w:tcW w:w="759" w:type="pct"/>
                      </w:tcPr>
                      <w:p>
                        <w:pPr>
                          <w:spacing w:line="256" w:lineRule="auto"/>
                          <w:rPr>
                            <w:b/>
                            <w:bCs/>
                            <w:sz w:val="20"/>
                            <w:lang w:eastAsia="lt-LT"/>
                          </w:rPr>
                        </w:pPr>
                      </w:p>
                    </w:tc>
                  </w:tr>
                  <w:tr>
                    <w:tc>
                      <w:tcPr>
                        <w:tcW w:w="649" w:type="pct"/>
                        <w:tcMar>
                          <w:top w:w="28" w:type="dxa"/>
                          <w:left w:w="57" w:type="dxa"/>
                          <w:bottom w:w="28" w:type="dxa"/>
                          <w:right w:w="57" w:type="dxa"/>
                        </w:tcMar>
                      </w:tcPr>
                      <w:p>
                        <w:pPr>
                          <w:spacing w:line="256" w:lineRule="auto"/>
                          <w:rPr>
                            <w:b/>
                            <w:bCs/>
                            <w:sz w:val="20"/>
                          </w:rPr>
                        </w:pPr>
                        <w:r>
                          <w:rPr>
                            <w:sz w:val="20"/>
                          </w:rPr>
                          <w:t>P-5-1-1-29</w:t>
                        </w:r>
                      </w:p>
                    </w:tc>
                    <w:tc>
                      <w:tcPr>
                        <w:tcW w:w="2140" w:type="pct"/>
                        <w:tcMar>
                          <w:top w:w="28" w:type="dxa"/>
                          <w:left w:w="57" w:type="dxa"/>
                          <w:bottom w:w="28" w:type="dxa"/>
                          <w:right w:w="57" w:type="dxa"/>
                        </w:tcMar>
                        <w:hideMark/>
                      </w:tcPr>
                      <w:p>
                        <w:pPr>
                          <w:spacing w:line="256" w:lineRule="auto"/>
                          <w:rPr>
                            <w:sz w:val="20"/>
                          </w:rPr>
                        </w:pPr>
                        <w:r>
                          <w:rPr>
                            <w:sz w:val="20"/>
                          </w:rPr>
                          <w:t>Suorganizuota mokymų</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b/>
                            <w:bCs/>
                            <w:sz w:val="20"/>
                          </w:rPr>
                        </w:pPr>
                      </w:p>
                    </w:tc>
                    <w:tc>
                      <w:tcPr>
                        <w:tcW w:w="2140" w:type="pct"/>
                        <w:tcMar>
                          <w:top w:w="28" w:type="dxa"/>
                          <w:left w:w="57" w:type="dxa"/>
                          <w:bottom w:w="28" w:type="dxa"/>
                          <w:right w:w="57" w:type="dxa"/>
                        </w:tcMar>
                        <w:hideMark/>
                      </w:tcPr>
                      <w:p>
                        <w:pPr>
                          <w:spacing w:line="256" w:lineRule="auto"/>
                          <w:rPr>
                            <w:sz w:val="20"/>
                          </w:rPr>
                        </w:pPr>
                        <w:r>
                          <w:rPr>
                            <w:bCs/>
                            <w:sz w:val="20"/>
                          </w:rPr>
                          <w:t>Kultūros įstaigų veiklos finansavimo projektų lėšomis skatinimas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b/>
                            <w:bCs/>
                            <w:sz w:val="20"/>
                          </w:rPr>
                        </w:pPr>
                        <w:r>
                          <w:rPr>
                            <w:sz w:val="20"/>
                          </w:rPr>
                          <w:t>P-5-1-1-29</w:t>
                        </w:r>
                      </w:p>
                    </w:tc>
                    <w:tc>
                      <w:tcPr>
                        <w:tcW w:w="2140" w:type="pct"/>
                        <w:tcMar>
                          <w:top w:w="28" w:type="dxa"/>
                          <w:left w:w="57" w:type="dxa"/>
                          <w:bottom w:w="28" w:type="dxa"/>
                          <w:right w:w="57" w:type="dxa"/>
                        </w:tcMar>
                        <w:hideMark/>
                      </w:tcPr>
                      <w:p>
                        <w:pPr>
                          <w:spacing w:line="256" w:lineRule="auto"/>
                          <w:rPr>
                            <w:sz w:val="20"/>
                          </w:rPr>
                        </w:pPr>
                        <w:r>
                          <w:rPr>
                            <w:sz w:val="20"/>
                          </w:rPr>
                          <w:t xml:space="preserve">Finansuotų projektų paraiškų skaičius   </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22</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23</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24</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r>
                          <w:rPr>
                            <w:sz w:val="20"/>
                          </w:rPr>
                          <w:t>P-5-1-1-29</w:t>
                        </w:r>
                      </w:p>
                    </w:tc>
                    <w:tc>
                      <w:tcPr>
                        <w:tcW w:w="2140" w:type="pct"/>
                        <w:tcMar>
                          <w:top w:w="28" w:type="dxa"/>
                          <w:left w:w="57" w:type="dxa"/>
                          <w:bottom w:w="28" w:type="dxa"/>
                          <w:right w:w="57" w:type="dxa"/>
                        </w:tcMar>
                      </w:tcPr>
                      <w:p>
                        <w:pPr>
                          <w:spacing w:line="256" w:lineRule="auto"/>
                          <w:rPr>
                            <w:sz w:val="20"/>
                          </w:rPr>
                        </w:pPr>
                        <w:r>
                          <w:rPr>
                            <w:sz w:val="20"/>
                          </w:rPr>
                          <w:t>Radviliškio krašto istorijai ir kultūrai reikšmingų leidinių leidyba</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4</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5</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5</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Profesionaliojo meno sklaidos užtikrinimas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P-5-1-1-19</w:t>
                        </w:r>
                      </w:p>
                    </w:tc>
                    <w:tc>
                      <w:tcPr>
                        <w:tcW w:w="2140" w:type="pct"/>
                        <w:tcMar>
                          <w:top w:w="28" w:type="dxa"/>
                          <w:left w:w="57" w:type="dxa"/>
                          <w:bottom w:w="28" w:type="dxa"/>
                          <w:right w:w="57" w:type="dxa"/>
                        </w:tcMar>
                        <w:hideMark/>
                      </w:tcPr>
                      <w:p>
                        <w:pPr>
                          <w:spacing w:line="256" w:lineRule="auto"/>
                          <w:rPr>
                            <w:sz w:val="20"/>
                          </w:rPr>
                        </w:pPr>
                        <w:r>
                          <w:rPr>
                            <w:sz w:val="20"/>
                          </w:rPr>
                          <w:t>Renginių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968</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1064</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1460</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r>
                          <w:rPr>
                            <w:sz w:val="20"/>
                          </w:rPr>
                          <w:t>P-5-1-3-04</w:t>
                        </w:r>
                      </w:p>
                    </w:tc>
                    <w:tc>
                      <w:tcPr>
                        <w:tcW w:w="2140" w:type="pct"/>
                        <w:tcMar>
                          <w:top w:w="28" w:type="dxa"/>
                          <w:left w:w="57" w:type="dxa"/>
                          <w:bottom w:w="28" w:type="dxa"/>
                          <w:right w:w="57" w:type="dxa"/>
                        </w:tcMar>
                        <w:hideMark/>
                      </w:tcPr>
                      <w:p>
                        <w:pPr>
                          <w:spacing w:line="256" w:lineRule="auto"/>
                          <w:rPr>
                            <w:bCs/>
                            <w:sz w:val="20"/>
                          </w:rPr>
                        </w:pPr>
                        <w:r>
                          <w:rPr>
                            <w:bCs/>
                            <w:sz w:val="20"/>
                          </w:rPr>
                          <w:t>Šeduvos senosios vaistinės modernizavimas</w:t>
                        </w:r>
                      </w:p>
                    </w:tc>
                    <w:tc>
                      <w:tcPr>
                        <w:tcW w:w="457" w:type="pct"/>
                        <w:tcMar>
                          <w:top w:w="28" w:type="dxa"/>
                          <w:left w:w="57" w:type="dxa"/>
                          <w:bottom w:w="28" w:type="dxa"/>
                          <w:right w:w="57" w:type="dxa"/>
                        </w:tcMar>
                      </w:tcPr>
                      <w:p>
                        <w:pPr>
                          <w:spacing w:line="256" w:lineRule="auto"/>
                          <w:rPr>
                            <w:sz w:val="20"/>
                            <w:lang w:eastAsia="lt-LT"/>
                          </w:rPr>
                        </w:pPr>
                      </w:p>
                    </w:tc>
                    <w:tc>
                      <w:tcPr>
                        <w:tcW w:w="513" w:type="pct"/>
                        <w:tcMar>
                          <w:top w:w="28" w:type="dxa"/>
                          <w:left w:w="57" w:type="dxa"/>
                          <w:bottom w:w="28" w:type="dxa"/>
                          <w:right w:w="57" w:type="dxa"/>
                        </w:tcMar>
                      </w:tcPr>
                      <w:p>
                        <w:pPr>
                          <w:spacing w:line="256" w:lineRule="auto"/>
                          <w:rPr>
                            <w:sz w:val="20"/>
                            <w:lang w:eastAsia="lt-LT"/>
                          </w:rPr>
                        </w:pPr>
                      </w:p>
                    </w:tc>
                    <w:tc>
                      <w:tcPr>
                        <w:tcW w:w="482" w:type="pct"/>
                        <w:tcMar>
                          <w:top w:w="28" w:type="dxa"/>
                          <w:left w:w="57" w:type="dxa"/>
                          <w:bottom w:w="28" w:type="dxa"/>
                          <w:right w:w="57" w:type="dxa"/>
                        </w:tcMar>
                      </w:tcPr>
                      <w:p>
                        <w:pPr>
                          <w:spacing w:line="256" w:lineRule="auto"/>
                          <w:rPr>
                            <w:sz w:val="20"/>
                            <w:lang w:eastAsia="lt-LT"/>
                          </w:rPr>
                        </w:pPr>
                      </w:p>
                    </w:tc>
                    <w:tc>
                      <w:tcPr>
                        <w:tcW w:w="759" w:type="pct"/>
                      </w:tcPr>
                      <w:p>
                        <w:pPr>
                          <w:spacing w:line="256" w:lineRule="auto"/>
                          <w:rPr>
                            <w:b/>
                            <w:bCs/>
                            <w:sz w:val="20"/>
                            <w:lang w:eastAsia="lt-LT"/>
                          </w:rPr>
                        </w:pP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bCs/>
                            <w:sz w:val="20"/>
                          </w:rPr>
                        </w:pPr>
                        <w:r>
                          <w:rPr>
                            <w:bCs/>
                            <w:sz w:val="20"/>
                          </w:rPr>
                          <w:t>Įvykdytas modernizuojamo objekto etapas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bCs/>
                            <w:sz w:val="20"/>
                          </w:rPr>
                        </w:pPr>
                        <w:r>
                          <w:rPr>
                            <w:sz w:val="20"/>
                            <w:lang w:eastAsia="lt-LT"/>
                          </w:rPr>
                          <w:t>Kultūros paveldo objektai, kuriose atliekami tvarkybos darbai, skaičius. (vnt. )</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P-5-1-3-04</w:t>
                        </w:r>
                      </w:p>
                    </w:tc>
                    <w:tc>
                      <w:tcPr>
                        <w:tcW w:w="2140" w:type="pct"/>
                        <w:tcMar>
                          <w:top w:w="28" w:type="dxa"/>
                          <w:left w:w="57" w:type="dxa"/>
                          <w:bottom w:w="28" w:type="dxa"/>
                          <w:right w:w="57" w:type="dxa"/>
                        </w:tcMar>
                        <w:hideMark/>
                      </w:tcPr>
                      <w:p>
                        <w:pPr>
                          <w:spacing w:line="256" w:lineRule="auto"/>
                          <w:rPr>
                            <w:bCs/>
                            <w:sz w:val="20"/>
                          </w:rPr>
                        </w:pPr>
                        <w:r>
                          <w:rPr>
                            <w:bCs/>
                            <w:sz w:val="20"/>
                          </w:rPr>
                          <w:t>Baisogalos dvaro arklidžių ir ratinės tvarkybos darbai</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bCs/>
                            <w:sz w:val="20"/>
                          </w:rPr>
                        </w:pPr>
                        <w:r>
                          <w:rPr>
                            <w:bCs/>
                            <w:sz w:val="20"/>
                          </w:rPr>
                          <w:t>Lankymo, edukacijos bei kitų paslaugų reikmėms pritaikyti kultūros paveldo objektai</w:t>
                        </w:r>
                      </w:p>
                    </w:tc>
                    <w:tc>
                      <w:tcPr>
                        <w:tcW w:w="457" w:type="pct"/>
                        <w:tcMar>
                          <w:top w:w="28" w:type="dxa"/>
                          <w:left w:w="57" w:type="dxa"/>
                          <w:bottom w:w="28" w:type="dxa"/>
                          <w:right w:w="57" w:type="dxa"/>
                        </w:tcMar>
                      </w:tcPr>
                      <w:p>
                        <w:pPr>
                          <w:spacing w:line="256" w:lineRule="auto"/>
                          <w:rPr>
                            <w:sz w:val="20"/>
                            <w:lang w:eastAsia="lt-LT"/>
                          </w:rPr>
                        </w:pPr>
                      </w:p>
                    </w:tc>
                    <w:tc>
                      <w:tcPr>
                        <w:tcW w:w="513" w:type="pct"/>
                        <w:tcMar>
                          <w:top w:w="28" w:type="dxa"/>
                          <w:left w:w="57" w:type="dxa"/>
                          <w:bottom w:w="28" w:type="dxa"/>
                          <w:right w:w="57" w:type="dxa"/>
                        </w:tcMar>
                      </w:tcPr>
                      <w:p>
                        <w:pPr>
                          <w:spacing w:line="256" w:lineRule="auto"/>
                          <w:rPr>
                            <w:sz w:val="20"/>
                            <w:lang w:eastAsia="lt-LT"/>
                          </w:rPr>
                        </w:pPr>
                      </w:p>
                    </w:tc>
                    <w:tc>
                      <w:tcPr>
                        <w:tcW w:w="482" w:type="pct"/>
                        <w:tcMar>
                          <w:top w:w="28" w:type="dxa"/>
                          <w:left w:w="57" w:type="dxa"/>
                          <w:bottom w:w="28" w:type="dxa"/>
                          <w:right w:w="57" w:type="dxa"/>
                        </w:tcMar>
                      </w:tcPr>
                      <w:p>
                        <w:pPr>
                          <w:spacing w:line="256" w:lineRule="auto"/>
                          <w:rPr>
                            <w:sz w:val="20"/>
                            <w:lang w:eastAsia="lt-LT"/>
                          </w:rPr>
                        </w:pPr>
                      </w:p>
                    </w:tc>
                    <w:tc>
                      <w:tcPr>
                        <w:tcW w:w="759" w:type="pct"/>
                      </w:tcPr>
                      <w:p>
                        <w:pPr>
                          <w:spacing w:line="256" w:lineRule="auto"/>
                          <w:rPr>
                            <w:b/>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P-5-1-3-02</w:t>
                        </w:r>
                      </w:p>
                    </w:tc>
                    <w:tc>
                      <w:tcPr>
                        <w:tcW w:w="2140" w:type="pct"/>
                        <w:tcMar>
                          <w:top w:w="28" w:type="dxa"/>
                          <w:left w:w="57" w:type="dxa"/>
                          <w:bottom w:w="28" w:type="dxa"/>
                          <w:right w:w="57" w:type="dxa"/>
                        </w:tcMar>
                        <w:hideMark/>
                      </w:tcPr>
                      <w:p>
                        <w:pPr>
                          <w:spacing w:line="256" w:lineRule="auto"/>
                          <w:rPr>
                            <w:bCs/>
                            <w:sz w:val="20"/>
                          </w:rPr>
                        </w:pPr>
                        <w:r>
                          <w:rPr>
                            <w:bCs/>
                            <w:sz w:val="20"/>
                          </w:rPr>
                          <w:t>Šeduvos vilnų karšyklos su technologine įranga pritaikymas lankymui</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p>
                        <w:pPr>
                          <w:spacing w:line="256" w:lineRule="auto"/>
                          <w:rPr>
                            <w:bCs/>
                            <w:sz w:val="20"/>
                            <w:lang w:eastAsia="lt-LT"/>
                          </w:rPr>
                        </w:pPr>
                      </w:p>
                      <w:p>
                        <w:pPr>
                          <w:spacing w:line="256" w:lineRule="auto"/>
                          <w:rPr>
                            <w:bCs/>
                            <w:sz w:val="20"/>
                            <w:lang w:eastAsia="lt-LT"/>
                          </w:rPr>
                        </w:pP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sz w:val="20"/>
                          </w:rPr>
                          <w:t>Lankymo reikmėms pritaikyti turistiniai objektai</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P-5-1-3-01</w:t>
                        </w:r>
                      </w:p>
                    </w:tc>
                    <w:tc>
                      <w:tcPr>
                        <w:tcW w:w="2140" w:type="pct"/>
                        <w:tcMar>
                          <w:top w:w="28" w:type="dxa"/>
                          <w:left w:w="57" w:type="dxa"/>
                          <w:bottom w:w="28" w:type="dxa"/>
                          <w:right w:w="57" w:type="dxa"/>
                        </w:tcMar>
                        <w:hideMark/>
                      </w:tcPr>
                      <w:p>
                        <w:pPr>
                          <w:spacing w:line="256" w:lineRule="auto"/>
                          <w:rPr>
                            <w:sz w:val="20"/>
                          </w:rPr>
                        </w:pPr>
                        <w:r>
                          <w:rPr>
                            <w:sz w:val="20"/>
                          </w:rPr>
                          <w:t>Pagal poreikį pagamintos naujos informacinės rodyklės ir stendai prie turistinių objektų</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color w:val="FF0000"/>
                            <w:sz w:val="20"/>
                          </w:rPr>
                        </w:pPr>
                      </w:p>
                    </w:tc>
                    <w:tc>
                      <w:tcPr>
                        <w:tcW w:w="2140" w:type="pct"/>
                        <w:tcMar>
                          <w:top w:w="28" w:type="dxa"/>
                          <w:left w:w="57" w:type="dxa"/>
                          <w:bottom w:w="28" w:type="dxa"/>
                          <w:right w:w="57" w:type="dxa"/>
                        </w:tcMar>
                        <w:hideMark/>
                      </w:tcPr>
                      <w:p>
                        <w:pPr>
                          <w:spacing w:line="256" w:lineRule="auto"/>
                          <w:rPr>
                            <w:bCs/>
                            <w:sz w:val="20"/>
                          </w:rPr>
                        </w:pPr>
                        <w:r>
                          <w:rPr>
                            <w:bCs/>
                            <w:sz w:val="20"/>
                          </w:rPr>
                          <w:t>Pažintinės ekskursijos po rajoną</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P-5-1-3-01</w:t>
                        </w:r>
                      </w:p>
                    </w:tc>
                    <w:tc>
                      <w:tcPr>
                        <w:tcW w:w="2140" w:type="pct"/>
                        <w:tcMar>
                          <w:top w:w="28" w:type="dxa"/>
                          <w:left w:w="57" w:type="dxa"/>
                          <w:bottom w:w="28" w:type="dxa"/>
                          <w:right w:w="57" w:type="dxa"/>
                        </w:tcMar>
                        <w:hideMark/>
                      </w:tcPr>
                      <w:p>
                        <w:pPr>
                          <w:spacing w:line="256" w:lineRule="auto"/>
                          <w:rPr>
                            <w:bCs/>
                            <w:sz w:val="20"/>
                          </w:rPr>
                        </w:pPr>
                        <w:r>
                          <w:rPr>
                            <w:bCs/>
                            <w:sz w:val="20"/>
                          </w:rPr>
                          <w:t>Europos paveldo dienų ekskursija</w:t>
                        </w:r>
                      </w:p>
                      <w:p>
                        <w:pPr>
                          <w:spacing w:line="256" w:lineRule="auto"/>
                          <w:rPr>
                            <w:bCs/>
                            <w:sz w:val="20"/>
                          </w:rPr>
                        </w:pPr>
                        <w:r>
                          <w:rPr>
                            <w:bCs/>
                            <w:sz w:val="20"/>
                          </w:rPr>
                          <w:t>Žygis dviračiais „Susipažinkime su Radviliškio rajono paveldu“</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2</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bCs/>
                            <w:sz w:val="20"/>
                          </w:rPr>
                        </w:pPr>
                        <w:r>
                          <w:rPr>
                            <w:bCs/>
                            <w:sz w:val="20"/>
                          </w:rPr>
                          <w:t xml:space="preserve">Lankymo reikmėms pritaikyti kultūros ir gamtos paveldo  objektai</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P-5-1-3-01</w:t>
                        </w:r>
                      </w:p>
                    </w:tc>
                    <w:tc>
                      <w:tcPr>
                        <w:tcW w:w="2140" w:type="pct"/>
                        <w:tcMar>
                          <w:top w:w="28" w:type="dxa"/>
                          <w:left w:w="57" w:type="dxa"/>
                          <w:bottom w:w="28" w:type="dxa"/>
                          <w:right w:w="57" w:type="dxa"/>
                        </w:tcMar>
                        <w:hideMark/>
                      </w:tcPr>
                      <w:p>
                        <w:pPr>
                          <w:spacing w:line="256" w:lineRule="auto"/>
                          <w:rPr>
                            <w:bCs/>
                            <w:sz w:val="20"/>
                          </w:rPr>
                        </w:pPr>
                        <w:r>
                          <w:rPr>
                            <w:bCs/>
                            <w:sz w:val="20"/>
                          </w:rPr>
                          <w:t>Pagal poreikį pagamintos naujos informacinės rodyklės ir stendai prie kultūros ir gamtos paveldo objektų</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tcPr>
                      <w:p>
                        <w:pPr>
                          <w:spacing w:line="256" w:lineRule="auto"/>
                          <w:rPr>
                            <w:b/>
                            <w:sz w:val="20"/>
                          </w:rPr>
                        </w:pPr>
                        <w:r>
                          <w:rPr>
                            <w:b/>
                            <w:sz w:val="20"/>
                          </w:rPr>
                          <w:t>4 uždavinys skatinti rajono gyventojų kompetencijų plėtojimą, bendruomeniškumą ir veiklumą.</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R-5-1-4.1</w:t>
                        </w:r>
                      </w:p>
                    </w:tc>
                    <w:tc>
                      <w:tcPr>
                        <w:tcW w:w="2140" w:type="pct"/>
                        <w:tcMar>
                          <w:top w:w="28" w:type="dxa"/>
                          <w:left w:w="57" w:type="dxa"/>
                          <w:bottom w:w="28" w:type="dxa"/>
                          <w:right w:w="57" w:type="dxa"/>
                        </w:tcMar>
                      </w:tcPr>
                      <w:p>
                        <w:pPr>
                          <w:spacing w:line="256" w:lineRule="auto"/>
                          <w:rPr>
                            <w:b/>
                            <w:sz w:val="20"/>
                          </w:rPr>
                        </w:pPr>
                        <w:r>
                          <w:rPr>
                            <w:kern w:val="2"/>
                            <w:sz w:val="18"/>
                            <w:szCs w:val="18"/>
                            <w:lang w:eastAsia="lt-LT"/>
                            <w14:ligatures w14:val="standardContextual"/>
                          </w:rPr>
                          <w:t xml:space="preserve">Mažinant administracinę naštą, didinti tarpinstitucinį skaitmeninį informacijos pasikeitimą, kad gyventojams  patiems nereiktų rinkti informacijos iš skirtingų institucijų (didėjimas procentais kas metais)</w:t>
                        </w:r>
                      </w:p>
                    </w:tc>
                    <w:tc>
                      <w:tcPr>
                        <w:tcW w:w="457" w:type="pct"/>
                        <w:tcMar>
                          <w:top w:w="28" w:type="dxa"/>
                          <w:left w:w="57" w:type="dxa"/>
                          <w:bottom w:w="28" w:type="dxa"/>
                          <w:right w:w="57" w:type="dxa"/>
                        </w:tcMar>
                      </w:tcPr>
                      <w:p>
                        <w:pPr>
                          <w:spacing w:line="256" w:lineRule="auto"/>
                          <w:rPr>
                            <w:bCs/>
                            <w:sz w:val="20"/>
                            <w:lang w:eastAsia="lt-LT"/>
                          </w:rPr>
                        </w:pPr>
                        <w:r>
                          <w:rPr>
                            <w:bCs/>
                            <w:sz w:val="18"/>
                            <w:szCs w:val="18"/>
                            <w:lang w:eastAsia="lt-LT"/>
                          </w:rPr>
                          <w:t>10</w:t>
                        </w:r>
                      </w:p>
                    </w:tc>
                    <w:tc>
                      <w:tcPr>
                        <w:tcW w:w="513" w:type="pct"/>
                        <w:tcMar>
                          <w:top w:w="28" w:type="dxa"/>
                          <w:left w:w="57" w:type="dxa"/>
                          <w:bottom w:w="28" w:type="dxa"/>
                          <w:right w:w="57" w:type="dxa"/>
                        </w:tcMar>
                      </w:tcPr>
                      <w:p>
                        <w:pPr>
                          <w:spacing w:line="256" w:lineRule="auto"/>
                          <w:rPr>
                            <w:bCs/>
                            <w:sz w:val="20"/>
                            <w:lang w:eastAsia="lt-LT"/>
                          </w:rPr>
                        </w:pPr>
                        <w:r>
                          <w:rPr>
                            <w:bCs/>
                            <w:sz w:val="18"/>
                            <w:szCs w:val="18"/>
                            <w:lang w:eastAsia="lt-LT"/>
                          </w:rPr>
                          <w:t>10</w:t>
                        </w:r>
                      </w:p>
                    </w:tc>
                    <w:tc>
                      <w:tcPr>
                        <w:tcW w:w="482" w:type="pct"/>
                        <w:tcMar>
                          <w:top w:w="28" w:type="dxa"/>
                          <w:left w:w="57" w:type="dxa"/>
                          <w:bottom w:w="28" w:type="dxa"/>
                          <w:right w:w="57" w:type="dxa"/>
                        </w:tcMar>
                      </w:tcPr>
                      <w:p>
                        <w:pPr>
                          <w:spacing w:line="256" w:lineRule="auto"/>
                          <w:rPr>
                            <w:bCs/>
                            <w:sz w:val="20"/>
                            <w:lang w:eastAsia="lt-LT"/>
                          </w:rPr>
                        </w:pPr>
                        <w:r>
                          <w:rPr>
                            <w:bCs/>
                            <w:kern w:val="2"/>
                            <w:sz w:val="18"/>
                            <w:szCs w:val="18"/>
                            <w:lang w:eastAsia="lt-LT"/>
                            <w14:ligatures w14:val="standardContextual"/>
                          </w:rPr>
                          <w:t>10</w:t>
                        </w:r>
                      </w:p>
                    </w:tc>
                    <w:tc>
                      <w:tcPr>
                        <w:tcW w:w="759" w:type="pct"/>
                      </w:tcPr>
                      <w:p>
                        <w:pPr>
                          <w:spacing w:line="256" w:lineRule="auto"/>
                          <w:rPr>
                            <w:bCs/>
                            <w:sz w:val="20"/>
                            <w:lang w:eastAsia="lt-LT"/>
                          </w:rPr>
                        </w:pPr>
                      </w:p>
                    </w:tc>
                  </w:tr>
                </w:tbl>
                <w:p>
                  <w:pPr>
                    <w:jc w:val="center"/>
                    <w:rPr>
                      <w:b/>
                      <w:bCs/>
                      <w:szCs w:val="24"/>
                    </w:rPr>
                  </w:pPr>
                </w:p>
                <w:tbl>
                  <w:tblPr>
                    <w:tblW w:w="1034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343"/>
                  </w:tblGrid>
                  <w:tr>
                    <w:trPr>
                      <w:jc w:val="center"/>
                    </w:trPr>
                    <w:tc>
                      <w:tcPr>
                        <w:tcW w:w="10343"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629"/>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ind w:firstLine="682"/>
                          <w:rPr>
                            <w:bCs/>
                            <w:szCs w:val="24"/>
                            <w:lang w:eastAsia="lt-LT"/>
                          </w:rPr>
                        </w:pPr>
                        <w:r>
                          <w:rPr>
                            <w:szCs w:val="24"/>
                            <w:lang w:eastAsia="lt-LT"/>
                          </w:rPr>
                          <w:t xml:space="preserve">Radviliškio rajono savivaldybės administracijos Kultūros, paveldosaugos ir turizmo skyriaus                                     vedėjo pavaduotoja Lina Mončauskienė +370 605 38 277  lina.monciauskiene@radviliskis.lt</w:t>
                        </w:r>
                      </w:p>
                      <w:p>
                        <w:pPr>
                          <w:ind w:firstLine="731"/>
                          <w:jc w:val="both"/>
                          <w:rPr>
                            <w:bCs/>
                          </w:rPr>
                        </w:pPr>
                      </w:p>
                    </w:tc>
                  </w:tr>
                </w:tbl>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ind w:firstLine="62"/>
                          <w:jc w:val="center"/>
                          <w:rPr>
                            <w:b/>
                            <w:bCs/>
                            <w:color w:val="000000"/>
                            <w:szCs w:val="24"/>
                          </w:rPr>
                        </w:pPr>
                        <w:r>
                          <w:rPr>
                            <w:b/>
                            <w:bCs/>
                          </w:rPr>
                          <w:t xml:space="preserve">06  </w:t>
                        </w:r>
                        <w:r>
                          <w:rPr>
                            <w:b/>
                            <w:bCs/>
                            <w:szCs w:val="24"/>
                          </w:rPr>
                          <w:t xml:space="preserve">  Saugios, švarios ir patogios gyvenamosios aplinkos užtikrinimo programa</w:t>
                        </w:r>
                      </w:p>
                    </w:tc>
                  </w:tr>
                </w:tbl>
                <w:p>
                  <w:pPr>
                    <w:tabs>
                      <w:tab w:val="center" w:pos="4153"/>
                      <w:tab w:val="right" w:pos="8306"/>
                    </w:tabs>
                    <w:ind w:firstLine="186"/>
                    <w:jc w:val="center"/>
                    <w:rPr>
                      <w:b/>
                      <w:bCs/>
                      <w:szCs w:val="24"/>
                    </w:rPr>
                  </w:pPr>
                </w:p>
                <w:p>
                  <w:pPr>
                    <w:rPr>
                      <w:b/>
                      <w:bCs/>
                    </w:rPr>
                  </w:pPr>
                </w:p>
              </w:sdtContent>
            </w:sdt>
            <w:sdt>
              <w:sdtPr>
                <w:alias w:val="poskyris"/>
                <w:tag w:val="part_f295ad1cd1c54293aa7d711edc8c5df7"/>
                <w:lock w:val="sdtLocked"/>
                <w:richText/>
              </w:sdtPr>
              <w:sdtContent>
                <w:p>
                  <w:pPr>
                    <w:tabs>
                      <w:tab w:val="center" w:pos="4153"/>
                      <w:tab w:val="right" w:pos="8306"/>
                    </w:tabs>
                    <w:ind w:firstLine="124"/>
                    <w:jc w:val="center"/>
                    <w:rPr>
                      <w:b/>
                      <w:bCs/>
                      <w:szCs w:val="24"/>
                    </w:rPr>
                  </w:pPr>
                  <w:sdt>
                    <w:sdtPr>
                      <w:alias w:val="Pavadinimas"/>
                      <w:tag w:val="title_f295ad1cd1c54293aa7d711edc8c5df7"/>
                      <w:lock w:val="sdtLocked"/>
                      <w:richText/>
                    </w:sdtPr>
                    <w:sdtContent>
                      <w:r>
                        <w:rPr>
                          <w:b/>
                          <w:bCs/>
                          <w:szCs w:val="24"/>
                        </w:rPr>
                        <w:t>Saugios, švarios ir patogios gyvenamosios aplinkos užtikrinimo programa ir jos uždaviniai</w:t>
                      </w:r>
                    </w:sdtContent>
                  </w:sdt>
                </w:p>
                <w:p>
                  <w:pPr>
                    <w:tabs>
                      <w:tab w:val="center" w:pos="4153"/>
                      <w:tab w:val="right" w:pos="8306"/>
                    </w:tabs>
                    <w:jc w:val="center"/>
                    <w:rPr>
                      <w:b/>
                      <w:bCs/>
                      <w:szCs w:val="24"/>
                    </w:rPr>
                  </w:pPr>
                </w:p>
                <w:p>
                  <w:pPr>
                    <w:jc w:val="both"/>
                    <w:rPr>
                      <w:i/>
                      <w:color w:val="808080"/>
                    </w:rPr>
                  </w:pPr>
                </w:p>
                <w:p>
                  <w:pPr>
                    <w:tabs>
                      <w:tab w:val="center" w:pos="4153"/>
                      <w:tab w:val="right" w:pos="8306"/>
                    </w:tabs>
                    <w:jc w:val="center"/>
                    <w:rPr>
                      <w:b/>
                      <w:bCs/>
                      <w:szCs w:val="24"/>
                    </w:rPr>
                  </w:pPr>
                  <w:r>
                    <w:rPr>
                      <w:b/>
                      <w:sz w:val="20"/>
                      <w:szCs w:val="24"/>
                      <w:lang w:val="en-US"/>
                    </w:rPr>
                    <w:drawing>
                      <wp:inline distT="0" distB="0" distL="0" distR="0" wp14:anchorId="0C091C81" wp14:editId="31D260A2">
                        <wp:extent cx="6267450" cy="5295900"/>
                        <wp:effectExtent l="0" t="38100" r="19050" b="19050"/>
                        <wp:docPr id="5" name="Diagrama 5"/>
                        <wp:cNvGraphicFramePr/>
                        <a:graphic xmlns:a="http://schemas.openxmlformats.org/drawingml/2006/main">
                          <a:graphicData uri="http://schemas.openxmlformats.org/drawingml/2006/diagram">
                            <dgm:relIds xmlns:dgm="http://schemas.openxmlformats.org/drawingml/2006/diagram" r:dm="rId30" r:lo="rId31" r:qs="rId32" r:cs="rId33"/>
                          </a:graphicData>
                        </a:graphic>
                      </wp:inline>
                    </w:drawing>
                  </w:r>
                </w:p>
                <w:p>
                  <w:pPr>
                    <w:tabs>
                      <w:tab w:val="center" w:pos="4153"/>
                      <w:tab w:val="right" w:pos="8306"/>
                    </w:tabs>
                    <w:jc w:val="center"/>
                    <w:rPr>
                      <w:b/>
                      <w:bCs/>
                      <w:szCs w:val="22"/>
                    </w:rPr>
                  </w:pPr>
                </w:p>
                <w:p>
                  <w:pPr>
                    <w:tabs>
                      <w:tab w:val="center" w:pos="4153"/>
                      <w:tab w:val="right" w:pos="8306"/>
                    </w:tabs>
                    <w:jc w:val="center"/>
                    <w:rPr>
                      <w:b/>
                      <w:bCs/>
                      <w:szCs w:val="22"/>
                    </w:rPr>
                  </w:pPr>
                </w:p>
                <w:tbl>
                  <w:tblPr>
                    <w:tblW w:w="998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252"/>
                    <w:gridCol w:w="3729"/>
                  </w:tblGrid>
                  <w:tr>
                    <w:trPr>
                      <w:jc w:val="center"/>
                    </w:trPr>
                    <w:tc>
                      <w:tcPr>
                        <w:tcW w:w="6252" w:type="dxa"/>
                        <w:shd w:val="clear" w:color="auto" w:fill="FFE8CB"/>
                      </w:tcPr>
                      <w:p>
                        <w:pPr>
                          <w:tabs>
                            <w:tab w:val="center" w:pos="4153"/>
                            <w:tab w:val="right" w:pos="8306"/>
                          </w:tabs>
                          <w:snapToGrid w:val="0"/>
                          <w:jc w:val="center"/>
                          <w:rPr>
                            <w:b/>
                            <w:szCs w:val="24"/>
                          </w:rPr>
                        </w:pPr>
                        <w:r>
                          <w:rPr>
                            <w:b/>
                            <w:szCs w:val="24"/>
                          </w:rPr>
                          <w:t>Programos vykdytojas</w:t>
                        </w:r>
                      </w:p>
                    </w:tc>
                    <w:tc>
                      <w:tcPr>
                        <w:tcW w:w="3729" w:type="dxa"/>
                        <w:shd w:val="clear" w:color="auto" w:fill="FFE8CB"/>
                      </w:tcPr>
                      <w:p>
                        <w:pPr>
                          <w:tabs>
                            <w:tab w:val="center" w:pos="4153"/>
                            <w:tab w:val="right" w:pos="8306"/>
                          </w:tabs>
                          <w:snapToGrid w:val="0"/>
                          <w:jc w:val="center"/>
                          <w:rPr>
                            <w:b/>
                            <w:bCs/>
                            <w:szCs w:val="24"/>
                          </w:rPr>
                        </w:pPr>
                        <w:r>
                          <w:rPr>
                            <w:b/>
                            <w:szCs w:val="24"/>
                          </w:rPr>
                          <w:t>Vykdytojo kodas</w:t>
                        </w:r>
                      </w:p>
                    </w:tc>
                  </w:tr>
                  <w:tr>
                    <w:trPr>
                      <w:jc w:val="center"/>
                    </w:trPr>
                    <w:tc>
                      <w:tcPr>
                        <w:tcW w:w="6252" w:type="dxa"/>
                        <w:vAlign w:val="bottom"/>
                      </w:tcPr>
                      <w:p>
                        <w:r>
                          <w:rPr>
                            <w:rFonts w:ascii="Calibri" w:hAnsi="Calibri" w:cs="Calibri"/>
                            <w:color w:val="000000"/>
                            <w:sz w:val="22"/>
                            <w:szCs w:val="22"/>
                          </w:rPr>
                          <w:t>Radviliškio rajono savivaldybės administracija</w:t>
                        </w:r>
                      </w:p>
                    </w:tc>
                    <w:tc>
                      <w:tcPr>
                        <w:tcW w:w="3729" w:type="dxa"/>
                        <w:vAlign w:val="bottom"/>
                      </w:tcPr>
                      <w:p>
                        <w:pPr>
                          <w:jc w:val="center"/>
                          <w:rPr>
                            <w:szCs w:val="24"/>
                          </w:rPr>
                        </w:pPr>
                        <w:r>
                          <w:rPr>
                            <w:rFonts w:ascii="Calibri" w:hAnsi="Calibri" w:cs="Calibri"/>
                            <w:color w:val="000000"/>
                            <w:sz w:val="22"/>
                            <w:szCs w:val="22"/>
                          </w:rPr>
                          <w:t>188726247</w:t>
                        </w:r>
                      </w:p>
                    </w:tc>
                  </w:tr>
                  <w:tr>
                    <w:trPr>
                      <w:jc w:val="center"/>
                    </w:trPr>
                    <w:tc>
                      <w:tcPr>
                        <w:tcW w:w="6252" w:type="dxa"/>
                        <w:vAlign w:val="bottom"/>
                      </w:tcPr>
                      <w:p>
                        <w:r>
                          <w:rPr>
                            <w:rFonts w:ascii="Calibri" w:hAnsi="Calibri" w:cs="Calibri"/>
                            <w:color w:val="000000"/>
                            <w:sz w:val="22"/>
                            <w:szCs w:val="22"/>
                          </w:rPr>
                          <w:t>Radviliškio rajono visuomenės sveikatos biuras</w:t>
                        </w:r>
                      </w:p>
                    </w:tc>
                    <w:tc>
                      <w:tcPr>
                        <w:tcW w:w="3729" w:type="dxa"/>
                        <w:vAlign w:val="bottom"/>
                      </w:tcPr>
                      <w:p>
                        <w:pPr>
                          <w:jc w:val="center"/>
                        </w:pPr>
                        <w:r>
                          <w:rPr>
                            <w:rFonts w:ascii="Calibri" w:hAnsi="Calibri" w:cs="Calibri"/>
                            <w:color w:val="000000"/>
                            <w:sz w:val="22"/>
                            <w:szCs w:val="22"/>
                          </w:rPr>
                          <w:t>302296907</w:t>
                        </w:r>
                      </w:p>
                    </w:tc>
                  </w:tr>
                </w:tbl>
                <w:p>
                  <w:pPr>
                    <w:tabs>
                      <w:tab w:val="center" w:pos="4153"/>
                      <w:tab w:val="right" w:pos="8306"/>
                    </w:tabs>
                    <w:jc w:val="center"/>
                    <w:rPr>
                      <w:b/>
                      <w:bCs/>
                      <w:szCs w:val="22"/>
                    </w:rPr>
                  </w:pPr>
                </w:p>
                <w:p>
                  <w:pPr>
                    <w:tabs>
                      <w:tab w:val="center" w:pos="4153"/>
                      <w:tab w:val="right" w:pos="8306"/>
                    </w:tabs>
                    <w:jc w:val="center"/>
                    <w:rPr>
                      <w:b/>
                      <w:bCs/>
                      <w:szCs w:val="22"/>
                    </w:rPr>
                  </w:pPr>
                </w:p>
                <w:tbl>
                  <w:tblPr>
                    <w:tblW w:w="9942"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9942"/>
                  </w:tblGrid>
                  <w:tr>
                    <w:trPr>
                      <w:cantSplit/>
                      <w:trHeight w:val="1094"/>
                      <w:jc w:val="center"/>
                    </w:trPr>
                    <w:tc>
                      <w:tcPr>
                        <w:tcW w:w="9942" w:type="dxa"/>
                      </w:tcPr>
                      <w:p>
                        <w:pPr>
                          <w:tabs>
                            <w:tab w:val="center" w:pos="4153"/>
                            <w:tab w:val="right" w:pos="8306"/>
                          </w:tabs>
                          <w:ind w:firstLine="731"/>
                          <w:jc w:val="both"/>
                          <w:rPr>
                            <w:szCs w:val="24"/>
                          </w:rPr>
                        </w:pPr>
                        <w:r>
                          <w:rPr>
                            <w:b/>
                            <w:szCs w:val="24"/>
                          </w:rPr>
                          <w:t>Programos parengimo argumentai</w:t>
                        </w:r>
                      </w:p>
                      <w:p>
                        <w:pPr>
                          <w:tabs>
                            <w:tab w:val="center" w:pos="4153"/>
                            <w:tab w:val="right" w:pos="8306"/>
                          </w:tabs>
                          <w:ind w:firstLine="731"/>
                          <w:jc w:val="both"/>
                          <w:rPr>
                            <w:szCs w:val="24"/>
                          </w:rPr>
                        </w:pPr>
                        <w:r>
                          <w:rPr>
                            <w:szCs w:val="24"/>
                          </w:rPr>
                          <w:t xml:space="preserve">Šia programa realizuojamos Lietuvos Respublikos vietos savivaldos įstatyme nustatytos </w:t>
                        </w:r>
                        <w:r>
                          <w:rPr>
                            <w:i/>
                            <w:szCs w:val="24"/>
                          </w:rPr>
                          <w:t>savivaldybių savarankiškosios funkcijos</w:t>
                        </w:r>
                        <w:r>
                          <w:rPr>
                            <w:szCs w:val="24"/>
                          </w:rPr>
                          <w:t xml:space="preserve">: </w:t>
                        </w:r>
                        <w:r>
                          <w:rPr>
                            <w:bCs/>
                            <w:szCs w:val="24"/>
                          </w:rPr>
                          <w:t>savivaldybių vietinės reikšmės kelių ir gatvių priežiūra, taisymas, tiesimas ir saugaus eismo organizavimas; šilumos tiekimo organizavimas</w:t>
                        </w:r>
                        <w:r>
                          <w:rPr>
                            <w:szCs w:val="24"/>
                          </w:rPr>
                          <w:t xml:space="preserve">; </w:t>
                        </w:r>
                        <w:r>
                          <w:rPr>
                            <w:bCs/>
                            <w:szCs w:val="24"/>
                          </w:rPr>
                          <w:t>ritualinių paslaugų teikimo užtikrinimas ir kapinių priežiūros organizavimas; aplinkos kokybės gerinimas ir apsauga;</w:t>
                        </w:r>
                        <w:r>
                          <w:rPr>
                            <w:szCs w:val="24"/>
                          </w:rPr>
                          <w:t xml:space="preserve"> kraštovaizdžio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 </w:t>
                        </w:r>
                        <w:r>
                          <w:rPr>
                            <w:bCs/>
                            <w:szCs w:val="24"/>
                          </w:rPr>
                          <w:t xml:space="preserve">komunalinių atliekų tvarkymo sistemų diegimas, antrinių žaliavų surinkimo ir perdirbimo organizavimas, sąvartynų įrengimas ir eksploatavimas; geriamojo vandens tiekimo ir nuotekų tvarkymo organizavimas, </w:t>
                        </w:r>
                        <w:r>
                          <w:rPr>
                            <w:bCs/>
                            <w:i/>
                            <w:szCs w:val="24"/>
                          </w:rPr>
                          <w:t>valstybinės (valstybės perduotos savivaldybės) funkcijos</w:t>
                        </w:r>
                        <w:r>
                          <w:rPr>
                            <w:bCs/>
                            <w:szCs w:val="24"/>
                          </w:rPr>
                          <w:t xml:space="preserve">: </w:t>
                        </w:r>
                        <w:r>
                          <w:rPr>
                            <w:szCs w:val="24"/>
                          </w:rPr>
                          <w:t>stichinių meteorologinių reiškinių, gyvūnų užkrečiamųjų ligų likvidavimo ir priežiūros programų įgyvendinimas, medžiojamųjų gyvūnų ir griežtai saugomų rūšių laukinių gyvūnų žemės ūkiui padarytos žalos ir nuostolių nustatymas; pirminė asmens ir visuomenės sveikatos priežiūra (įstaigų steigimas, reorganizavimas, likvidavimas, išlaikymas); savivaldybių sveikatos programų rengimas ir įgyvendinimas; parama savivaldybės gyventojų sveikatos priežiūrai;</w:t>
                        </w:r>
                        <w:r>
                          <w:rPr>
                            <w:bCs/>
                            <w:szCs w:val="24"/>
                          </w:rPr>
                          <w:t xml:space="preserve"> sanitarijos ir higienos taisyklių tvirtinimas ir jų laikymosi kontrolės organizavimas, švaros ir tvarkos viešose vietose užtikrinimas; savivaldybėms priskirtas triukšmo prevencijos ir triukšmo valstybinio valdymo įgyvendinimas,</w:t>
                        </w:r>
                        <w:r>
                          <w:rPr>
                            <w:szCs w:val="24"/>
                          </w:rPr>
                          <w:t xml:space="preserve"> bei </w:t>
                        </w:r>
                        <w:r>
                          <w:rPr>
                            <w:i/>
                            <w:szCs w:val="24"/>
                          </w:rPr>
                          <w:t>valstybinės (valstybės perduotos savivaldybėms) funkcijos</w:t>
                        </w:r>
                        <w:r>
                          <w:rPr>
                            <w:szCs w:val="24"/>
                          </w:rPr>
                          <w:t xml:space="preserve">: antrinės ir tretinės sveikatos priežiūros organizavimas įstatymų nustatytais atvejais ir tvarka; </w:t>
                        </w:r>
                        <w:r>
                          <w:rPr>
                            <w:sz w:val="22"/>
                            <w:szCs w:val="22"/>
                          </w:rPr>
                          <w:t>dalyvavimas, bendradarbiavimas užtikrinant viešąją tvarką, kuriant ir įgyvendinant nusikaltimų prevencijos programas.</w:t>
                        </w:r>
                      </w:p>
                      <w:p>
                        <w:pPr>
                          <w:tabs>
                            <w:tab w:val="center" w:pos="4153"/>
                            <w:tab w:val="right" w:pos="8306"/>
                          </w:tabs>
                          <w:ind w:firstLine="225"/>
                          <w:jc w:val="both"/>
                          <w:rPr>
                            <w:szCs w:val="24"/>
                          </w:rPr>
                        </w:pPr>
                      </w:p>
                    </w:tc>
                  </w:tr>
                </w:tbl>
                <w:p/>
                <w:tbl>
                  <w:tblPr>
                    <w:tblW w:w="9942"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1E0" w:firstRow="1" w:lastRow="1" w:firstColumn="1" w:lastColumn="1" w:noHBand="0" w:noVBand="0"/>
                  </w:tblPr>
                  <w:tblGrid>
                    <w:gridCol w:w="9942"/>
                  </w:tblGrid>
                  <w:tr>
                    <w:trPr>
                      <w:jc w:val="center"/>
                    </w:trPr>
                    <w:tc>
                      <w:tcPr>
                        <w:tcW w:w="9942" w:type="dxa"/>
                      </w:tcPr>
                      <w:p>
                        <w:pPr>
                          <w:ind w:firstLine="731"/>
                          <w:jc w:val="both"/>
                          <w:rPr>
                            <w:b/>
                            <w:bCs/>
                            <w:szCs w:val="22"/>
                          </w:rPr>
                        </w:pPr>
                        <w:r>
                          <w:rPr>
                            <w:b/>
                            <w:bCs/>
                            <w:szCs w:val="22"/>
                          </w:rPr>
                          <w:t>Numatomas programos įgyvendinimo rezultatas</w:t>
                        </w:r>
                      </w:p>
                      <w:p>
                        <w:pPr>
                          <w:ind w:firstLine="731"/>
                          <w:jc w:val="both"/>
                          <w:rPr>
                            <w:b/>
                            <w:bCs/>
                            <w:szCs w:val="22"/>
                          </w:rPr>
                        </w:pPr>
                        <w:r>
                          <w:t xml:space="preserve">Įgyvendinus programoje užsibrėžtus siekius, rajono savivaldybės gyventojai gyvens saugesnėje ir švaresnėje aplinkoje. Rajono savivaldybės gyventojai gaus aukštos kokybės asmens ir visuomenės sveikatos paslaugas. Gerės bendrieji gyventojų sveikatos rodikliai. Viešojo naudojimo teritorijos bus saugios ir patrauklesnės gyventojams ir rajono savivaldybės svečiams. </w:t>
                        </w:r>
                      </w:p>
                    </w:tc>
                  </w:tr>
                </w:tbl>
                <w:p>
                  <w:pPr>
                    <w:jc w:val="center"/>
                    <w:rPr>
                      <w:b/>
                      <w:bCs/>
                      <w:szCs w:val="24"/>
                    </w:rPr>
                  </w:pPr>
                </w:p>
              </w:sdtContent>
            </w:sdt>
            <w:sdt>
              <w:sdtPr>
                <w:alias w:val="poskyris"/>
                <w:tag w:val="part_3a359fa36d0946958d98d4abd0042d2b"/>
                <w:lock w:val="sdtLocked"/>
                <w:richText/>
              </w:sdtPr>
              <w:sdtContent>
                <w:p>
                  <w:pPr>
                    <w:jc w:val="center"/>
                    <w:rPr>
                      <w:b/>
                      <w:bCs/>
                      <w:szCs w:val="24"/>
                    </w:rPr>
                  </w:pPr>
                  <w:sdt>
                    <w:sdtPr>
                      <w:alias w:val="Pavadinimas"/>
                      <w:tag w:val="title_3a359fa36d0946958d98d4abd0042d2b"/>
                      <w:lock w:val="sdtLocked"/>
                      <w:richText/>
                    </w:sdtPr>
                    <w:sdtContent>
                      <w:r>
                        <w:rPr>
                          <w:b/>
                          <w:bCs/>
                          <w:szCs w:val="24"/>
                        </w:rPr>
                        <w:t>Programos uždaviniai, priemonės ir jų stebėsenos rodikliai</w:t>
                      </w:r>
                    </w:sdtContent>
                  </w:sdt>
                </w:p>
                <w:tbl>
                  <w:tblPr>
                    <w:tblW w:w="4880" w:type="pct"/>
                    <w:tblInd w:w="138"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323"/>
                    <w:gridCol w:w="4209"/>
                    <w:gridCol w:w="874"/>
                    <w:gridCol w:w="1300"/>
                    <w:gridCol w:w="949"/>
                    <w:gridCol w:w="1550"/>
                  </w:tblGrid>
                  <w:tr>
                    <w:trPr>
                      <w:trHeight w:val="230"/>
                      <w:tblHeader/>
                    </w:trPr>
                    <w:tc>
                      <w:tcPr>
                        <w:tcW w:w="648"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062"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530"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9" w:type="pct"/>
                        <w:vMerge w:val="restart"/>
                        <w:shd w:val="clear" w:color="auto" w:fill="FFE8CB"/>
                      </w:tcPr>
                      <w:p>
                        <w:pPr>
                          <w:spacing w:line="256" w:lineRule="auto"/>
                          <w:jc w:val="center"/>
                          <w:rPr>
                            <w:b/>
                            <w:bCs/>
                            <w:color w:val="000000"/>
                            <w:lang w:eastAsia="lt-LT"/>
                          </w:rPr>
                        </w:pPr>
                        <w:r>
                          <w:rPr>
                            <w:b/>
                            <w:bCs/>
                            <w:color w:val="000000"/>
                            <w:lang w:eastAsia="lt-LT"/>
                          </w:rPr>
                          <w:t>Savivaldybės strateginio plėtros plano rodiklis</w:t>
                        </w:r>
                      </w:p>
                    </w:tc>
                  </w:tr>
                  <w:tr>
                    <w:trPr>
                      <w:trHeight w:val="230"/>
                      <w:tblHeader/>
                    </w:trPr>
                    <w:tc>
                      <w:tcPr>
                        <w:tcW w:w="648" w:type="pct"/>
                        <w:vMerge/>
                        <w:shd w:val="clear" w:color="auto" w:fill="FFE8CB"/>
                        <w:vAlign w:val="center"/>
                        <w:hideMark/>
                      </w:tcPr>
                      <w:p>
                        <w:pPr>
                          <w:spacing w:line="256" w:lineRule="auto"/>
                          <w:rPr>
                            <w:b/>
                            <w:bCs/>
                            <w:lang w:eastAsia="lt-LT"/>
                          </w:rPr>
                        </w:pPr>
                      </w:p>
                    </w:tc>
                    <w:tc>
                      <w:tcPr>
                        <w:tcW w:w="2062" w:type="pct"/>
                        <w:vMerge/>
                        <w:shd w:val="clear" w:color="auto" w:fill="FFE8CB"/>
                        <w:vAlign w:val="center"/>
                        <w:hideMark/>
                      </w:tcPr>
                      <w:p>
                        <w:pPr>
                          <w:spacing w:line="256" w:lineRule="auto"/>
                          <w:rPr>
                            <w:b/>
                            <w:bCs/>
                            <w:color w:val="000000"/>
                            <w:lang w:eastAsia="lt-LT"/>
                          </w:rPr>
                        </w:pPr>
                      </w:p>
                    </w:tc>
                    <w:tc>
                      <w:tcPr>
                        <w:tcW w:w="428"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637"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465"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759" w:type="pct"/>
                        <w:vMerge/>
                        <w:shd w:val="clear" w:color="auto" w:fill="FFE8CB"/>
                      </w:tcPr>
                      <w:p>
                        <w:pPr>
                          <w:spacing w:line="256" w:lineRule="auto"/>
                          <w:jc w:val="center"/>
                          <w:rPr>
                            <w:b/>
                            <w:bCs/>
                            <w:i/>
                            <w:color w:val="000000"/>
                            <w:lang w:eastAsia="lt-LT"/>
                          </w:rPr>
                        </w:pPr>
                      </w:p>
                    </w:tc>
                  </w:tr>
                  <w:tr>
                    <w:trPr>
                      <w:trHeight w:val="42"/>
                      <w:tblHeader/>
                    </w:trPr>
                    <w:tc>
                      <w:tcPr>
                        <w:tcW w:w="648"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06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28"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637"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465"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759" w:type="pct"/>
                        <w:shd w:val="clear" w:color="auto" w:fill="FFE8CB"/>
                      </w:tcPr>
                      <w:p>
                        <w:pPr>
                          <w:spacing w:line="256" w:lineRule="auto"/>
                          <w:jc w:val="center"/>
                          <w:rPr>
                            <w:color w:val="000000"/>
                            <w:lang w:eastAsia="lt-LT"/>
                          </w:rPr>
                        </w:pPr>
                        <w:r>
                          <w:rPr>
                            <w:color w:val="000000"/>
                            <w:lang w:eastAsia="lt-LT"/>
                          </w:rPr>
                          <w:t>6</w:t>
                        </w:r>
                      </w:p>
                    </w:tc>
                  </w:tr>
                  <w:tr>
                    <w:tc>
                      <w:tcPr>
                        <w:tcW w:w="648" w:type="pct"/>
                        <w:tcMar>
                          <w:top w:w="28" w:type="dxa"/>
                          <w:left w:w="57" w:type="dxa"/>
                          <w:bottom w:w="28" w:type="dxa"/>
                          <w:right w:w="57" w:type="dxa"/>
                        </w:tcMar>
                      </w:tcPr>
                      <w:p>
                        <w:pPr>
                          <w:spacing w:line="256" w:lineRule="auto"/>
                          <w:rPr>
                            <w:sz w:val="18"/>
                            <w:szCs w:val="18"/>
                            <w:lang w:eastAsia="lt-LT"/>
                          </w:rPr>
                        </w:pPr>
                      </w:p>
                    </w:tc>
                    <w:tc>
                      <w:tcPr>
                        <w:tcW w:w="2062" w:type="pct"/>
                        <w:tcMar>
                          <w:top w:w="28" w:type="dxa"/>
                          <w:left w:w="57" w:type="dxa"/>
                          <w:bottom w:w="28" w:type="dxa"/>
                          <w:right w:w="57" w:type="dxa"/>
                        </w:tcMar>
                      </w:tcPr>
                      <w:p>
                        <w:pPr>
                          <w:spacing w:line="256" w:lineRule="auto"/>
                          <w:rPr>
                            <w:b/>
                            <w:bCs/>
                            <w:sz w:val="18"/>
                            <w:szCs w:val="18"/>
                          </w:rPr>
                        </w:pPr>
                        <w:r>
                          <w:rPr>
                            <w:b/>
                            <w:bCs/>
                            <w:sz w:val="18"/>
                            <w:szCs w:val="18"/>
                          </w:rPr>
                          <w:t>3 uždavinys vykdyti kryptingą visuomenės sveikatinimo veiklą</w:t>
                        </w:r>
                      </w:p>
                    </w:tc>
                    <w:tc>
                      <w:tcPr>
                        <w:tcW w:w="428" w:type="pct"/>
                        <w:tcMar>
                          <w:top w:w="28" w:type="dxa"/>
                          <w:left w:w="57" w:type="dxa"/>
                          <w:bottom w:w="28" w:type="dxa"/>
                          <w:right w:w="57" w:type="dxa"/>
                        </w:tcMar>
                      </w:tcPr>
                      <w:p>
                        <w:pPr>
                          <w:spacing w:line="256" w:lineRule="auto"/>
                          <w:jc w:val="center"/>
                          <w:rPr>
                            <w:sz w:val="18"/>
                            <w:szCs w:val="18"/>
                          </w:rPr>
                        </w:pPr>
                      </w:p>
                    </w:tc>
                    <w:tc>
                      <w:tcPr>
                        <w:tcW w:w="637" w:type="pct"/>
                        <w:tcMar>
                          <w:top w:w="28" w:type="dxa"/>
                          <w:left w:w="57" w:type="dxa"/>
                          <w:bottom w:w="28" w:type="dxa"/>
                          <w:right w:w="57" w:type="dxa"/>
                        </w:tcMar>
                      </w:tcPr>
                      <w:p>
                        <w:pPr>
                          <w:spacing w:line="256" w:lineRule="auto"/>
                          <w:jc w:val="center"/>
                          <w:rPr>
                            <w:sz w:val="18"/>
                            <w:szCs w:val="18"/>
                          </w:rPr>
                        </w:pPr>
                      </w:p>
                    </w:tc>
                    <w:tc>
                      <w:tcPr>
                        <w:tcW w:w="465" w:type="pct"/>
                        <w:tcMar>
                          <w:top w:w="28" w:type="dxa"/>
                          <w:left w:w="57" w:type="dxa"/>
                          <w:bottom w:w="28" w:type="dxa"/>
                          <w:right w:w="57" w:type="dxa"/>
                        </w:tcMar>
                      </w:tcPr>
                      <w:p>
                        <w:pPr>
                          <w:spacing w:line="256" w:lineRule="auto"/>
                          <w:jc w:val="center"/>
                          <w:rPr>
                            <w:sz w:val="18"/>
                            <w:szCs w:val="18"/>
                          </w:rPr>
                        </w:pP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E-6-1-3.1</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Nutukusių ir antsvorį turinčių mokyklinio amžiaus vaikų dalis</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23 proc.</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22 proc.</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20 proc.</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E-6-1-3.2</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Mokinių dalis, kurie sportuoja kasdien (ne pamokų metu)</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20 proc.</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E-6-1-3.3</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Suaugusiųjų dalis, užsiimančių fizine veikla mažiausiai 30 min., daugiau nei 5d./sav.</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36 proc.</w:t>
                        </w:r>
                      </w:p>
                    </w:tc>
                    <w:tc>
                      <w:tcPr>
                        <w:tcW w:w="465" w:type="pct"/>
                        <w:tcMar>
                          <w:top w:w="28" w:type="dxa"/>
                          <w:left w:w="57" w:type="dxa"/>
                          <w:bottom w:w="28" w:type="dxa"/>
                          <w:right w:w="57" w:type="dxa"/>
                        </w:tcMar>
                      </w:tcPr>
                      <w:p>
                        <w:pPr>
                          <w:spacing w:line="256" w:lineRule="auto"/>
                          <w:jc w:val="center"/>
                          <w:rPr>
                            <w:bCs/>
                            <w:sz w:val="18"/>
                            <w:szCs w:val="18"/>
                            <w:lang w:eastAsia="lt-LT"/>
                          </w:rPr>
                        </w:pP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E-6-1-3.4</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Suteiktų psichiatrinių ar psichologinių paslaugų skaičius, vnt.</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13 600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13 600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13 600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E-6-1-3.5</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Suaugusiųjų dalis, kurie vertina savo sveikatą kaip gerą ar labai gerą,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 xml:space="preserve">60 </w:t>
                        </w:r>
                      </w:p>
                    </w:tc>
                    <w:tc>
                      <w:tcPr>
                        <w:tcW w:w="63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60</w:t>
                        </w:r>
                      </w:p>
                    </w:tc>
                    <w:tc>
                      <w:tcPr>
                        <w:tcW w:w="46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65</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E-6-1-3.6</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Suaugusiųjų dalis, kuriems buvo labiau prislėgta nuotaika nei anksčiau</w:t>
                        </w:r>
                      </w:p>
                    </w:tc>
                    <w:tc>
                      <w:tcPr>
                        <w:tcW w:w="428" w:type="pct"/>
                        <w:tcMar>
                          <w:top w:w="28" w:type="dxa"/>
                          <w:left w:w="57" w:type="dxa"/>
                          <w:bottom w:w="28" w:type="dxa"/>
                          <w:right w:w="57" w:type="dxa"/>
                        </w:tcMar>
                      </w:tcPr>
                      <w:p>
                        <w:pPr>
                          <w:spacing w:line="256" w:lineRule="auto"/>
                          <w:jc w:val="center"/>
                          <w:rPr>
                            <w:bCs/>
                            <w:sz w:val="18"/>
                            <w:szCs w:val="18"/>
                            <w:lang w:eastAsia="lt-LT"/>
                          </w:rPr>
                        </w:pP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20 proc. (numatomas sekantis gyvensenos tyrimas)</w:t>
                        </w:r>
                      </w:p>
                    </w:tc>
                    <w:tc>
                      <w:tcPr>
                        <w:tcW w:w="465" w:type="pct"/>
                        <w:tcMar>
                          <w:top w:w="28" w:type="dxa"/>
                          <w:left w:w="57" w:type="dxa"/>
                          <w:bottom w:w="28" w:type="dxa"/>
                          <w:right w:w="57" w:type="dxa"/>
                        </w:tcMar>
                      </w:tcPr>
                      <w:p>
                        <w:pPr>
                          <w:spacing w:line="256" w:lineRule="auto"/>
                          <w:jc w:val="center"/>
                          <w:rPr>
                            <w:bCs/>
                            <w:sz w:val="18"/>
                            <w:szCs w:val="18"/>
                            <w:lang w:eastAsia="lt-LT"/>
                          </w:rPr>
                        </w:pPr>
                      </w:p>
                    </w:tc>
                    <w:tc>
                      <w:tcPr>
                        <w:tcW w:w="759" w:type="pct"/>
                      </w:tcPr>
                      <w:p>
                        <w:pPr>
                          <w:spacing w:line="256" w:lineRule="auto"/>
                          <w:rPr>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E-6-1-3.7</w:t>
                        </w:r>
                      </w:p>
                    </w:tc>
                    <w:tc>
                      <w:tcPr>
                        <w:tcW w:w="2062" w:type="pct"/>
                        <w:tcMar>
                          <w:top w:w="28" w:type="dxa"/>
                          <w:left w:w="57" w:type="dxa"/>
                          <w:bottom w:w="28" w:type="dxa"/>
                          <w:right w:w="57" w:type="dxa"/>
                        </w:tcMar>
                      </w:tcPr>
                      <w:p>
                        <w:pPr>
                          <w:spacing w:line="256" w:lineRule="auto"/>
                          <w:rPr>
                            <w:sz w:val="18"/>
                            <w:szCs w:val="18"/>
                            <w:lang w:eastAsia="lt-LT"/>
                          </w:rPr>
                        </w:pPr>
                        <w:r>
                          <w:rPr>
                            <w:sz w:val="18"/>
                            <w:szCs w:val="18"/>
                            <w:lang w:eastAsia="lt-LT"/>
                          </w:rPr>
                          <w:t>Suaugusiųjų dalis, kurie jaučiasi laimingi ar labai laimingi</w:t>
                        </w:r>
                      </w:p>
                    </w:tc>
                    <w:tc>
                      <w:tcPr>
                        <w:tcW w:w="428" w:type="pct"/>
                        <w:tcMar>
                          <w:top w:w="28" w:type="dxa"/>
                          <w:left w:w="57" w:type="dxa"/>
                          <w:bottom w:w="28" w:type="dxa"/>
                          <w:right w:w="57" w:type="dxa"/>
                        </w:tcMar>
                      </w:tcPr>
                      <w:p>
                        <w:pPr>
                          <w:spacing w:line="256" w:lineRule="auto"/>
                          <w:jc w:val="center"/>
                          <w:rPr>
                            <w:bCs/>
                            <w:sz w:val="18"/>
                            <w:szCs w:val="18"/>
                            <w:lang w:eastAsia="lt-LT"/>
                          </w:rPr>
                        </w:pPr>
                      </w:p>
                    </w:tc>
                    <w:tc>
                      <w:tcPr>
                        <w:tcW w:w="637" w:type="pct"/>
                        <w:tcMar>
                          <w:top w:w="28" w:type="dxa"/>
                          <w:left w:w="57" w:type="dxa"/>
                          <w:bottom w:w="28" w:type="dxa"/>
                          <w:right w:w="57" w:type="dxa"/>
                        </w:tcMar>
                      </w:tcPr>
                      <w:p>
                        <w:pPr>
                          <w:spacing w:line="256" w:lineRule="auto"/>
                          <w:jc w:val="center"/>
                          <w:rPr>
                            <w:bCs/>
                            <w:sz w:val="18"/>
                            <w:szCs w:val="18"/>
                            <w:lang w:eastAsia="lt-LT"/>
                          </w:rPr>
                        </w:pPr>
                        <w:r>
                          <w:rPr>
                            <w:rFonts w:eastAsia="Calibri"/>
                            <w:b/>
                            <w:bCs/>
                            <w:iCs/>
                            <w:sz w:val="18"/>
                            <w:szCs w:val="18"/>
                          </w:rPr>
                          <w:t xml:space="preserve">60 proc. </w:t>
                        </w:r>
                        <w:r>
                          <w:rPr>
                            <w:rFonts w:eastAsia="Calibri"/>
                            <w:iCs/>
                            <w:sz w:val="18"/>
                            <w:szCs w:val="18"/>
                          </w:rPr>
                          <w:t>(numatomas sekantis gyvensenos tyrimas)</w:t>
                        </w:r>
                      </w:p>
                    </w:tc>
                    <w:tc>
                      <w:tcPr>
                        <w:tcW w:w="465" w:type="pct"/>
                        <w:tcMar>
                          <w:top w:w="28" w:type="dxa"/>
                          <w:left w:w="57" w:type="dxa"/>
                          <w:bottom w:w="28" w:type="dxa"/>
                          <w:right w:w="57" w:type="dxa"/>
                        </w:tcMar>
                      </w:tcPr>
                      <w:p>
                        <w:pPr>
                          <w:spacing w:line="256" w:lineRule="auto"/>
                          <w:jc w:val="center"/>
                          <w:rPr>
                            <w:bCs/>
                            <w:sz w:val="18"/>
                            <w:szCs w:val="18"/>
                            <w:lang w:eastAsia="lt-LT"/>
                          </w:rPr>
                        </w:pPr>
                      </w:p>
                    </w:tc>
                    <w:tc>
                      <w:tcPr>
                        <w:tcW w:w="759" w:type="pct"/>
                      </w:tcPr>
                      <w:p>
                        <w:pPr>
                          <w:spacing w:line="256" w:lineRule="auto"/>
                          <w:rPr>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E-6-1-3.8</w:t>
                        </w:r>
                      </w:p>
                    </w:tc>
                    <w:tc>
                      <w:tcPr>
                        <w:tcW w:w="2062" w:type="pct"/>
                        <w:tcMar>
                          <w:top w:w="28" w:type="dxa"/>
                          <w:left w:w="57" w:type="dxa"/>
                          <w:bottom w:w="28" w:type="dxa"/>
                          <w:right w:w="57" w:type="dxa"/>
                        </w:tcMar>
                      </w:tcPr>
                      <w:p>
                        <w:pPr>
                          <w:spacing w:line="256" w:lineRule="auto"/>
                          <w:rPr>
                            <w:sz w:val="18"/>
                            <w:szCs w:val="18"/>
                          </w:rPr>
                        </w:pPr>
                        <w:r>
                          <w:rPr>
                            <w:sz w:val="18"/>
                            <w:szCs w:val="18"/>
                          </w:rPr>
                          <w:t>Bazinių savižudybių prevencijos mokymų organizavimas savivaldybių gyventojams, gyventojų skaičius</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160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160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160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E-6-1-3.9</w:t>
                        </w:r>
                      </w:p>
                    </w:tc>
                    <w:tc>
                      <w:tcPr>
                        <w:tcW w:w="2062" w:type="pct"/>
                        <w:tcMar>
                          <w:top w:w="28" w:type="dxa"/>
                          <w:left w:w="57" w:type="dxa"/>
                          <w:bottom w:w="28" w:type="dxa"/>
                          <w:right w:w="57" w:type="dxa"/>
                        </w:tcMar>
                      </w:tcPr>
                      <w:p>
                        <w:pPr>
                          <w:rPr>
                            <w:bCs/>
                            <w:sz w:val="18"/>
                            <w:szCs w:val="18"/>
                          </w:rPr>
                        </w:pPr>
                        <w:r>
                          <w:rPr>
                            <w:bCs/>
                            <w:sz w:val="18"/>
                            <w:szCs w:val="18"/>
                          </w:rPr>
                          <w:t>Asmenų, gavusių priklausomybės konsultavimo paslaugas, skaičius</w:t>
                        </w:r>
                      </w:p>
                      <w:p>
                        <w:pPr>
                          <w:spacing w:line="256" w:lineRule="auto"/>
                          <w:rPr>
                            <w:bCs/>
                            <w:sz w:val="18"/>
                            <w:szCs w:val="18"/>
                          </w:rPr>
                        </w:pPr>
                      </w:p>
                    </w:tc>
                    <w:tc>
                      <w:tcPr>
                        <w:tcW w:w="428" w:type="pct"/>
                        <w:tcMar>
                          <w:top w:w="28" w:type="dxa"/>
                          <w:left w:w="57" w:type="dxa"/>
                          <w:bottom w:w="28" w:type="dxa"/>
                          <w:right w:w="57" w:type="dxa"/>
                        </w:tcMar>
                      </w:tcPr>
                      <w:p>
                        <w:pPr>
                          <w:spacing w:line="256" w:lineRule="auto"/>
                          <w:rPr>
                            <w:bCs/>
                            <w:sz w:val="18"/>
                            <w:szCs w:val="18"/>
                            <w:lang w:eastAsia="lt-LT"/>
                          </w:rPr>
                        </w:pPr>
                        <w:r>
                          <w:rPr>
                            <w:sz w:val="18"/>
                            <w:szCs w:val="18"/>
                          </w:rPr>
                          <w:t xml:space="preserve">Pasiekti 100 proc. </w:t>
                        </w:r>
                      </w:p>
                    </w:tc>
                    <w:tc>
                      <w:tcPr>
                        <w:tcW w:w="637" w:type="pct"/>
                        <w:tcMar>
                          <w:top w:w="28" w:type="dxa"/>
                          <w:left w:w="57" w:type="dxa"/>
                          <w:bottom w:w="28" w:type="dxa"/>
                          <w:right w:w="57" w:type="dxa"/>
                        </w:tcMar>
                      </w:tcPr>
                      <w:p>
                        <w:pPr>
                          <w:spacing w:line="256" w:lineRule="auto"/>
                          <w:rPr>
                            <w:bCs/>
                            <w:sz w:val="18"/>
                            <w:szCs w:val="18"/>
                            <w:lang w:eastAsia="lt-LT"/>
                          </w:rPr>
                        </w:pPr>
                        <w:r>
                          <w:rPr>
                            <w:sz w:val="18"/>
                            <w:szCs w:val="18"/>
                          </w:rPr>
                          <w:t>Pasiekti 100 proc.</w:t>
                        </w:r>
                      </w:p>
                    </w:tc>
                    <w:tc>
                      <w:tcPr>
                        <w:tcW w:w="465" w:type="pct"/>
                        <w:tcMar>
                          <w:top w:w="28" w:type="dxa"/>
                          <w:left w:w="57" w:type="dxa"/>
                          <w:bottom w:w="28" w:type="dxa"/>
                          <w:right w:w="57" w:type="dxa"/>
                        </w:tcMar>
                      </w:tcPr>
                      <w:p>
                        <w:pPr>
                          <w:spacing w:line="256" w:lineRule="auto"/>
                          <w:rPr>
                            <w:bCs/>
                            <w:sz w:val="18"/>
                            <w:szCs w:val="18"/>
                            <w:lang w:eastAsia="lt-LT"/>
                          </w:rPr>
                        </w:pPr>
                        <w:r>
                          <w:rPr>
                            <w:sz w:val="18"/>
                            <w:szCs w:val="18"/>
                          </w:rPr>
                          <w:t>Pasiekti 100 proc.</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p>
                    </w:tc>
                    <w:tc>
                      <w:tcPr>
                        <w:tcW w:w="2062" w:type="pct"/>
                        <w:tcMar>
                          <w:top w:w="28" w:type="dxa"/>
                          <w:left w:w="57" w:type="dxa"/>
                          <w:bottom w:w="28" w:type="dxa"/>
                          <w:right w:w="57" w:type="dxa"/>
                        </w:tcMar>
                      </w:tcPr>
                      <w:p>
                        <w:pPr>
                          <w:rPr>
                            <w:b/>
                            <w:bCs/>
                            <w:sz w:val="18"/>
                            <w:szCs w:val="18"/>
                          </w:rPr>
                        </w:pPr>
                        <w:r>
                          <w:rPr>
                            <w:b/>
                            <w:bCs/>
                            <w:sz w:val="18"/>
                            <w:szCs w:val="18"/>
                          </w:rPr>
                          <w:t>4 uždavinys didinti asmens sveikatos priežiūros paslaugų prieinamumą ir gerinti kokybę</w:t>
                        </w:r>
                      </w:p>
                    </w:tc>
                    <w:tc>
                      <w:tcPr>
                        <w:tcW w:w="428" w:type="pct"/>
                        <w:tcMar>
                          <w:top w:w="28" w:type="dxa"/>
                          <w:left w:w="57" w:type="dxa"/>
                          <w:bottom w:w="28" w:type="dxa"/>
                          <w:right w:w="57" w:type="dxa"/>
                        </w:tcMar>
                      </w:tcPr>
                      <w:p>
                        <w:pPr>
                          <w:spacing w:line="256" w:lineRule="auto"/>
                          <w:rPr>
                            <w:sz w:val="18"/>
                            <w:szCs w:val="18"/>
                          </w:rPr>
                        </w:pPr>
                      </w:p>
                    </w:tc>
                    <w:tc>
                      <w:tcPr>
                        <w:tcW w:w="637" w:type="pct"/>
                        <w:tcMar>
                          <w:top w:w="28" w:type="dxa"/>
                          <w:left w:w="57" w:type="dxa"/>
                          <w:bottom w:w="28" w:type="dxa"/>
                          <w:right w:w="57" w:type="dxa"/>
                        </w:tcMar>
                      </w:tcPr>
                      <w:p>
                        <w:pPr>
                          <w:spacing w:line="256" w:lineRule="auto"/>
                          <w:rPr>
                            <w:sz w:val="18"/>
                            <w:szCs w:val="18"/>
                          </w:rPr>
                        </w:pPr>
                      </w:p>
                    </w:tc>
                    <w:tc>
                      <w:tcPr>
                        <w:tcW w:w="465" w:type="pct"/>
                        <w:tcMar>
                          <w:top w:w="28" w:type="dxa"/>
                          <w:left w:w="57" w:type="dxa"/>
                          <w:bottom w:w="28" w:type="dxa"/>
                          <w:right w:w="57" w:type="dxa"/>
                        </w:tcMar>
                      </w:tcPr>
                      <w:p>
                        <w:pPr>
                          <w:spacing w:line="256" w:lineRule="auto"/>
                          <w:rPr>
                            <w:sz w:val="18"/>
                            <w:szCs w:val="18"/>
                          </w:rPr>
                        </w:pP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E-6-1-4.1</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Gyventojų, teigiamai įvertinusių savivaldybės sveikatos priežiūros paslaugų kokybę ir prieinamumą, dalis nuo visų apklaustųjų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85,0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90,0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95,0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E-6-1-4.2</w:t>
                        </w:r>
                      </w:p>
                    </w:tc>
                    <w:tc>
                      <w:tcPr>
                        <w:tcW w:w="2062" w:type="pct"/>
                        <w:tcMar>
                          <w:top w:w="28" w:type="dxa"/>
                          <w:left w:w="57" w:type="dxa"/>
                          <w:bottom w:w="28" w:type="dxa"/>
                          <w:right w:w="57" w:type="dxa"/>
                        </w:tcMar>
                      </w:tcPr>
                      <w:p>
                        <w:pPr>
                          <w:spacing w:line="256" w:lineRule="auto"/>
                          <w:ind w:firstLine="48"/>
                          <w:rPr>
                            <w:sz w:val="18"/>
                            <w:szCs w:val="18"/>
                            <w:lang w:eastAsia="lt-LT"/>
                          </w:rPr>
                        </w:pPr>
                        <w:r>
                          <w:rPr>
                            <w:sz w:val="18"/>
                            <w:szCs w:val="18"/>
                          </w:rPr>
                          <w:t>Profilaktiškai patikrintų rajono gyventojų dalis per metus,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55,0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60,0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65,0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E-6-1-4.3</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 xml:space="preserve">Asmenų, dalyvavusių VSB inicijuotose ir vykdytose veiklose, dalis nuo Radviliškio r.  gyventojų,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28</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30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30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E-6-1-4.4</w:t>
                        </w:r>
                      </w:p>
                    </w:tc>
                    <w:tc>
                      <w:tcPr>
                        <w:tcW w:w="2062" w:type="pct"/>
                        <w:tcMar>
                          <w:top w:w="28" w:type="dxa"/>
                          <w:left w:w="57" w:type="dxa"/>
                          <w:bottom w:w="28" w:type="dxa"/>
                          <w:right w:w="57" w:type="dxa"/>
                        </w:tcMar>
                      </w:tcPr>
                      <w:p>
                        <w:pPr>
                          <w:spacing w:line="256" w:lineRule="auto"/>
                          <w:rPr>
                            <w:sz w:val="18"/>
                            <w:szCs w:val="18"/>
                            <w:lang w:eastAsia="lt-LT"/>
                          </w:rPr>
                        </w:pPr>
                        <w:r>
                          <w:rPr>
                            <w:sz w:val="18"/>
                            <w:szCs w:val="18"/>
                            <w:lang w:eastAsia="lt-LT"/>
                          </w:rPr>
                          <w:t>Pacientų, kurie pas šeimos gydytoją patenka per 7 kalendorines dienas, dalis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55,0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57,0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60,0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rPr>
                        </w:pPr>
                        <w:r>
                          <w:rPr>
                            <w:sz w:val="18"/>
                            <w:szCs w:val="18"/>
                          </w:rPr>
                          <w:t>R-6-1-4.5</w:t>
                        </w:r>
                      </w:p>
                    </w:tc>
                    <w:tc>
                      <w:tcPr>
                        <w:tcW w:w="2062" w:type="pct"/>
                        <w:tcMar>
                          <w:top w:w="28" w:type="dxa"/>
                          <w:left w:w="57" w:type="dxa"/>
                          <w:bottom w:w="28" w:type="dxa"/>
                          <w:right w:w="57" w:type="dxa"/>
                        </w:tcMar>
                      </w:tcPr>
                      <w:p>
                        <w:pPr>
                          <w:spacing w:line="256" w:lineRule="auto"/>
                          <w:rPr>
                            <w:sz w:val="18"/>
                            <w:szCs w:val="18"/>
                            <w:lang w:eastAsia="lt-LT"/>
                          </w:rPr>
                        </w:pPr>
                        <w:r>
                          <w:rPr>
                            <w:kern w:val="2"/>
                            <w:sz w:val="18"/>
                            <w:szCs w:val="18"/>
                            <w:lang w:eastAsia="lt-LT"/>
                            <w14:ligatures w14:val="standardContextual"/>
                          </w:rPr>
                          <w:t>Mažinant administracinę naštą,</w:t>
                        </w:r>
                        <w:r>
                          <w:t xml:space="preserve"> į</w:t>
                        </w:r>
                        <w:r>
                          <w:rPr>
                            <w:kern w:val="2"/>
                            <w:sz w:val="18"/>
                            <w:szCs w:val="18"/>
                            <w:lang w:eastAsia="lt-LT"/>
                            <w14:ligatures w14:val="standardContextual"/>
                          </w:rPr>
                          <w:t>diegti elektroninę registraciją į VSB organizuojamus renginius, siekiant gerinti prieinamumą. (procentais)</w:t>
                        </w:r>
                      </w:p>
                    </w:tc>
                    <w:tc>
                      <w:tcPr>
                        <w:tcW w:w="428" w:type="pct"/>
                        <w:tcMar>
                          <w:top w:w="28" w:type="dxa"/>
                          <w:left w:w="57" w:type="dxa"/>
                          <w:bottom w:w="28" w:type="dxa"/>
                          <w:right w:w="57" w:type="dxa"/>
                        </w:tcMar>
                      </w:tcPr>
                      <w:p>
                        <w:pPr>
                          <w:spacing w:line="256" w:lineRule="auto"/>
                          <w:jc w:val="center"/>
                          <w:rPr>
                            <w:sz w:val="18"/>
                            <w:szCs w:val="18"/>
                          </w:rPr>
                        </w:pPr>
                        <w:r>
                          <w:rPr>
                            <w:bCs/>
                            <w:sz w:val="18"/>
                            <w:szCs w:val="18"/>
                            <w:lang w:eastAsia="lt-LT"/>
                          </w:rPr>
                          <w:t>10</w:t>
                        </w:r>
                      </w:p>
                    </w:tc>
                    <w:tc>
                      <w:tcPr>
                        <w:tcW w:w="637" w:type="pct"/>
                        <w:tcMar>
                          <w:top w:w="28" w:type="dxa"/>
                          <w:left w:w="57" w:type="dxa"/>
                          <w:bottom w:w="28" w:type="dxa"/>
                          <w:right w:w="57" w:type="dxa"/>
                        </w:tcMar>
                      </w:tcPr>
                      <w:p>
                        <w:pPr>
                          <w:spacing w:line="256" w:lineRule="auto"/>
                          <w:jc w:val="center"/>
                          <w:rPr>
                            <w:sz w:val="18"/>
                            <w:szCs w:val="18"/>
                          </w:rPr>
                        </w:pPr>
                        <w:r>
                          <w:rPr>
                            <w:bCs/>
                            <w:sz w:val="18"/>
                            <w:szCs w:val="18"/>
                            <w:lang w:eastAsia="lt-LT"/>
                          </w:rPr>
                          <w:t>20</w:t>
                        </w:r>
                      </w:p>
                    </w:tc>
                    <w:tc>
                      <w:tcPr>
                        <w:tcW w:w="465" w:type="pct"/>
                        <w:tcMar>
                          <w:top w:w="28" w:type="dxa"/>
                          <w:left w:w="57" w:type="dxa"/>
                          <w:bottom w:w="28" w:type="dxa"/>
                          <w:right w:w="57" w:type="dxa"/>
                        </w:tcMar>
                      </w:tcPr>
                      <w:p>
                        <w:pPr>
                          <w:spacing w:line="256" w:lineRule="auto"/>
                          <w:jc w:val="center"/>
                          <w:rPr>
                            <w:sz w:val="18"/>
                            <w:szCs w:val="18"/>
                          </w:rPr>
                        </w:pPr>
                        <w:r>
                          <w:rPr>
                            <w:bCs/>
                            <w:kern w:val="2"/>
                            <w:sz w:val="18"/>
                            <w:szCs w:val="18"/>
                            <w:lang w:eastAsia="lt-LT"/>
                            <w14:ligatures w14:val="standardContextual"/>
                          </w:rPr>
                          <w:t>30</w:t>
                        </w:r>
                      </w:p>
                    </w:tc>
                    <w:tc>
                      <w:tcPr>
                        <w:tcW w:w="759" w:type="pct"/>
                      </w:tcPr>
                      <w:p>
                        <w:pPr>
                          <w:spacing w:line="256" w:lineRule="auto"/>
                          <w:rPr>
                            <w:bCs/>
                            <w:sz w:val="18"/>
                            <w:szCs w:val="18"/>
                            <w:lang w:eastAsia="lt-LT"/>
                          </w:rPr>
                        </w:pPr>
                      </w:p>
                    </w:tc>
                  </w:tr>
                </w:tbl>
                <w:p>
                  <w:pPr>
                    <w:jc w:val="center"/>
                    <w:rPr>
                      <w:b/>
                      <w:bCs/>
                      <w:szCs w:val="24"/>
                    </w:rPr>
                  </w:pPr>
                </w:p>
                <w:tbl>
                  <w:tblPr>
                    <w:tblW w:w="10187"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187"/>
                  </w:tblGrid>
                  <w:tr>
                    <w:trPr>
                      <w:jc w:val="center"/>
                    </w:trPr>
                    <w:tc>
                      <w:tcPr>
                        <w:tcW w:w="10187"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629"/>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ind w:firstLine="682"/>
                          <w:rPr>
                            <w:szCs w:val="24"/>
                            <w:lang w:eastAsia="lt-LT"/>
                          </w:rPr>
                        </w:pPr>
                        <w:r>
                          <w:rPr>
                            <w:szCs w:val="24"/>
                            <w:lang w:eastAsia="lt-LT"/>
                          </w:rPr>
                          <w:t>Radviliškio rajono savivaldybės administracijos Žemės ūkio skyriaus vedėjo pavaduotojas</w:t>
                        </w:r>
                      </w:p>
                      <w:p>
                        <w:pPr>
                          <w:ind w:firstLine="682"/>
                          <w:rPr>
                            <w:szCs w:val="24"/>
                            <w:lang w:eastAsia="lt-LT"/>
                          </w:rPr>
                        </w:pPr>
                        <w:r>
                          <w:rPr>
                            <w:szCs w:val="24"/>
                            <w:lang w:eastAsia="lt-LT"/>
                          </w:rPr>
                          <w:t>Remigijus Jankus</w:t>
                        </w:r>
                      </w:p>
                      <w:p>
                        <w:pPr>
                          <w:ind w:firstLine="682"/>
                          <w:rPr>
                            <w:bCs/>
                            <w:szCs w:val="24"/>
                            <w:lang w:eastAsia="lt-LT"/>
                          </w:rPr>
                        </w:pPr>
                        <w:r>
                          <w:rPr>
                            <w:szCs w:val="24"/>
                            <w:lang w:eastAsia="lt-LT"/>
                          </w:rPr>
                          <w:t>+370 422 69 141, remigijus.jankus@radviliskis.lt</w:t>
                        </w:r>
                      </w:p>
                      <w:p>
                        <w:pPr>
                          <w:ind w:firstLine="731"/>
                          <w:jc w:val="both"/>
                          <w:rPr>
                            <w:bCs/>
                          </w:rPr>
                        </w:pPr>
                      </w:p>
                    </w:tc>
                  </w:tr>
                </w:tbl>
                <w:p>
                  <w:pPr>
                    <w:jc w:val="center"/>
                    <w:rPr>
                      <w:b/>
                      <w:bCs/>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D9D9D9"/>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0"/>
                        <w:vAlign w:val="center"/>
                        <w:hideMark/>
                      </w:tcPr>
                      <w:p>
                        <w:pPr>
                          <w:tabs>
                            <w:tab w:val="center" w:pos="4153"/>
                            <w:tab w:val="right" w:pos="8306"/>
                          </w:tabs>
                          <w:ind w:left="720" w:hanging="360"/>
                          <w:jc w:val="center"/>
                          <w:rPr>
                            <w:b/>
                            <w:bCs/>
                            <w:szCs w:val="24"/>
                          </w:rPr>
                        </w:pPr>
                        <w:r>
                          <w:rPr>
                            <w:b/>
                            <w:bCs/>
                            <w:szCs w:val="24"/>
                          </w:rPr>
                          <w:t>01.</w:t>
                          <w:tab/>
                          <w:t>Radviliškio rajono savivaldybės valdymo programa</w:t>
                        </w:r>
                      </w:p>
                      <w:p>
                        <w:pPr>
                          <w:ind w:firstLine="62"/>
                          <w:jc w:val="center"/>
                          <w:rPr>
                            <w:b/>
                            <w:bCs/>
                            <w:color w:val="000000"/>
                            <w:szCs w:val="24"/>
                          </w:rPr>
                        </w:pPr>
                      </w:p>
                    </w:tc>
                  </w:tr>
                </w:tbl>
                <w:p>
                  <w:pPr>
                    <w:tabs>
                      <w:tab w:val="center" w:pos="4153"/>
                      <w:tab w:val="right" w:pos="8306"/>
                    </w:tabs>
                    <w:ind w:firstLine="186"/>
                    <w:jc w:val="center"/>
                    <w:rPr>
                      <w:b/>
                      <w:bCs/>
                      <w:szCs w:val="24"/>
                    </w:rPr>
                  </w:pPr>
                </w:p>
              </w:sdtContent>
            </w:sdt>
            <w:sdt>
              <w:sdtPr>
                <w:alias w:val="poskyris"/>
                <w:tag w:val="part_f45fb8ecf21348d68bd83f32de9c0693"/>
                <w:lock w:val="sdtLocked"/>
                <w:richText/>
              </w:sdtPr>
              <w:sdtContent>
                <w:p>
                  <w:pPr>
                    <w:tabs>
                      <w:tab w:val="center" w:pos="4153"/>
                      <w:tab w:val="right" w:pos="8306"/>
                    </w:tabs>
                    <w:ind w:left="360"/>
                    <w:jc w:val="center"/>
                    <w:rPr>
                      <w:b/>
                      <w:bCs/>
                      <w:szCs w:val="24"/>
                    </w:rPr>
                  </w:pPr>
                  <w:sdt>
                    <w:sdtPr>
                      <w:alias w:val="Pavadinimas"/>
                      <w:tag w:val="title_f45fb8ecf21348d68bd83f32de9c0693"/>
                      <w:lock w:val="sdtLocked"/>
                      <w:richText/>
                    </w:sdtPr>
                    <w:sdtContent>
                      <w:r>
                        <w:rPr>
                          <w:b/>
                          <w:bCs/>
                          <w:szCs w:val="24"/>
                        </w:rPr>
                        <w:t>Radviliškio rajono savivaldybės valdymo programa ir jos uždaviniai</w:t>
                      </w:r>
                    </w:sdtContent>
                  </w:sdt>
                </w:p>
                <w:p>
                  <w:pPr>
                    <w:tabs>
                      <w:tab w:val="center" w:pos="4153"/>
                      <w:tab w:val="right" w:pos="8306"/>
                    </w:tabs>
                    <w:jc w:val="center"/>
                    <w:rPr>
                      <w:b/>
                      <w:bCs/>
                      <w:szCs w:val="24"/>
                    </w:rPr>
                  </w:pPr>
                </w:p>
                <w:p>
                  <w:pPr>
                    <w:tabs>
                      <w:tab w:val="center" w:pos="4153"/>
                      <w:tab w:val="right" w:pos="8306"/>
                    </w:tabs>
                    <w:jc w:val="center"/>
                    <w:rPr>
                      <w:b/>
                      <w:bCs/>
                      <w:szCs w:val="24"/>
                    </w:rPr>
                  </w:pPr>
                </w:p>
                <w:p>
                  <w:pPr>
                    <w:tabs>
                      <w:tab w:val="center" w:pos="4153"/>
                      <w:tab w:val="right" w:pos="8306"/>
                    </w:tabs>
                    <w:jc w:val="center"/>
                    <w:rPr>
                      <w:b/>
                      <w:bCs/>
                      <w:szCs w:val="24"/>
                    </w:rPr>
                  </w:pPr>
                  <w:r>
                    <w:rPr>
                      <w:b/>
                      <w:sz w:val="20"/>
                      <w:szCs w:val="24"/>
                      <w:lang w:val="en-US"/>
                    </w:rPr>
                    <w:drawing>
                      <wp:inline distT="0" distB="0" distL="0" distR="0" wp14:anchorId="00FF2368" wp14:editId="620776EF">
                        <wp:extent cx="6305550" cy="7124700"/>
                        <wp:effectExtent l="0" t="38100" r="19050" b="19050"/>
                        <wp:docPr id="39026848" name="Diagrama 39026848"/>
                        <wp:cNvGraphicFramePr/>
                        <a:graphic xmlns:a="http://schemas.openxmlformats.org/drawingml/2006/main">
                          <a:graphicData uri="http://schemas.openxmlformats.org/drawingml/2006/diagram">
                            <dgm:relIds xmlns:dgm="http://schemas.openxmlformats.org/drawingml/2006/diagram" r:dm="rId35" r:lo="rId36" r:qs="rId37" r:cs="rId38"/>
                          </a:graphicData>
                        </a:graphic>
                      </wp:inline>
                    </w:drawing>
                  </w:r>
                </w:p>
                <w:p>
                  <w:pPr>
                    <w:tabs>
                      <w:tab w:val="center" w:pos="4153"/>
                      <w:tab w:val="right" w:pos="8306"/>
                    </w:tabs>
                    <w:jc w:val="center"/>
                    <w:rPr>
                      <w:b/>
                      <w:bCs/>
                      <w:szCs w:val="24"/>
                    </w:rPr>
                  </w:pPr>
                </w:p>
                <w:p>
                  <w:pPr>
                    <w:tabs>
                      <w:tab w:val="center" w:pos="4153"/>
                      <w:tab w:val="right" w:pos="8306"/>
                    </w:tabs>
                    <w:jc w:val="center"/>
                    <w:rPr>
                      <w:b/>
                      <w:bCs/>
                      <w:szCs w:val="24"/>
                    </w:rPr>
                  </w:pPr>
                </w:p>
                <w:p>
                  <w:pPr>
                    <w:tabs>
                      <w:tab w:val="center" w:pos="4153"/>
                      <w:tab w:val="right" w:pos="8306"/>
                    </w:tabs>
                    <w:jc w:val="center"/>
                    <w:rPr>
                      <w:b/>
                      <w:bCs/>
                      <w:szCs w:val="24"/>
                    </w:rPr>
                  </w:pPr>
                </w:p>
                <w:tbl>
                  <w:tblPr>
                    <w:tblW w:w="998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252"/>
                    <w:gridCol w:w="3729"/>
                  </w:tblGrid>
                  <w:tr>
                    <w:trPr>
                      <w:jc w:val="center"/>
                    </w:trPr>
                    <w:tc>
                      <w:tcPr>
                        <w:tcW w:w="6252" w:type="dxa"/>
                        <w:shd w:val="clear" w:color="auto" w:fill="FFE8CB"/>
                      </w:tcPr>
                      <w:p>
                        <w:pPr>
                          <w:tabs>
                            <w:tab w:val="center" w:pos="4153"/>
                            <w:tab w:val="right" w:pos="8306"/>
                          </w:tabs>
                          <w:snapToGrid w:val="0"/>
                          <w:jc w:val="center"/>
                          <w:rPr>
                            <w:b/>
                            <w:szCs w:val="24"/>
                          </w:rPr>
                        </w:pPr>
                        <w:r>
                          <w:rPr>
                            <w:b/>
                            <w:szCs w:val="24"/>
                          </w:rPr>
                          <w:t>Programos vykdytojas</w:t>
                        </w:r>
                      </w:p>
                    </w:tc>
                    <w:tc>
                      <w:tcPr>
                        <w:tcW w:w="3729" w:type="dxa"/>
                        <w:shd w:val="clear" w:color="auto" w:fill="FFE8CB"/>
                      </w:tcPr>
                      <w:p>
                        <w:pPr>
                          <w:tabs>
                            <w:tab w:val="center" w:pos="4153"/>
                            <w:tab w:val="right" w:pos="8306"/>
                          </w:tabs>
                          <w:snapToGrid w:val="0"/>
                          <w:jc w:val="center"/>
                          <w:rPr>
                            <w:b/>
                            <w:bCs/>
                            <w:szCs w:val="24"/>
                          </w:rPr>
                        </w:pPr>
                        <w:r>
                          <w:rPr>
                            <w:b/>
                            <w:szCs w:val="24"/>
                          </w:rPr>
                          <w:t>Vykdytojo kodas</w:t>
                        </w:r>
                      </w:p>
                    </w:tc>
                  </w:tr>
                  <w:tr>
                    <w:trPr>
                      <w:jc w:val="center"/>
                    </w:trPr>
                    <w:tc>
                      <w:tcPr>
                        <w:tcW w:w="6252" w:type="dxa"/>
                        <w:vAlign w:val="bottom"/>
                      </w:tcPr>
                      <w:p>
                        <w:r>
                          <w:rPr>
                            <w:color w:val="000000"/>
                            <w:sz w:val="22"/>
                            <w:szCs w:val="22"/>
                          </w:rPr>
                          <w:t>Radviliškio rajono savivaldybės administracija</w:t>
                        </w:r>
                      </w:p>
                    </w:tc>
                    <w:tc>
                      <w:tcPr>
                        <w:tcW w:w="3729" w:type="dxa"/>
                        <w:vAlign w:val="bottom"/>
                      </w:tcPr>
                      <w:p>
                        <w:pPr>
                          <w:jc w:val="center"/>
                          <w:rPr>
                            <w:szCs w:val="24"/>
                          </w:rPr>
                        </w:pPr>
                        <w:r>
                          <w:rPr>
                            <w:color w:val="000000"/>
                            <w:sz w:val="22"/>
                            <w:szCs w:val="22"/>
                          </w:rPr>
                          <w:t>188726247</w:t>
                        </w:r>
                      </w:p>
                    </w:tc>
                  </w:tr>
                  <w:tr>
                    <w:trPr>
                      <w:jc w:val="center"/>
                    </w:trPr>
                    <w:tc>
                      <w:tcPr>
                        <w:tcW w:w="6252" w:type="dxa"/>
                        <w:vAlign w:val="bottom"/>
                      </w:tcPr>
                      <w:p>
                        <w:r>
                          <w:rPr>
                            <w:color w:val="000000"/>
                            <w:sz w:val="22"/>
                            <w:szCs w:val="22"/>
                          </w:rPr>
                          <w:t>Radviliškio rajono savivaldybės administracija (Iždas)</w:t>
                        </w:r>
                      </w:p>
                    </w:tc>
                    <w:tc>
                      <w:tcPr>
                        <w:tcW w:w="3729" w:type="dxa"/>
                        <w:vAlign w:val="bottom"/>
                      </w:tcPr>
                      <w:p>
                        <w:pPr>
                          <w:jc w:val="center"/>
                        </w:pPr>
                        <w:r>
                          <w:rPr>
                            <w:color w:val="000000"/>
                            <w:sz w:val="22"/>
                            <w:szCs w:val="22"/>
                          </w:rPr>
                          <w:t>188726247</w:t>
                        </w:r>
                      </w:p>
                    </w:tc>
                  </w:tr>
                  <w:tr>
                    <w:trPr>
                      <w:jc w:val="center"/>
                    </w:trPr>
                    <w:tc>
                      <w:tcPr>
                        <w:tcW w:w="6252" w:type="dxa"/>
                        <w:vAlign w:val="bottom"/>
                      </w:tcPr>
                      <w:p>
                        <w:r>
                          <w:rPr>
                            <w:color w:val="000000"/>
                            <w:sz w:val="22"/>
                            <w:szCs w:val="22"/>
                          </w:rPr>
                          <w:t>Radviliškio rajono savivaldybės administracija (Soc. parama)</w:t>
                        </w:r>
                      </w:p>
                    </w:tc>
                    <w:tc>
                      <w:tcPr>
                        <w:tcW w:w="3729" w:type="dxa"/>
                        <w:vAlign w:val="bottom"/>
                      </w:tcPr>
                      <w:p>
                        <w:pPr>
                          <w:jc w:val="center"/>
                        </w:pPr>
                        <w:r>
                          <w:rPr>
                            <w:color w:val="000000"/>
                            <w:sz w:val="22"/>
                            <w:szCs w:val="22"/>
                          </w:rPr>
                          <w:t>188726247</w:t>
                        </w:r>
                      </w:p>
                    </w:tc>
                  </w:tr>
                  <w:tr>
                    <w:trPr>
                      <w:jc w:val="center"/>
                    </w:trPr>
                    <w:tc>
                      <w:tcPr>
                        <w:tcW w:w="6252" w:type="dxa"/>
                        <w:vAlign w:val="bottom"/>
                      </w:tcPr>
                      <w:p>
                        <w:pPr>
                          <w:rPr>
                            <w:color w:val="000000"/>
                            <w:szCs w:val="24"/>
                          </w:rPr>
                        </w:pPr>
                        <w:r>
                          <w:rPr>
                            <w:color w:val="000000"/>
                            <w:sz w:val="22"/>
                            <w:szCs w:val="22"/>
                          </w:rPr>
                          <w:t>Radviliškio rajono savivaldybės Kontrolės ir audito tarnyba</w:t>
                        </w:r>
                      </w:p>
                    </w:tc>
                    <w:tc>
                      <w:tcPr>
                        <w:tcW w:w="3729" w:type="dxa"/>
                        <w:vAlign w:val="bottom"/>
                      </w:tcPr>
                      <w:p>
                        <w:pPr>
                          <w:jc w:val="center"/>
                          <w:rPr>
                            <w:color w:val="000000"/>
                            <w:szCs w:val="24"/>
                          </w:rPr>
                        </w:pPr>
                        <w:r>
                          <w:rPr>
                            <w:color w:val="000000"/>
                            <w:sz w:val="22"/>
                            <w:szCs w:val="22"/>
                          </w:rPr>
                          <w:t>291895030</w:t>
                        </w:r>
                      </w:p>
                    </w:tc>
                  </w:tr>
                </w:tbl>
                <w:p>
                  <w:pPr>
                    <w:tabs>
                      <w:tab w:val="center" w:pos="4153"/>
                      <w:tab w:val="right" w:pos="8306"/>
                    </w:tabs>
                    <w:jc w:val="center"/>
                    <w:rPr>
                      <w:b/>
                      <w:bCs/>
                      <w:sz w:val="16"/>
                      <w:szCs w:val="16"/>
                    </w:rPr>
                  </w:pPr>
                </w:p>
                <w:p>
                  <w:pPr>
                    <w:tabs>
                      <w:tab w:val="center" w:pos="4153"/>
                      <w:tab w:val="right" w:pos="8306"/>
                    </w:tabs>
                    <w:jc w:val="center"/>
                    <w:rPr>
                      <w:b/>
                      <w:bCs/>
                      <w:szCs w:val="24"/>
                    </w:rPr>
                  </w:pPr>
                </w:p>
                <w:tbl>
                  <w:tblPr>
                    <w:tblW w:w="1023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10231"/>
                  </w:tblGrid>
                  <w:tr>
                    <w:trPr>
                      <w:cantSplit/>
                      <w:jc w:val="center"/>
                    </w:trPr>
                    <w:tc>
                      <w:tcPr>
                        <w:tcW w:w="10231" w:type="dxa"/>
                      </w:tcPr>
                      <w:p>
                        <w:pPr>
                          <w:ind w:firstLine="731"/>
                          <w:jc w:val="both"/>
                          <w:rPr>
                            <w:b/>
                          </w:rPr>
                        </w:pPr>
                        <w:r>
                          <w:rPr>
                            <w:b/>
                          </w:rPr>
                          <w:t>Programos parengimo argumentai</w:t>
                        </w:r>
                      </w:p>
                      <w:p>
                        <w:pPr>
                          <w:ind w:firstLine="731"/>
                          <w:jc w:val="both"/>
                          <w:rPr>
                            <w:b/>
                          </w:rPr>
                        </w:pPr>
                        <w:r>
                          <w:t xml:space="preserve">Pagal Lietuvos Respublikos vietos savivaldos įstatymą bendruomenės interesams atstovauja savivaldybės institucijos – Savivaldybės taryba, Savivaldybės administracijos direktorius ir jo pavaduotojai, kurių veiklą prižiūri Radviliškio rajono savivaldybės kontrolės ir audito tarnyba. </w:t>
                        </w:r>
                      </w:p>
                      <w:p>
                        <w:pPr>
                          <w:ind w:firstLine="731"/>
                          <w:jc w:val="both"/>
                          <w:rPr>
                            <w:b/>
                          </w:rPr>
                        </w:pPr>
                        <w:r>
                          <w:t>Šia programa siekiama užtikrinti, kad minėtos institucijos dirbtų efektyviai, ekonomiškai ir rezultatyviai.</w:t>
                        </w:r>
                      </w:p>
                    </w:tc>
                  </w:tr>
                </w:tbl>
                <w:p>
                  <w:pPr>
                    <w:jc w:val="center"/>
                  </w:pPr>
                </w:p>
                <w:tbl>
                  <w:tblPr>
                    <w:tblW w:w="1021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211"/>
                  </w:tblGrid>
                  <w:tr>
                    <w:trPr>
                      <w:trHeight w:val="1329"/>
                      <w:jc w:val="center"/>
                    </w:trPr>
                    <w:tc>
                      <w:tcPr>
                        <w:tcW w:w="10211" w:type="dxa"/>
                      </w:tcPr>
                      <w:p>
                        <w:pPr>
                          <w:ind w:firstLine="731"/>
                          <w:jc w:val="both"/>
                          <w:rPr>
                            <w:b/>
                          </w:rPr>
                        </w:pPr>
                        <w:r>
                          <w:rPr>
                            <w:b/>
                          </w:rPr>
                          <w:t>Numatomas programos įgyvendinimo rezultatas:</w:t>
                        </w:r>
                      </w:p>
                      <w:p>
                        <w:pPr>
                          <w:ind w:firstLine="731"/>
                          <w:jc w:val="both"/>
                          <w:rPr>
                            <w:b/>
                          </w:rPr>
                        </w:pPr>
                        <w:r>
                          <w:t>Bus užtikrintas bendruomenės interesų atstovavimas. Efektyviai valdant savivaldybės finansinius įsipareigojimus bus užtikrintas savivaldybės plėtra. Savivaldybės veikla taps efektyvesnė ir viešesnė.</w:t>
                        </w:r>
                      </w:p>
                    </w:tc>
                  </w:tr>
                </w:tbl>
                <w:p>
                  <w:pPr>
                    <w:rPr>
                      <w:b/>
                      <w:bCs/>
                    </w:rPr>
                  </w:pPr>
                </w:p>
              </w:sdtContent>
            </w:sdt>
            <w:sdt>
              <w:sdtPr>
                <w:alias w:val="poskyris"/>
                <w:tag w:val="part_915dbabb7cee4f5798cd0e7e1bf86cc9"/>
                <w:lock w:val="sdtLocked"/>
                <w:richText/>
              </w:sdtPr>
              <w:sdtContent>
                <w:p>
                  <w:pPr>
                    <w:jc w:val="center"/>
                    <w:rPr>
                      <w:b/>
                      <w:bCs/>
                      <w:szCs w:val="24"/>
                    </w:rPr>
                  </w:pPr>
                  <w:sdt>
                    <w:sdtPr>
                      <w:alias w:val="Pavadinimas"/>
                      <w:tag w:val="title_915dbabb7cee4f5798cd0e7e1bf86cc9"/>
                      <w:lock w:val="sdtLocked"/>
                      <w:richText/>
                    </w:sdtPr>
                    <w:sdtContent>
                      <w:r>
                        <w:rPr>
                          <w:b/>
                          <w:bCs/>
                          <w:szCs w:val="24"/>
                        </w:rPr>
                        <w:t>Programos uždaviniai, priemonės ir jų stebėsenos rodikliai</w:t>
                      </w:r>
                    </w:sdtContent>
                  </w:sdt>
                </w:p>
                <w:tbl>
                  <w:tblPr>
                    <w:tblW w:w="4937" w:type="pct"/>
                    <w:tblInd w:w="113"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441"/>
                    <w:gridCol w:w="4328"/>
                    <w:gridCol w:w="873"/>
                    <w:gridCol w:w="1098"/>
                    <w:gridCol w:w="1034"/>
                    <w:gridCol w:w="1550"/>
                  </w:tblGrid>
                  <w:tr>
                    <w:trPr>
                      <w:trHeight w:val="230"/>
                      <w:tblHeader/>
                    </w:trPr>
                    <w:tc>
                      <w:tcPr>
                        <w:tcW w:w="698"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096"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455"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1" w:type="pct"/>
                        <w:vMerge w:val="restart"/>
                        <w:shd w:val="clear" w:color="auto" w:fill="FFE8CB"/>
                      </w:tcPr>
                      <w:p>
                        <w:pPr>
                          <w:spacing w:line="256" w:lineRule="auto"/>
                          <w:jc w:val="center"/>
                          <w:rPr>
                            <w:b/>
                            <w:bCs/>
                            <w:color w:val="000000"/>
                            <w:lang w:eastAsia="lt-LT"/>
                          </w:rPr>
                        </w:pPr>
                        <w:r>
                          <w:rPr>
                            <w:b/>
                            <w:bCs/>
                            <w:color w:val="000000"/>
                            <w:lang w:eastAsia="lt-LT"/>
                          </w:rPr>
                          <w:t>Savivaldybės strateginio plėtros plano rodiklis</w:t>
                        </w:r>
                      </w:p>
                    </w:tc>
                  </w:tr>
                  <w:tr>
                    <w:trPr>
                      <w:trHeight w:val="230"/>
                      <w:tblHeader/>
                    </w:trPr>
                    <w:tc>
                      <w:tcPr>
                        <w:tcW w:w="698" w:type="pct"/>
                        <w:vMerge/>
                        <w:shd w:val="clear" w:color="auto" w:fill="FFE8CB"/>
                        <w:vAlign w:val="center"/>
                        <w:hideMark/>
                      </w:tcPr>
                      <w:p>
                        <w:pPr>
                          <w:spacing w:line="256" w:lineRule="auto"/>
                          <w:rPr>
                            <w:b/>
                            <w:bCs/>
                            <w:lang w:eastAsia="lt-LT"/>
                          </w:rPr>
                        </w:pPr>
                      </w:p>
                    </w:tc>
                    <w:tc>
                      <w:tcPr>
                        <w:tcW w:w="2096" w:type="pct"/>
                        <w:vMerge/>
                        <w:shd w:val="clear" w:color="auto" w:fill="FFE8CB"/>
                        <w:vAlign w:val="center"/>
                        <w:hideMark/>
                      </w:tcPr>
                      <w:p>
                        <w:pPr>
                          <w:spacing w:line="256" w:lineRule="auto"/>
                          <w:rPr>
                            <w:b/>
                            <w:bCs/>
                            <w:color w:val="000000"/>
                            <w:lang w:eastAsia="lt-LT"/>
                          </w:rPr>
                        </w:pPr>
                      </w:p>
                    </w:tc>
                    <w:tc>
                      <w:tcPr>
                        <w:tcW w:w="423"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532"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501"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751" w:type="pct"/>
                        <w:vMerge/>
                        <w:shd w:val="clear" w:color="auto" w:fill="FFE8CB"/>
                      </w:tcPr>
                      <w:p>
                        <w:pPr>
                          <w:spacing w:line="256" w:lineRule="auto"/>
                          <w:jc w:val="center"/>
                          <w:rPr>
                            <w:b/>
                            <w:bCs/>
                            <w:i/>
                            <w:color w:val="000000"/>
                            <w:lang w:eastAsia="lt-LT"/>
                          </w:rPr>
                        </w:pPr>
                      </w:p>
                    </w:tc>
                  </w:tr>
                  <w:tr>
                    <w:trPr>
                      <w:trHeight w:val="42"/>
                      <w:tblHeader/>
                    </w:trPr>
                    <w:tc>
                      <w:tcPr>
                        <w:tcW w:w="698"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096"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2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53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501"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751" w:type="pct"/>
                        <w:shd w:val="clear" w:color="auto" w:fill="FFE8CB"/>
                      </w:tcPr>
                      <w:p>
                        <w:pPr>
                          <w:spacing w:line="256" w:lineRule="auto"/>
                          <w:jc w:val="center"/>
                          <w:rPr>
                            <w:color w:val="000000"/>
                            <w:lang w:eastAsia="lt-LT"/>
                          </w:rPr>
                        </w:pPr>
                        <w:r>
                          <w:rPr>
                            <w:color w:val="000000"/>
                            <w:lang w:eastAsia="lt-LT"/>
                          </w:rPr>
                          <w:t>6</w:t>
                        </w: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b/>
                            <w:bCs/>
                            <w:sz w:val="18"/>
                            <w:szCs w:val="18"/>
                            <w:lang w:eastAsia="lt-LT"/>
                          </w:rPr>
                        </w:pPr>
                        <w:r>
                          <w:rPr>
                            <w:b/>
                            <w:bCs/>
                            <w:sz w:val="18"/>
                            <w:szCs w:val="18"/>
                            <w:lang w:eastAsia="lt-LT"/>
                          </w:rPr>
                          <w:t>1 uždavinys užtikrinti efektyvų viešąjį valdymą, gerinti paslaugų kokybę ir prieinamumą</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1 uždavinys 21 priemonė (Tęstinė Savivaldybės administracijos valdymo funkcija)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V-1-1-1-03a.1</w:t>
                        </w:r>
                      </w:p>
                    </w:tc>
                    <w:tc>
                      <w:tcPr>
                        <w:tcW w:w="2096" w:type="pct"/>
                        <w:tcMar>
                          <w:top w:w="28" w:type="dxa"/>
                          <w:left w:w="57" w:type="dxa"/>
                          <w:bottom w:w="28" w:type="dxa"/>
                          <w:right w:w="57" w:type="dxa"/>
                        </w:tcMar>
                      </w:tcPr>
                      <w:p>
                        <w:pPr>
                          <w:spacing w:line="256" w:lineRule="auto"/>
                          <w:rPr>
                            <w:bCs/>
                            <w:sz w:val="18"/>
                            <w:szCs w:val="18"/>
                            <w:lang w:val="en-US" w:eastAsia="lt-LT"/>
                          </w:rPr>
                        </w:pPr>
                        <w:r>
                          <w:rPr>
                            <w:bCs/>
                            <w:sz w:val="18"/>
                            <w:szCs w:val="18"/>
                            <w:lang w:val="en-US" w:eastAsia="lt-LT"/>
                          </w:rPr>
                          <w:t>Žaliųjų pirkimų dalis organizuojant</w:t>
                        </w:r>
                      </w:p>
                      <w:p>
                        <w:pPr>
                          <w:spacing w:line="256" w:lineRule="auto"/>
                          <w:rPr>
                            <w:bCs/>
                            <w:sz w:val="18"/>
                            <w:szCs w:val="18"/>
                            <w:lang w:val="en-US" w:eastAsia="lt-LT"/>
                          </w:rPr>
                        </w:pPr>
                        <w:r>
                          <w:rPr>
                            <w:bCs/>
                            <w:sz w:val="18"/>
                            <w:szCs w:val="18"/>
                            <w:lang w:val="en-US" w:eastAsia="lt-LT"/>
                          </w:rPr>
                          <w:t>savivaldybės viešuosius pirkimus, proc.</w:t>
                        </w:r>
                      </w:p>
                      <w:p>
                        <w:pPr>
                          <w:spacing w:line="256" w:lineRule="auto"/>
                          <w:rPr>
                            <w:sz w:val="18"/>
                            <w:szCs w:val="18"/>
                            <w:lang w:eastAsia="lt-LT"/>
                          </w:rPr>
                        </w:pP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90</w:t>
                        </w:r>
                      </w:p>
                    </w:tc>
                    <w:tc>
                      <w:tcPr>
                        <w:tcW w:w="751" w:type="pct"/>
                      </w:tcPr>
                      <w:p>
                        <w:pPr>
                          <w:spacing w:line="256" w:lineRule="auto"/>
                          <w:rPr>
                            <w:bCs/>
                            <w:sz w:val="18"/>
                            <w:szCs w:val="18"/>
                            <w:lang w:val="en-US" w:eastAsia="lt-LT"/>
                          </w:rPr>
                        </w:pPr>
                        <w:r>
                          <w:rPr>
                            <w:bCs/>
                            <w:sz w:val="18"/>
                            <w:szCs w:val="18"/>
                            <w:lang w:val="en-US" w:eastAsia="lt-LT"/>
                          </w:rPr>
                          <w:t>Žaliųjų pirkimų dalis organizuojant</w:t>
                        </w:r>
                      </w:p>
                      <w:p>
                        <w:pPr>
                          <w:spacing w:line="256" w:lineRule="auto"/>
                          <w:rPr>
                            <w:bCs/>
                            <w:sz w:val="18"/>
                            <w:szCs w:val="18"/>
                            <w:lang w:val="en-US" w:eastAsia="lt-LT"/>
                          </w:rPr>
                        </w:pPr>
                        <w:r>
                          <w:rPr>
                            <w:bCs/>
                            <w:sz w:val="18"/>
                            <w:szCs w:val="18"/>
                            <w:lang w:val="en-US" w:eastAsia="lt-LT"/>
                          </w:rPr>
                          <w:t>savivaldybės viešuosius pirkimus, proc.</w:t>
                        </w:r>
                      </w:p>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1 uždavinys 21 priemonė (Tęstinė civilinės būklės aktų registravimo funkcija)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R-1-1-1-21.1</w:t>
                        </w: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Per 1 darbo dieną užregistruotų civilinės būklės aktų procentas nuo bendro prašymų skaičiaus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90</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1 uždavinys 22 priemonė (Tęstinė valstybinės kalbos vartojimo ir taisyklingumo kontrolės funkcija)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R-1-1-1-22.1</w:t>
                        </w: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Vykdomų priemonių, užtikrinančių valstybinės kalbos vartojimo ir taisyklingumo kontrolę, skaičius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1 uždavinys 28 priemonė (Tęstinė civilinės saugos administravimo funkcija)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R-1-1-1-28.1</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rPr>
                          <w:t>Suorganizuotų pratybų skaičius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R-1-1-1-28.2</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 xml:space="preserve">Įrengtos akustinės gyventojų perspėjimo ir informavimo sistemos,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R-1-1-1-28.3</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 xml:space="preserve">Pritaikytų </w:t>
                        </w:r>
                        <w:r>
                          <w:rPr>
                            <w:sz w:val="18"/>
                            <w:szCs w:val="18"/>
                            <w:lang w:eastAsia="lt-LT"/>
                          </w:rPr>
                          <w:t xml:space="preserve">pastatų (priedangų) </w:t>
                        </w:r>
                        <w:r>
                          <w:rPr>
                            <w:color w:val="000000"/>
                            <w:sz w:val="18"/>
                            <w:szCs w:val="18"/>
                            <w:lang w:eastAsia="lt-LT"/>
                          </w:rPr>
                          <w:t xml:space="preserve">skaičius,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R-1-1-1-28.4</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Parengtų teminių atmintinių skaičius, komplektais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R-1-1-1-28.5</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 xml:space="preserve">Pranešimų spaudoje skaičius per metus,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R-1-1-1-28.6</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 xml:space="preserve">Pranešimų elektroninėje erdvėje skaičius per metus,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R-1-1-1-28.7</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 xml:space="preserve">Parengtų ir atnaujintų planų skaičius,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2 uždavinys Tobulinti vidaus administravimą ir gyventojų aptarnavimą</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 xml:space="preserve">2 uždavinys 1 priemonė (Tęstinė mokymų ir kvalifikacijos kėlimo veikla) </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V-1-1-2-01.1</w:t>
                        </w: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Dalyvavusių mokymuose administracijos darbuotojų skaičius procentais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 xml:space="preserve">49 </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52</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b/>
                            <w:bCs/>
                            <w:sz w:val="18"/>
                            <w:szCs w:val="18"/>
                            <w:lang w:eastAsia="lt-LT"/>
                          </w:rPr>
                        </w:pPr>
                        <w:r>
                          <w:rPr>
                            <w:b/>
                            <w:bCs/>
                            <w:sz w:val="18"/>
                            <w:szCs w:val="18"/>
                            <w:lang w:eastAsia="lt-LT"/>
                          </w:rPr>
                          <w:t>4 uždavinys įvykdyti prisiimtus įsipareigojimus bei sudaryti galimybę finansuoti iš anksto negalimas suplanuoti išlaidas</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V-1-1-4. 1</w:t>
                        </w: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finansuoti iš anksto negalimas suplanuoti išlaidas, proc.</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100</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b/>
                            <w:bCs/>
                            <w:sz w:val="18"/>
                            <w:szCs w:val="18"/>
                            <w:lang w:eastAsia="lt-LT"/>
                          </w:rPr>
                        </w:pPr>
                        <w:r>
                          <w:rPr>
                            <w:b/>
                            <w:bCs/>
                            <w:sz w:val="18"/>
                            <w:szCs w:val="18"/>
                            <w:lang w:eastAsia="lt-LT"/>
                          </w:rPr>
                          <w:t>5 uždavinys užtikrinti administracinės naštos mažinimo priemonių įgyvendinimą</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R-1-1-5.1</w:t>
                        </w:r>
                      </w:p>
                    </w:tc>
                    <w:tc>
                      <w:tcPr>
                        <w:tcW w:w="2096" w:type="pct"/>
                        <w:tcMar>
                          <w:top w:w="28" w:type="dxa"/>
                          <w:left w:w="57" w:type="dxa"/>
                          <w:bottom w:w="28" w:type="dxa"/>
                          <w:right w:w="57" w:type="dxa"/>
                        </w:tcMar>
                      </w:tcPr>
                      <w:p>
                        <w:pPr>
                          <w:spacing w:line="256" w:lineRule="auto"/>
                          <w:rPr>
                            <w:sz w:val="18"/>
                            <w:szCs w:val="18"/>
                            <w:lang w:eastAsia="lt-LT"/>
                          </w:rPr>
                        </w:pPr>
                        <w:r>
                          <w:rPr>
                            <w:kern w:val="2"/>
                            <w:sz w:val="18"/>
                            <w:szCs w:val="18"/>
                            <w:lang w:eastAsia="lt-LT"/>
                            <w14:ligatures w14:val="standardContextual"/>
                          </w:rPr>
                          <w:t>Įdiegtų kompiuterinių programų, mažinančių administracinę naštą (naujų skaičius per metus)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kern w:val="2"/>
                            <w:sz w:val="18"/>
                            <w:szCs w:val="18"/>
                            <w:lang w:eastAsia="lt-LT"/>
                            <w14:ligatures w14:val="standardContextual"/>
                          </w:rPr>
                          <w:t>1</w:t>
                        </w:r>
                      </w:p>
                    </w:tc>
                    <w:tc>
                      <w:tcPr>
                        <w:tcW w:w="751" w:type="pct"/>
                      </w:tcPr>
                      <w:p>
                        <w:pPr>
                          <w:spacing w:line="256" w:lineRule="auto"/>
                          <w:rPr>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kern w:val="2"/>
                            <w:sz w:val="18"/>
                            <w:szCs w:val="18"/>
                            <w:lang w:eastAsia="lt-LT"/>
                            <w14:ligatures w14:val="standardContextual"/>
                          </w:rPr>
                        </w:pP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kern w:val="2"/>
                            <w:sz w:val="18"/>
                            <w:szCs w:val="18"/>
                            <w:lang w:eastAsia="lt-LT"/>
                            <w14:ligatures w14:val="standardContextual"/>
                          </w:rPr>
                        </w:pPr>
                      </w:p>
                    </w:tc>
                    <w:tc>
                      <w:tcPr>
                        <w:tcW w:w="501" w:type="pct"/>
                        <w:tcMar>
                          <w:top w:w="28" w:type="dxa"/>
                          <w:left w:w="57" w:type="dxa"/>
                          <w:bottom w:w="28" w:type="dxa"/>
                          <w:right w:w="57" w:type="dxa"/>
                        </w:tcMar>
                      </w:tcPr>
                      <w:p>
                        <w:pPr>
                          <w:spacing w:line="256" w:lineRule="auto"/>
                          <w:jc w:val="center"/>
                          <w:rPr>
                            <w:bCs/>
                            <w:kern w:val="2"/>
                            <w:sz w:val="18"/>
                            <w:szCs w:val="18"/>
                            <w:lang w:eastAsia="lt-LT"/>
                            <w14:ligatures w14:val="standardContextual"/>
                          </w:rPr>
                        </w:pPr>
                      </w:p>
                    </w:tc>
                    <w:tc>
                      <w:tcPr>
                        <w:tcW w:w="751" w:type="pct"/>
                      </w:tcPr>
                      <w:p>
                        <w:pPr>
                          <w:spacing w:line="256" w:lineRule="auto"/>
                          <w:rPr>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b/>
                            <w:bCs/>
                            <w:sz w:val="18"/>
                            <w:szCs w:val="18"/>
                          </w:rPr>
                        </w:pPr>
                        <w:r>
                          <w:rPr>
                            <w:b/>
                            <w:bCs/>
                            <w:sz w:val="18"/>
                            <w:szCs w:val="18"/>
                          </w:rPr>
                          <w:t>3 uždavinys į</w:t>
                        </w:r>
                        <w:r>
                          <w:rPr>
                            <w:b/>
                            <w:bCs/>
                            <w:sz w:val="18"/>
                            <w:szCs w:val="18"/>
                            <w:lang w:eastAsia="lt-LT"/>
                          </w:rPr>
                          <w:t>gyvendinti jaunimo politiką</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R-1-3-3. 1</w:t>
                        </w:r>
                      </w:p>
                    </w:tc>
                    <w:tc>
                      <w:tcPr>
                        <w:tcW w:w="2096" w:type="pct"/>
                        <w:tcMar>
                          <w:top w:w="28" w:type="dxa"/>
                          <w:left w:w="57" w:type="dxa"/>
                          <w:bottom w:w="28" w:type="dxa"/>
                          <w:right w:w="57" w:type="dxa"/>
                        </w:tcMar>
                      </w:tcPr>
                      <w:p>
                        <w:pPr>
                          <w:spacing w:line="256" w:lineRule="auto"/>
                          <w:rPr>
                            <w:bCs/>
                            <w:sz w:val="18"/>
                            <w:szCs w:val="18"/>
                          </w:rPr>
                        </w:pPr>
                        <w:r>
                          <w:rPr>
                            <w:bCs/>
                            <w:sz w:val="20"/>
                          </w:rPr>
                          <w:t xml:space="preserve">Susikūrusių naujų jaunimo organizacijų skaičius </w:t>
                        </w:r>
                        <w:r>
                          <w:rPr>
                            <w:kern w:val="2"/>
                            <w:sz w:val="18"/>
                            <w:szCs w:val="18"/>
                            <w:lang w:eastAsia="lt-LT"/>
                            <w14:ligatures w14:val="standardContextual"/>
                          </w:rPr>
                          <w:t>(naujų skaičius per metus)</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r>
                          <w:rPr>
                            <w:bCs/>
                            <w:sz w:val="20"/>
                            <w:lang w:eastAsia="lt-LT"/>
                          </w:rPr>
                          <w:t>1</w:t>
                        </w: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r>
                          <w:rPr>
                            <w:bCs/>
                            <w:sz w:val="20"/>
                          </w:rPr>
                          <w:t>Jaunimo organizacijų skaičius (vnt.)</w:t>
                        </w: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bl>
                <w:p>
                  <w:pPr>
                    <w:jc w:val="center"/>
                    <w:rPr>
                      <w:b/>
                      <w:bCs/>
                      <w:szCs w:val="24"/>
                    </w:rPr>
                  </w:pPr>
                </w:p>
                <w:tbl>
                  <w:tblPr>
                    <w:tblW w:w="1034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343"/>
                  </w:tblGrid>
                  <w:tr>
                    <w:trPr>
                      <w:jc w:val="center"/>
                    </w:trPr>
                    <w:tc>
                      <w:tcPr>
                        <w:tcW w:w="10343"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629"/>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ind w:firstLine="620"/>
                          <w:rPr>
                            <w:szCs w:val="24"/>
                            <w:lang w:eastAsia="lt-LT"/>
                          </w:rPr>
                        </w:pPr>
                        <w:r>
                          <w:rPr>
                            <w:szCs w:val="24"/>
                            <w:lang w:eastAsia="lt-LT"/>
                          </w:rPr>
                          <w:t>Radviliškio rajono savivaldybės administracijos Finansų skyriaus vedėja Lina Baškevičienė</w:t>
                        </w:r>
                      </w:p>
                      <w:p>
                        <w:pPr>
                          <w:ind w:firstLine="620"/>
                          <w:rPr>
                            <w:bCs/>
                            <w:szCs w:val="24"/>
                            <w:lang w:eastAsia="lt-LT"/>
                          </w:rPr>
                        </w:pPr>
                        <w:r>
                          <w:rPr>
                            <w:szCs w:val="24"/>
                            <w:lang w:eastAsia="lt-LT"/>
                          </w:rPr>
                          <w:t>+370 422 69 020, lina.baskeviciene</w:t>
                        </w:r>
                        <w:r>
                          <w:rPr>
                            <w:szCs w:val="24"/>
                            <w:lang w:val="en-US" w:eastAsia="lt-LT"/>
                          </w:rPr>
                          <w:t>@</w:t>
                        </w:r>
                        <w:r>
                          <w:rPr>
                            <w:szCs w:val="24"/>
                            <w:lang w:eastAsia="lt-LT"/>
                          </w:rPr>
                          <w:t>radviliskis.lt</w:t>
                        </w:r>
                      </w:p>
                      <w:p>
                        <w:pPr>
                          <w:ind w:firstLine="731"/>
                          <w:jc w:val="both"/>
                          <w:rPr>
                            <w:bCs/>
                          </w:rPr>
                        </w:pPr>
                      </w:p>
                    </w:tc>
                  </w:tr>
                </w:tbl>
                <w:p>
                  <w:pPr>
                    <w:rPr>
                      <w:b/>
                      <w:bCs/>
                    </w:rPr>
                  </w:pPr>
                </w:p>
                <w:p>
                  <w:pPr>
                    <w:rPr>
                      <w:b/>
                      <w:bCs/>
                    </w:rPr>
                  </w:pPr>
                </w:p>
              </w:sdtContent>
            </w:sdt>
          </w:sdtContent>
        </w:sdt>
        <w:sdt>
          <w:sdtPr>
            <w:alias w:val="skyrius"/>
            <w:tag w:val="part_ac667d9fa3714cf6ba6121195f2272ae"/>
            <w:lock w:val="sdtLocked"/>
            <w:richText/>
          </w:sdtPr>
          <w:sdtContent>
            <w:p>
              <w:pPr>
                <w:jc w:val="center"/>
                <w:rPr>
                  <w:b/>
                  <w:bCs/>
                </w:rPr>
              </w:pPr>
              <w:sdt>
                <w:sdtPr>
                  <w:alias w:val="Numeris"/>
                  <w:tag w:val="nr_ac667d9fa3714cf6ba6121195f2272ae"/>
                  <w:lock w:val="sdtLocked"/>
                  <w:richText/>
                </w:sdtPr>
                <w:sdtContent>
                  <w:r>
                    <w:rPr>
                      <w:b/>
                      <w:bCs/>
                    </w:rPr>
                    <w:t>V</w:t>
                  </w:r>
                </w:sdtContent>
              </w:sdt>
              <w:r>
                <w:rPr>
                  <w:b/>
                  <w:bCs/>
                </w:rPr>
                <w:t xml:space="preserve"> SKYRIUS</w:t>
              </w:r>
            </w:p>
            <w:p>
              <w:pPr>
                <w:jc w:val="center"/>
                <w:rPr>
                  <w:b/>
                  <w:bCs/>
                </w:rPr>
              </w:pPr>
              <w:sdt>
                <w:sdtPr>
                  <w:alias w:val="Pavadinimas"/>
                  <w:tag w:val="title_ac667d9fa3714cf6ba6121195f2272ae"/>
                  <w:lock w:val="sdtLocked"/>
                  <w:richText/>
                </w:sdtPr>
                <w:sdtContent>
                  <w:r>
                    <w:rPr>
                      <w:b/>
                      <w:bCs/>
                    </w:rPr>
                    <w:t>SAVIVALDYBĖS VALDOMŲ ĮMONIŲ IR VIEŠŲJŲ ĮSTAIGŲ PLANUOJAMOS PASIEKTI PAGRINDINIŲ VEIKLOS RODIKLIŲ REIKŠMĖS</w:t>
                  </w:r>
                </w:sdtContent>
              </w:sdt>
            </w:p>
            <w:p>
              <w:pPr>
                <w:rPr>
                  <w:b/>
                  <w:bCs/>
                </w:rPr>
              </w:pPr>
            </w:p>
            <w:p>
              <w:pPr>
                <w:rPr>
                  <w:b/>
                  <w:bCs/>
                </w:rPr>
              </w:pPr>
            </w:p>
            <w:tbl>
              <w:tblPr>
                <w:tblW w:w="9406"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570"/>
                <w:gridCol w:w="2577"/>
                <w:gridCol w:w="2483"/>
                <w:gridCol w:w="1182"/>
                <w:gridCol w:w="1270"/>
                <w:gridCol w:w="1324"/>
              </w:tblGrid>
              <w:tr>
                <w:trPr>
                  <w:trHeight w:val="421"/>
                  <w:tblHeader/>
                </w:trPr>
                <w:tc>
                  <w:tcPr>
                    <w:tcW w:w="518" w:type="dxa"/>
                    <w:vMerge w:val="restart"/>
                    <w:shd w:val="clear" w:color="auto" w:fill="FFE8CB"/>
                    <w:vAlign w:val="center"/>
                    <w:hideMark/>
                  </w:tcPr>
                  <w:p>
                    <w:pPr>
                      <w:rPr>
                        <w:b/>
                        <w:bCs/>
                      </w:rPr>
                    </w:pPr>
                    <w:r>
                      <w:rPr>
                        <w:b/>
                        <w:bCs/>
                      </w:rPr>
                      <w:t>Eil. Nr.</w:t>
                    </w:r>
                  </w:p>
                </w:tc>
                <w:tc>
                  <w:tcPr>
                    <w:tcW w:w="2596" w:type="dxa"/>
                    <w:vMerge w:val="restart"/>
                    <w:shd w:val="clear" w:color="auto" w:fill="FFE8CB"/>
                    <w:vAlign w:val="center"/>
                    <w:hideMark/>
                  </w:tcPr>
                  <w:p>
                    <w:pPr>
                      <w:rPr>
                        <w:b/>
                        <w:bCs/>
                      </w:rPr>
                    </w:pPr>
                    <w:r>
                      <w:rPr>
                        <w:b/>
                        <w:bCs/>
                      </w:rPr>
                      <w:t>Savivaldybės valdomos įmonės ar viešosios įstaigos pavadinimas</w:t>
                    </w:r>
                  </w:p>
                </w:tc>
                <w:tc>
                  <w:tcPr>
                    <w:tcW w:w="2499" w:type="dxa"/>
                    <w:vMerge w:val="restart"/>
                    <w:shd w:val="clear" w:color="auto" w:fill="FFE8CB"/>
                    <w:vAlign w:val="center"/>
                    <w:hideMark/>
                  </w:tcPr>
                  <w:p>
                    <w:pPr>
                      <w:rPr>
                        <w:b/>
                        <w:bCs/>
                      </w:rPr>
                    </w:pPr>
                    <w:r>
                      <w:rPr>
                        <w:b/>
                        <w:bCs/>
                      </w:rPr>
                      <w:t xml:space="preserve">Rodiklio pavadinimas, matavimo vnt.  </w:t>
                    </w:r>
                  </w:p>
                </w:tc>
                <w:tc>
                  <w:tcPr>
                    <w:tcW w:w="3793" w:type="dxa"/>
                    <w:gridSpan w:val="3"/>
                    <w:shd w:val="clear" w:color="auto" w:fill="FFE8CB"/>
                    <w:hideMark/>
                  </w:tcPr>
                  <w:p>
                    <w:pPr>
                      <w:rPr>
                        <w:b/>
                        <w:bCs/>
                        <w:i/>
                      </w:rPr>
                    </w:pPr>
                    <w:r>
                      <w:rPr>
                        <w:b/>
                        <w:bCs/>
                      </w:rPr>
                      <w:t>Planuojamos rodiklių reikšmės</w:t>
                    </w:r>
                  </w:p>
                </w:tc>
              </w:tr>
              <w:tr>
                <w:trPr>
                  <w:trHeight w:val="134"/>
                  <w:tblHeader/>
                </w:trPr>
                <w:tc>
                  <w:tcPr>
                    <w:tcW w:w="0" w:type="auto"/>
                    <w:vMerge/>
                    <w:shd w:val="clear" w:color="auto" w:fill="FFE8CB"/>
                    <w:vAlign w:val="center"/>
                    <w:hideMark/>
                  </w:tcPr>
                  <w:p>
                    <w:pPr>
                      <w:rPr>
                        <w:b/>
                        <w:bCs/>
                      </w:rPr>
                    </w:pPr>
                  </w:p>
                </w:tc>
                <w:tc>
                  <w:tcPr>
                    <w:tcW w:w="0" w:type="auto"/>
                    <w:vMerge/>
                    <w:shd w:val="clear" w:color="auto" w:fill="FFE8CB"/>
                    <w:vAlign w:val="center"/>
                    <w:hideMark/>
                  </w:tcPr>
                  <w:p>
                    <w:pPr>
                      <w:rPr>
                        <w:b/>
                        <w:bCs/>
                      </w:rPr>
                    </w:pPr>
                  </w:p>
                </w:tc>
                <w:tc>
                  <w:tcPr>
                    <w:tcW w:w="0" w:type="auto"/>
                    <w:vMerge/>
                    <w:shd w:val="clear" w:color="auto" w:fill="FFE8CB"/>
                    <w:vAlign w:val="center"/>
                    <w:hideMark/>
                  </w:tcPr>
                  <w:p>
                    <w:pPr>
                      <w:rPr>
                        <w:b/>
                        <w:bCs/>
                      </w:rPr>
                    </w:pPr>
                  </w:p>
                </w:tc>
                <w:tc>
                  <w:tcPr>
                    <w:tcW w:w="1186" w:type="dxa"/>
                    <w:shd w:val="clear" w:color="auto" w:fill="FFE8CB"/>
                    <w:vAlign w:val="center"/>
                    <w:hideMark/>
                  </w:tcPr>
                  <w:p>
                    <w:pPr>
                      <w:rPr>
                        <w:b/>
                        <w:bCs/>
                      </w:rPr>
                    </w:pPr>
                    <w:r>
                      <w:rPr>
                        <w:b/>
                        <w:bCs/>
                      </w:rPr>
                      <w:t>2025 metais</w:t>
                    </w:r>
                  </w:p>
                </w:tc>
                <w:tc>
                  <w:tcPr>
                    <w:tcW w:w="1276" w:type="dxa"/>
                    <w:shd w:val="clear" w:color="auto" w:fill="FFE8CB"/>
                    <w:vAlign w:val="center"/>
                    <w:hideMark/>
                  </w:tcPr>
                  <w:p>
                    <w:pPr>
                      <w:rPr>
                        <w:b/>
                        <w:bCs/>
                        <w:i/>
                      </w:rPr>
                    </w:pPr>
                    <w:r>
                      <w:rPr>
                        <w:b/>
                        <w:bCs/>
                      </w:rPr>
                      <w:t>2026 metais</w:t>
                    </w:r>
                  </w:p>
                </w:tc>
                <w:tc>
                  <w:tcPr>
                    <w:tcW w:w="1331" w:type="dxa"/>
                    <w:shd w:val="clear" w:color="auto" w:fill="FFE8CB"/>
                    <w:vAlign w:val="center"/>
                    <w:hideMark/>
                  </w:tcPr>
                  <w:p>
                    <w:pPr>
                      <w:rPr>
                        <w:b/>
                        <w:bCs/>
                        <w:i/>
                      </w:rPr>
                    </w:pPr>
                    <w:r>
                      <w:rPr>
                        <w:b/>
                        <w:bCs/>
                      </w:rPr>
                      <w:t>2027 metais</w:t>
                    </w:r>
                  </w:p>
                </w:tc>
              </w:tr>
              <w:tr>
                <w:trPr>
                  <w:trHeight w:val="306"/>
                  <w:tblHeader/>
                </w:trPr>
                <w:tc>
                  <w:tcPr>
                    <w:tcW w:w="518" w:type="dxa"/>
                    <w:shd w:val="clear" w:color="auto" w:fill="FFE8CB"/>
                    <w:vAlign w:val="center"/>
                    <w:hideMark/>
                  </w:tcPr>
                  <w:p>
                    <w:pPr>
                      <w:rPr>
                        <w:b/>
                        <w:bCs/>
                      </w:rPr>
                    </w:pPr>
                    <w:r>
                      <w:rPr>
                        <w:b/>
                        <w:bCs/>
                      </w:rPr>
                      <w:t>1</w:t>
                    </w:r>
                  </w:p>
                </w:tc>
                <w:tc>
                  <w:tcPr>
                    <w:tcW w:w="2596" w:type="dxa"/>
                    <w:shd w:val="clear" w:color="auto" w:fill="FFE8CB"/>
                    <w:vAlign w:val="center"/>
                    <w:hideMark/>
                  </w:tcPr>
                  <w:p>
                    <w:pPr>
                      <w:rPr>
                        <w:b/>
                        <w:bCs/>
                      </w:rPr>
                    </w:pPr>
                    <w:r>
                      <w:rPr>
                        <w:b/>
                        <w:bCs/>
                      </w:rPr>
                      <w:t>2</w:t>
                    </w:r>
                  </w:p>
                </w:tc>
                <w:tc>
                  <w:tcPr>
                    <w:tcW w:w="2499" w:type="dxa"/>
                    <w:shd w:val="clear" w:color="auto" w:fill="FFE8CB"/>
                    <w:vAlign w:val="center"/>
                    <w:hideMark/>
                  </w:tcPr>
                  <w:p>
                    <w:pPr>
                      <w:rPr>
                        <w:b/>
                        <w:bCs/>
                      </w:rPr>
                    </w:pPr>
                    <w:r>
                      <w:rPr>
                        <w:b/>
                        <w:bCs/>
                      </w:rPr>
                      <w:t>3</w:t>
                    </w:r>
                  </w:p>
                </w:tc>
                <w:tc>
                  <w:tcPr>
                    <w:tcW w:w="1186" w:type="dxa"/>
                    <w:shd w:val="clear" w:color="auto" w:fill="FFE8CB"/>
                    <w:hideMark/>
                  </w:tcPr>
                  <w:p>
                    <w:pPr>
                      <w:rPr>
                        <w:b/>
                        <w:bCs/>
                      </w:rPr>
                    </w:pPr>
                    <w:r>
                      <w:rPr>
                        <w:b/>
                        <w:bCs/>
                      </w:rPr>
                      <w:t>4</w:t>
                    </w:r>
                  </w:p>
                </w:tc>
                <w:tc>
                  <w:tcPr>
                    <w:tcW w:w="1276" w:type="dxa"/>
                    <w:shd w:val="clear" w:color="auto" w:fill="FFE8CB"/>
                    <w:vAlign w:val="center"/>
                    <w:hideMark/>
                  </w:tcPr>
                  <w:p>
                    <w:pPr>
                      <w:rPr>
                        <w:b/>
                        <w:bCs/>
                      </w:rPr>
                    </w:pPr>
                    <w:r>
                      <w:rPr>
                        <w:b/>
                        <w:bCs/>
                      </w:rPr>
                      <w:t>5</w:t>
                    </w:r>
                  </w:p>
                </w:tc>
                <w:tc>
                  <w:tcPr>
                    <w:tcW w:w="1331" w:type="dxa"/>
                    <w:shd w:val="clear" w:color="auto" w:fill="FFE8CB"/>
                    <w:vAlign w:val="center"/>
                    <w:hideMark/>
                  </w:tcPr>
                  <w:p>
                    <w:pPr>
                      <w:rPr>
                        <w:b/>
                        <w:bCs/>
                      </w:rPr>
                    </w:pPr>
                    <w:r>
                      <w:rPr>
                        <w:b/>
                        <w:bCs/>
                      </w:rPr>
                      <w:t>6</w:t>
                    </w:r>
                  </w:p>
                </w:tc>
              </w:tr>
              <w:tr>
                <w:trPr>
                  <w:trHeight w:val="421"/>
                </w:trPr>
                <w:tc>
                  <w:tcPr>
                    <w:tcW w:w="9406" w:type="dxa"/>
                    <w:gridSpan w:val="6"/>
                    <w:hideMark/>
                  </w:tcPr>
                  <w:p>
                    <w:pPr>
                      <w:rPr>
                        <w:i/>
                        <w:iCs/>
                        <w:sz w:val="18"/>
                        <w:szCs w:val="18"/>
                      </w:rPr>
                    </w:pPr>
                    <w:r>
                      <w:rPr>
                        <w:i/>
                        <w:iCs/>
                        <w:sz w:val="18"/>
                        <w:szCs w:val="18"/>
                      </w:rPr>
                      <w:t>Savivaldybės valdomų įmonių planuojami pasiekti pagrindiniai veiklos rodikliai ir jų reikšmės</w:t>
                    </w:r>
                  </w:p>
                </w:tc>
              </w:tr>
              <w:tr>
                <w:trPr>
                  <w:trHeight w:val="517"/>
                </w:trPr>
                <w:tc>
                  <w:tcPr>
                    <w:tcW w:w="518" w:type="dxa"/>
                    <w:vMerge w:val="restart"/>
                    <w:hideMark/>
                  </w:tcPr>
                  <w:p>
                    <w:pPr>
                      <w:rPr>
                        <w:sz w:val="18"/>
                        <w:szCs w:val="18"/>
                      </w:rPr>
                    </w:pPr>
                    <w:r>
                      <w:rPr>
                        <w:sz w:val="18"/>
                        <w:szCs w:val="18"/>
                      </w:rPr>
                      <w:t>1.</w:t>
                    </w:r>
                  </w:p>
                </w:tc>
                <w:tc>
                  <w:tcPr>
                    <w:tcW w:w="2596" w:type="dxa"/>
                    <w:vMerge w:val="restart"/>
                    <w:hideMark/>
                  </w:tcPr>
                  <w:p>
                    <w:pPr>
                      <w:rPr>
                        <w:sz w:val="18"/>
                        <w:szCs w:val="18"/>
                      </w:rPr>
                    </w:pPr>
                    <w:r>
                      <w:rPr>
                        <w:sz w:val="18"/>
                        <w:szCs w:val="18"/>
                      </w:rPr>
                      <w:t>UAB „Radviliškio šiluma“</w:t>
                    </w:r>
                  </w:p>
                </w:tc>
                <w:tc>
                  <w:tcPr>
                    <w:tcW w:w="6292" w:type="dxa"/>
                    <w:gridSpan w:val="4"/>
                    <w:hideMark/>
                  </w:tcPr>
                  <w:p>
                    <w:pPr>
                      <w:rPr>
                        <w:sz w:val="18"/>
                        <w:szCs w:val="18"/>
                      </w:rPr>
                    </w:pPr>
                    <w:r>
                      <w:rPr>
                        <w:sz w:val="18"/>
                        <w:szCs w:val="18"/>
                      </w:rPr>
                      <w:t xml:space="preserve">870 KW  katilo su ekonomaizeriu Šeduvos Centrinėje katilinėje įrengimas</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Investicijos, tūkst. Eur</w:t>
                    </w:r>
                  </w:p>
                </w:tc>
                <w:tc>
                  <w:tcPr>
                    <w:tcW w:w="1186" w:type="dxa"/>
                    <w:hideMark/>
                  </w:tcPr>
                  <w:p>
                    <w:pPr>
                      <w:rPr>
                        <w:sz w:val="18"/>
                        <w:szCs w:val="18"/>
                      </w:rPr>
                    </w:pPr>
                    <w:r>
                      <w:rPr>
                        <w:sz w:val="18"/>
                        <w:szCs w:val="18"/>
                      </w:rPr>
                      <w:t>40</w:t>
                    </w:r>
                  </w:p>
                </w:tc>
                <w:tc>
                  <w:tcPr>
                    <w:tcW w:w="1276" w:type="dxa"/>
                  </w:tcPr>
                  <w:p>
                    <w:pPr>
                      <w:rPr>
                        <w:sz w:val="18"/>
                        <w:szCs w:val="18"/>
                      </w:rPr>
                    </w:pPr>
                  </w:p>
                </w:tc>
                <w:tc>
                  <w:tcPr>
                    <w:tcW w:w="1331" w:type="dxa"/>
                  </w:tcPr>
                  <w:p>
                    <w:pPr>
                      <w:rPr>
                        <w:sz w:val="18"/>
                        <w:szCs w:val="18"/>
                      </w:rPr>
                    </w:pP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Šilumos sutaupymas, MWh</w:t>
                    </w:r>
                  </w:p>
                </w:tc>
                <w:tc>
                  <w:tcPr>
                    <w:tcW w:w="1186" w:type="dxa"/>
                    <w:hideMark/>
                  </w:tcPr>
                  <w:p>
                    <w:pPr>
                      <w:rPr>
                        <w:sz w:val="18"/>
                        <w:szCs w:val="18"/>
                      </w:rPr>
                    </w:pPr>
                    <w:r>
                      <w:rPr>
                        <w:sz w:val="18"/>
                        <w:szCs w:val="18"/>
                      </w:rPr>
                      <w:t>42,2</w:t>
                    </w:r>
                  </w:p>
                </w:tc>
                <w:tc>
                  <w:tcPr>
                    <w:tcW w:w="1276" w:type="dxa"/>
                    <w:hideMark/>
                  </w:tcPr>
                  <w:p>
                    <w:pPr>
                      <w:rPr>
                        <w:sz w:val="18"/>
                        <w:szCs w:val="18"/>
                      </w:rPr>
                    </w:pPr>
                    <w:r>
                      <w:rPr>
                        <w:sz w:val="18"/>
                        <w:szCs w:val="18"/>
                      </w:rPr>
                      <w:t>106,5</w:t>
                    </w:r>
                  </w:p>
                </w:tc>
                <w:tc>
                  <w:tcPr>
                    <w:tcW w:w="1331" w:type="dxa"/>
                    <w:hideMark/>
                  </w:tcPr>
                  <w:p>
                    <w:pPr>
                      <w:rPr>
                        <w:sz w:val="18"/>
                        <w:szCs w:val="18"/>
                      </w:rPr>
                    </w:pPr>
                    <w:r>
                      <w:rPr>
                        <w:sz w:val="18"/>
                        <w:szCs w:val="18"/>
                      </w:rPr>
                      <w:t>106,5</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Į atmosferą išmetamo CO</w:t>
                    </w:r>
                    <w:r>
                      <w:rPr>
                        <w:sz w:val="18"/>
                        <w:szCs w:val="18"/>
                        <w:vertAlign w:val="subscript"/>
                      </w:rPr>
                      <w:t xml:space="preserve">2 </w:t>
                    </w:r>
                    <w:r>
                      <w:rPr>
                        <w:sz w:val="18"/>
                        <w:szCs w:val="18"/>
                      </w:rPr>
                      <w:t>kiekio</w:t>
                    </w:r>
                    <w:r>
                      <w:rPr>
                        <w:sz w:val="18"/>
                        <w:szCs w:val="18"/>
                        <w:vertAlign w:val="subscript"/>
                      </w:rPr>
                      <w:t xml:space="preserve"> </w:t>
                    </w:r>
                    <w:r>
                      <w:rPr>
                        <w:sz w:val="18"/>
                        <w:szCs w:val="18"/>
                      </w:rPr>
                      <w:t>sumažinimas, t</w:t>
                    </w:r>
                  </w:p>
                </w:tc>
                <w:tc>
                  <w:tcPr>
                    <w:tcW w:w="1186" w:type="dxa"/>
                    <w:hideMark/>
                  </w:tcPr>
                  <w:p>
                    <w:pPr>
                      <w:rPr>
                        <w:sz w:val="18"/>
                        <w:szCs w:val="18"/>
                      </w:rPr>
                    </w:pPr>
                    <w:r>
                      <w:rPr>
                        <w:sz w:val="18"/>
                        <w:szCs w:val="18"/>
                      </w:rPr>
                      <w:t>7,5</w:t>
                    </w:r>
                  </w:p>
                </w:tc>
                <w:tc>
                  <w:tcPr>
                    <w:tcW w:w="1276" w:type="dxa"/>
                    <w:hideMark/>
                  </w:tcPr>
                  <w:p>
                    <w:pPr>
                      <w:rPr>
                        <w:sz w:val="18"/>
                        <w:szCs w:val="18"/>
                      </w:rPr>
                    </w:pPr>
                    <w:r>
                      <w:rPr>
                        <w:sz w:val="18"/>
                        <w:szCs w:val="18"/>
                      </w:rPr>
                      <w:t>19,063</w:t>
                    </w:r>
                  </w:p>
                </w:tc>
                <w:tc>
                  <w:tcPr>
                    <w:tcW w:w="1331" w:type="dxa"/>
                    <w:hideMark/>
                  </w:tcPr>
                  <w:p>
                    <w:pPr>
                      <w:rPr>
                        <w:sz w:val="18"/>
                        <w:szCs w:val="18"/>
                      </w:rPr>
                    </w:pPr>
                    <w:r>
                      <w:rPr>
                        <w:sz w:val="18"/>
                        <w:szCs w:val="18"/>
                      </w:rPr>
                      <w:t>19,063</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6292" w:type="dxa"/>
                    <w:gridSpan w:val="4"/>
                    <w:hideMark/>
                  </w:tcPr>
                  <w:p>
                    <w:pPr>
                      <w:rPr>
                        <w:sz w:val="18"/>
                        <w:szCs w:val="18"/>
                      </w:rPr>
                    </w:pPr>
                    <w:r>
                      <w:rPr>
                        <w:sz w:val="18"/>
                        <w:szCs w:val="18"/>
                      </w:rPr>
                      <w:t>Šilumos tiekimo trasų modernizavimas 360 m</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Investicijos, tūkst. Eur</w:t>
                    </w:r>
                  </w:p>
                </w:tc>
                <w:tc>
                  <w:tcPr>
                    <w:tcW w:w="1186" w:type="dxa"/>
                    <w:hideMark/>
                  </w:tcPr>
                  <w:p>
                    <w:pPr>
                      <w:rPr>
                        <w:sz w:val="18"/>
                        <w:szCs w:val="18"/>
                      </w:rPr>
                    </w:pPr>
                    <w:r>
                      <w:rPr>
                        <w:sz w:val="18"/>
                        <w:szCs w:val="18"/>
                      </w:rPr>
                      <w:t>90</w:t>
                    </w:r>
                  </w:p>
                </w:tc>
                <w:tc>
                  <w:tcPr>
                    <w:tcW w:w="1276" w:type="dxa"/>
                    <w:hideMark/>
                  </w:tcPr>
                  <w:p>
                    <w:pPr>
                      <w:rPr>
                        <w:sz w:val="18"/>
                        <w:szCs w:val="18"/>
                      </w:rPr>
                    </w:pPr>
                    <w:r>
                      <w:rPr>
                        <w:sz w:val="18"/>
                        <w:szCs w:val="18"/>
                      </w:rPr>
                      <w:t>90</w:t>
                    </w:r>
                  </w:p>
                </w:tc>
                <w:tc>
                  <w:tcPr>
                    <w:tcW w:w="1331" w:type="dxa"/>
                  </w:tcPr>
                  <w:p>
                    <w:pPr>
                      <w:rPr>
                        <w:sz w:val="18"/>
                        <w:szCs w:val="18"/>
                      </w:rPr>
                    </w:pP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Šilumos sutaupymas, MWh</w:t>
                    </w:r>
                  </w:p>
                </w:tc>
                <w:tc>
                  <w:tcPr>
                    <w:tcW w:w="1186" w:type="dxa"/>
                    <w:hideMark/>
                  </w:tcPr>
                  <w:p>
                    <w:pPr>
                      <w:rPr>
                        <w:sz w:val="18"/>
                        <w:szCs w:val="18"/>
                      </w:rPr>
                    </w:pPr>
                    <w:r>
                      <w:rPr>
                        <w:sz w:val="18"/>
                        <w:szCs w:val="18"/>
                      </w:rPr>
                      <w:t>12,332</w:t>
                    </w:r>
                  </w:p>
                </w:tc>
                <w:tc>
                  <w:tcPr>
                    <w:tcW w:w="1276" w:type="dxa"/>
                    <w:hideMark/>
                  </w:tcPr>
                  <w:p>
                    <w:pPr>
                      <w:rPr>
                        <w:sz w:val="18"/>
                        <w:szCs w:val="18"/>
                      </w:rPr>
                    </w:pPr>
                    <w:r>
                      <w:rPr>
                        <w:sz w:val="18"/>
                        <w:szCs w:val="18"/>
                      </w:rPr>
                      <w:t>36,996</w:t>
                    </w:r>
                  </w:p>
                </w:tc>
                <w:tc>
                  <w:tcPr>
                    <w:tcW w:w="1331" w:type="dxa"/>
                    <w:hideMark/>
                  </w:tcPr>
                  <w:p>
                    <w:pPr>
                      <w:rPr>
                        <w:sz w:val="18"/>
                        <w:szCs w:val="18"/>
                      </w:rPr>
                    </w:pPr>
                    <w:r>
                      <w:rPr>
                        <w:sz w:val="18"/>
                        <w:szCs w:val="18"/>
                      </w:rPr>
                      <w:t>49,328</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Į atmosferą išmetamo CO</w:t>
                    </w:r>
                    <w:r>
                      <w:rPr>
                        <w:sz w:val="18"/>
                        <w:szCs w:val="18"/>
                        <w:vertAlign w:val="subscript"/>
                      </w:rPr>
                      <w:t xml:space="preserve">2 </w:t>
                    </w:r>
                    <w:r>
                      <w:rPr>
                        <w:sz w:val="18"/>
                        <w:szCs w:val="18"/>
                      </w:rPr>
                      <w:t>kiekio</w:t>
                    </w:r>
                    <w:r>
                      <w:rPr>
                        <w:sz w:val="18"/>
                        <w:szCs w:val="18"/>
                        <w:vertAlign w:val="subscript"/>
                      </w:rPr>
                      <w:t xml:space="preserve"> </w:t>
                    </w:r>
                    <w:r>
                      <w:rPr>
                        <w:sz w:val="18"/>
                        <w:szCs w:val="18"/>
                      </w:rPr>
                      <w:t>sumažinimas, t</w:t>
                    </w:r>
                  </w:p>
                </w:tc>
                <w:tc>
                  <w:tcPr>
                    <w:tcW w:w="1186" w:type="dxa"/>
                    <w:hideMark/>
                  </w:tcPr>
                  <w:p>
                    <w:pPr>
                      <w:rPr>
                        <w:sz w:val="18"/>
                        <w:szCs w:val="18"/>
                      </w:rPr>
                    </w:pPr>
                    <w:r>
                      <w:rPr>
                        <w:sz w:val="18"/>
                        <w:szCs w:val="18"/>
                      </w:rPr>
                      <w:t>2,26</w:t>
                    </w:r>
                  </w:p>
                </w:tc>
                <w:tc>
                  <w:tcPr>
                    <w:tcW w:w="1276" w:type="dxa"/>
                    <w:hideMark/>
                  </w:tcPr>
                  <w:p>
                    <w:pPr>
                      <w:rPr>
                        <w:sz w:val="18"/>
                        <w:szCs w:val="18"/>
                      </w:rPr>
                    </w:pPr>
                    <w:r>
                      <w:rPr>
                        <w:sz w:val="18"/>
                        <w:szCs w:val="18"/>
                      </w:rPr>
                      <w:t>6,78</w:t>
                    </w:r>
                  </w:p>
                </w:tc>
                <w:tc>
                  <w:tcPr>
                    <w:tcW w:w="1331" w:type="dxa"/>
                    <w:hideMark/>
                  </w:tcPr>
                  <w:p>
                    <w:pPr>
                      <w:rPr>
                        <w:sz w:val="18"/>
                        <w:szCs w:val="18"/>
                      </w:rPr>
                    </w:pPr>
                    <w:r>
                      <w:rPr>
                        <w:sz w:val="18"/>
                        <w:szCs w:val="18"/>
                      </w:rPr>
                      <w:t>9,04</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6292" w:type="dxa"/>
                    <w:gridSpan w:val="4"/>
                    <w:hideMark/>
                  </w:tcPr>
                  <w:p>
                    <w:pPr>
                      <w:rPr>
                        <w:sz w:val="18"/>
                        <w:szCs w:val="18"/>
                      </w:rPr>
                    </w:pPr>
                    <w:r>
                      <w:rPr>
                        <w:sz w:val="18"/>
                        <w:szCs w:val="18"/>
                      </w:rPr>
                      <w:t>Elektrostatinio filtro įrengimas Radviliškio katilinėje</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Investicijos, tūkst. Eur</w:t>
                    </w:r>
                  </w:p>
                </w:tc>
                <w:tc>
                  <w:tcPr>
                    <w:tcW w:w="1186" w:type="dxa"/>
                  </w:tcPr>
                  <w:p>
                    <w:pPr>
                      <w:rPr>
                        <w:sz w:val="18"/>
                        <w:szCs w:val="18"/>
                      </w:rPr>
                    </w:pPr>
                  </w:p>
                </w:tc>
                <w:tc>
                  <w:tcPr>
                    <w:tcW w:w="1276" w:type="dxa"/>
                    <w:hideMark/>
                  </w:tcPr>
                  <w:p>
                    <w:pPr>
                      <w:rPr>
                        <w:sz w:val="18"/>
                        <w:szCs w:val="18"/>
                      </w:rPr>
                    </w:pPr>
                    <w:r>
                      <w:rPr>
                        <w:sz w:val="18"/>
                        <w:szCs w:val="18"/>
                      </w:rPr>
                      <w:t>750</w:t>
                    </w:r>
                  </w:p>
                </w:tc>
                <w:tc>
                  <w:tcPr>
                    <w:tcW w:w="1331" w:type="dxa"/>
                  </w:tcPr>
                  <w:p>
                    <w:pPr>
                      <w:rPr>
                        <w:sz w:val="18"/>
                        <w:szCs w:val="18"/>
                      </w:rPr>
                    </w:pP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Į atmosferą išmetamų Kietųjų dalelių sumažinimas, t</w:t>
                    </w:r>
                  </w:p>
                </w:tc>
                <w:tc>
                  <w:tcPr>
                    <w:tcW w:w="1186" w:type="dxa"/>
                  </w:tcPr>
                  <w:p>
                    <w:pPr>
                      <w:rPr>
                        <w:sz w:val="18"/>
                        <w:szCs w:val="18"/>
                      </w:rPr>
                    </w:pPr>
                  </w:p>
                </w:tc>
                <w:tc>
                  <w:tcPr>
                    <w:tcW w:w="1276" w:type="dxa"/>
                    <w:hideMark/>
                  </w:tcPr>
                  <w:p>
                    <w:pPr>
                      <w:rPr>
                        <w:sz w:val="18"/>
                        <w:szCs w:val="18"/>
                      </w:rPr>
                    </w:pPr>
                    <w:r>
                      <w:rPr>
                        <w:sz w:val="18"/>
                        <w:szCs w:val="18"/>
                      </w:rPr>
                      <w:t>0,046</w:t>
                    </w:r>
                  </w:p>
                </w:tc>
                <w:tc>
                  <w:tcPr>
                    <w:tcW w:w="1331" w:type="dxa"/>
                    <w:hideMark/>
                  </w:tcPr>
                  <w:p>
                    <w:pPr>
                      <w:rPr>
                        <w:sz w:val="18"/>
                        <w:szCs w:val="18"/>
                      </w:rPr>
                    </w:pPr>
                    <w:r>
                      <w:rPr>
                        <w:sz w:val="18"/>
                        <w:szCs w:val="18"/>
                      </w:rPr>
                      <w:t>0,102</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6292" w:type="dxa"/>
                    <w:gridSpan w:val="4"/>
                    <w:hideMark/>
                  </w:tcPr>
                  <w:p>
                    <w:pPr>
                      <w:rPr>
                        <w:sz w:val="18"/>
                        <w:szCs w:val="18"/>
                      </w:rPr>
                    </w:pPr>
                    <w:r>
                      <w:rPr>
                        <w:sz w:val="18"/>
                        <w:szCs w:val="18"/>
                      </w:rPr>
                      <w:t>3,2 MW biokuro katilo su ekonomaizeriu įrengimas</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Investicijos, tūkst. Eur</w:t>
                    </w:r>
                  </w:p>
                </w:tc>
                <w:tc>
                  <w:tcPr>
                    <w:tcW w:w="1186" w:type="dxa"/>
                  </w:tcPr>
                  <w:p>
                    <w:pPr>
                      <w:rPr>
                        <w:sz w:val="18"/>
                        <w:szCs w:val="18"/>
                      </w:rPr>
                    </w:pPr>
                  </w:p>
                </w:tc>
                <w:tc>
                  <w:tcPr>
                    <w:tcW w:w="1276" w:type="dxa"/>
                  </w:tcPr>
                  <w:p>
                    <w:pPr>
                      <w:rPr>
                        <w:sz w:val="18"/>
                        <w:szCs w:val="18"/>
                      </w:rPr>
                    </w:pPr>
                  </w:p>
                </w:tc>
                <w:tc>
                  <w:tcPr>
                    <w:tcW w:w="1331" w:type="dxa"/>
                    <w:hideMark/>
                  </w:tcPr>
                  <w:p>
                    <w:pPr>
                      <w:rPr>
                        <w:sz w:val="18"/>
                        <w:szCs w:val="18"/>
                      </w:rPr>
                    </w:pPr>
                    <w:r>
                      <w:rPr>
                        <w:sz w:val="18"/>
                        <w:szCs w:val="18"/>
                      </w:rPr>
                      <w:t>3500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Šilumos sutaupymas, MWh</w:t>
                    </w:r>
                  </w:p>
                </w:tc>
                <w:tc>
                  <w:tcPr>
                    <w:tcW w:w="1186" w:type="dxa"/>
                  </w:tcPr>
                  <w:p>
                    <w:pPr>
                      <w:rPr>
                        <w:sz w:val="18"/>
                        <w:szCs w:val="18"/>
                      </w:rPr>
                    </w:pPr>
                  </w:p>
                </w:tc>
                <w:tc>
                  <w:tcPr>
                    <w:tcW w:w="1276" w:type="dxa"/>
                  </w:tcPr>
                  <w:p>
                    <w:pPr>
                      <w:rPr>
                        <w:sz w:val="18"/>
                        <w:szCs w:val="18"/>
                      </w:rPr>
                    </w:pPr>
                  </w:p>
                </w:tc>
                <w:tc>
                  <w:tcPr>
                    <w:tcW w:w="1331" w:type="dxa"/>
                    <w:hideMark/>
                  </w:tcPr>
                  <w:p>
                    <w:pPr>
                      <w:rPr>
                        <w:sz w:val="18"/>
                        <w:szCs w:val="18"/>
                      </w:rPr>
                    </w:pPr>
                    <w:r>
                      <w:rPr>
                        <w:sz w:val="18"/>
                        <w:szCs w:val="18"/>
                      </w:rPr>
                      <w:t>3373</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Į atmosferą išmetamo CO</w:t>
                    </w:r>
                    <w:r>
                      <w:rPr>
                        <w:sz w:val="18"/>
                        <w:szCs w:val="18"/>
                        <w:vertAlign w:val="subscript"/>
                      </w:rPr>
                      <w:t xml:space="preserve">2 </w:t>
                    </w:r>
                    <w:r>
                      <w:rPr>
                        <w:sz w:val="18"/>
                        <w:szCs w:val="18"/>
                      </w:rPr>
                      <w:t>kiekio</w:t>
                    </w:r>
                    <w:r>
                      <w:rPr>
                        <w:sz w:val="18"/>
                        <w:szCs w:val="18"/>
                        <w:vertAlign w:val="subscript"/>
                      </w:rPr>
                      <w:t xml:space="preserve"> </w:t>
                    </w:r>
                    <w:r>
                      <w:rPr>
                        <w:sz w:val="18"/>
                        <w:szCs w:val="18"/>
                      </w:rPr>
                      <w:t>sumažinimas, t</w:t>
                    </w:r>
                  </w:p>
                </w:tc>
                <w:tc>
                  <w:tcPr>
                    <w:tcW w:w="1186" w:type="dxa"/>
                  </w:tcPr>
                  <w:p>
                    <w:pPr>
                      <w:rPr>
                        <w:sz w:val="18"/>
                        <w:szCs w:val="18"/>
                      </w:rPr>
                    </w:pPr>
                  </w:p>
                </w:tc>
                <w:tc>
                  <w:tcPr>
                    <w:tcW w:w="1276" w:type="dxa"/>
                  </w:tcPr>
                  <w:p>
                    <w:pPr>
                      <w:rPr>
                        <w:sz w:val="18"/>
                        <w:szCs w:val="18"/>
                      </w:rPr>
                    </w:pPr>
                  </w:p>
                </w:tc>
                <w:tc>
                  <w:tcPr>
                    <w:tcW w:w="1331" w:type="dxa"/>
                    <w:hideMark/>
                  </w:tcPr>
                  <w:p>
                    <w:pPr>
                      <w:rPr>
                        <w:sz w:val="18"/>
                        <w:szCs w:val="18"/>
                      </w:rPr>
                    </w:pPr>
                    <w:r>
                      <w:rPr>
                        <w:sz w:val="18"/>
                        <w:szCs w:val="18"/>
                      </w:rPr>
                      <w:t>135</w:t>
                    </w:r>
                  </w:p>
                </w:tc>
              </w:tr>
              <w:tr>
                <w:trPr>
                  <w:trHeight w:val="406"/>
                </w:trPr>
                <w:tc>
                  <w:tcPr>
                    <w:tcW w:w="518" w:type="dxa"/>
                    <w:vMerge w:val="restart"/>
                    <w:hideMark/>
                  </w:tcPr>
                  <w:p>
                    <w:pPr>
                      <w:rPr>
                        <w:sz w:val="18"/>
                        <w:szCs w:val="18"/>
                      </w:rPr>
                    </w:pPr>
                    <w:r>
                      <w:rPr>
                        <w:sz w:val="18"/>
                        <w:szCs w:val="18"/>
                      </w:rPr>
                      <w:t>2.</w:t>
                    </w:r>
                  </w:p>
                </w:tc>
                <w:tc>
                  <w:tcPr>
                    <w:tcW w:w="2596" w:type="dxa"/>
                    <w:vMerge w:val="restart"/>
                    <w:hideMark/>
                  </w:tcPr>
                  <w:p>
                    <w:pPr>
                      <w:rPr>
                        <w:sz w:val="18"/>
                        <w:szCs w:val="18"/>
                      </w:rPr>
                    </w:pPr>
                    <w:r>
                      <w:rPr>
                        <w:sz w:val="18"/>
                        <w:szCs w:val="18"/>
                      </w:rPr>
                      <w:t>UAB „Radviliškio vanduo“</w:t>
                    </w:r>
                  </w:p>
                </w:tc>
                <w:tc>
                  <w:tcPr>
                    <w:tcW w:w="6292" w:type="dxa"/>
                    <w:gridSpan w:val="4"/>
                    <w:hideMark/>
                  </w:tcPr>
                  <w:p>
                    <w:pPr>
                      <w:rPr>
                        <w:sz w:val="18"/>
                        <w:szCs w:val="18"/>
                      </w:rPr>
                    </w:pPr>
                    <w:r>
                      <w:rPr>
                        <w:sz w:val="18"/>
                        <w:szCs w:val="18"/>
                      </w:rPr>
                      <w:t>Tęstinės veiklos rodikliai</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Vandentiekio tinklų ilgis, km</w:t>
                    </w:r>
                  </w:p>
                </w:tc>
                <w:tc>
                  <w:tcPr>
                    <w:tcW w:w="1186" w:type="dxa"/>
                    <w:hideMark/>
                  </w:tcPr>
                  <w:p>
                    <w:pPr>
                      <w:rPr>
                        <w:sz w:val="18"/>
                        <w:szCs w:val="18"/>
                      </w:rPr>
                    </w:pPr>
                    <w:r>
                      <w:rPr>
                        <w:sz w:val="18"/>
                        <w:szCs w:val="18"/>
                      </w:rPr>
                      <w:t>274,2</w:t>
                    </w:r>
                  </w:p>
                </w:tc>
                <w:tc>
                  <w:tcPr>
                    <w:tcW w:w="1276" w:type="dxa"/>
                    <w:hideMark/>
                  </w:tcPr>
                  <w:p>
                    <w:pPr>
                      <w:rPr>
                        <w:sz w:val="18"/>
                        <w:szCs w:val="18"/>
                      </w:rPr>
                    </w:pPr>
                    <w:r>
                      <w:rPr>
                        <w:sz w:val="18"/>
                        <w:szCs w:val="18"/>
                      </w:rPr>
                      <w:t>276,1</w:t>
                    </w:r>
                  </w:p>
                </w:tc>
                <w:tc>
                  <w:tcPr>
                    <w:tcW w:w="1331" w:type="dxa"/>
                    <w:hideMark/>
                  </w:tcPr>
                  <w:p>
                    <w:pPr>
                      <w:rPr>
                        <w:sz w:val="18"/>
                        <w:szCs w:val="18"/>
                      </w:rPr>
                    </w:pPr>
                    <w:r>
                      <w:rPr>
                        <w:sz w:val="18"/>
                        <w:szCs w:val="18"/>
                      </w:rPr>
                      <w:t>278,6</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Nuotekų tinklų ilgis, km</w:t>
                    </w:r>
                  </w:p>
                </w:tc>
                <w:tc>
                  <w:tcPr>
                    <w:tcW w:w="1186" w:type="dxa"/>
                    <w:hideMark/>
                  </w:tcPr>
                  <w:p>
                    <w:pPr>
                      <w:rPr>
                        <w:sz w:val="18"/>
                        <w:szCs w:val="18"/>
                      </w:rPr>
                    </w:pPr>
                    <w:r>
                      <w:rPr>
                        <w:sz w:val="18"/>
                        <w:szCs w:val="18"/>
                      </w:rPr>
                      <w:t>262,3 iš jų 37,2 km paviršinių nuotekų</w:t>
                    </w:r>
                  </w:p>
                </w:tc>
                <w:tc>
                  <w:tcPr>
                    <w:tcW w:w="1276" w:type="dxa"/>
                    <w:hideMark/>
                  </w:tcPr>
                  <w:p>
                    <w:pPr>
                      <w:rPr>
                        <w:sz w:val="18"/>
                        <w:szCs w:val="18"/>
                      </w:rPr>
                    </w:pPr>
                    <w:r>
                      <w:rPr>
                        <w:sz w:val="18"/>
                        <w:szCs w:val="18"/>
                      </w:rPr>
                      <w:t>265,5 iš jų 37,2 km paviršinių nuotekų</w:t>
                    </w:r>
                  </w:p>
                </w:tc>
                <w:tc>
                  <w:tcPr>
                    <w:tcW w:w="1331" w:type="dxa"/>
                    <w:hideMark/>
                  </w:tcPr>
                  <w:p>
                    <w:pPr>
                      <w:rPr>
                        <w:sz w:val="18"/>
                        <w:szCs w:val="18"/>
                      </w:rPr>
                    </w:pPr>
                    <w:r>
                      <w:rPr>
                        <w:sz w:val="18"/>
                        <w:szCs w:val="18"/>
                      </w:rPr>
                      <w:t>269,7 iš jų 37,2 km paviršinių nuotekų</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Centralizuotu vandentiekiu aprūpinti būstai, vnt.</w:t>
                    </w:r>
                  </w:p>
                </w:tc>
                <w:tc>
                  <w:tcPr>
                    <w:tcW w:w="1186" w:type="dxa"/>
                    <w:hideMark/>
                  </w:tcPr>
                  <w:p>
                    <w:pPr>
                      <w:rPr>
                        <w:sz w:val="18"/>
                        <w:szCs w:val="18"/>
                      </w:rPr>
                    </w:pPr>
                    <w:r>
                      <w:rPr>
                        <w:sz w:val="18"/>
                        <w:szCs w:val="18"/>
                      </w:rPr>
                      <w:t>11 762</w:t>
                    </w:r>
                  </w:p>
                </w:tc>
                <w:tc>
                  <w:tcPr>
                    <w:tcW w:w="1276" w:type="dxa"/>
                    <w:hideMark/>
                  </w:tcPr>
                  <w:p>
                    <w:pPr>
                      <w:rPr>
                        <w:sz w:val="18"/>
                        <w:szCs w:val="18"/>
                      </w:rPr>
                    </w:pPr>
                    <w:r>
                      <w:rPr>
                        <w:sz w:val="18"/>
                        <w:szCs w:val="18"/>
                      </w:rPr>
                      <w:t>11 785</w:t>
                    </w:r>
                  </w:p>
                </w:tc>
                <w:tc>
                  <w:tcPr>
                    <w:tcW w:w="1331" w:type="dxa"/>
                    <w:hideMark/>
                  </w:tcPr>
                  <w:p>
                    <w:pPr>
                      <w:rPr>
                        <w:sz w:val="18"/>
                        <w:szCs w:val="18"/>
                      </w:rPr>
                    </w:pPr>
                    <w:r>
                      <w:rPr>
                        <w:sz w:val="18"/>
                        <w:szCs w:val="18"/>
                      </w:rPr>
                      <w:t>11 820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Centralizuotu nuotekų surinkimu aprūpinti būstai, vnt.</w:t>
                    </w:r>
                  </w:p>
                </w:tc>
                <w:tc>
                  <w:tcPr>
                    <w:tcW w:w="1186" w:type="dxa"/>
                    <w:hideMark/>
                  </w:tcPr>
                  <w:p>
                    <w:pPr>
                      <w:rPr>
                        <w:sz w:val="18"/>
                        <w:szCs w:val="18"/>
                      </w:rPr>
                    </w:pPr>
                    <w:r>
                      <w:rPr>
                        <w:sz w:val="18"/>
                        <w:szCs w:val="18"/>
                      </w:rPr>
                      <w:t>11 210</w:t>
                    </w:r>
                  </w:p>
                </w:tc>
                <w:tc>
                  <w:tcPr>
                    <w:tcW w:w="1276" w:type="dxa"/>
                    <w:hideMark/>
                  </w:tcPr>
                  <w:p>
                    <w:pPr>
                      <w:rPr>
                        <w:sz w:val="18"/>
                        <w:szCs w:val="18"/>
                      </w:rPr>
                    </w:pPr>
                    <w:r>
                      <w:rPr>
                        <w:sz w:val="18"/>
                        <w:szCs w:val="18"/>
                      </w:rPr>
                      <w:t>11 260</w:t>
                    </w:r>
                  </w:p>
                </w:tc>
                <w:tc>
                  <w:tcPr>
                    <w:tcW w:w="1331" w:type="dxa"/>
                    <w:hideMark/>
                  </w:tcPr>
                  <w:p>
                    <w:pPr>
                      <w:rPr>
                        <w:sz w:val="18"/>
                        <w:szCs w:val="18"/>
                      </w:rPr>
                    </w:pPr>
                    <w:r>
                      <w:rPr>
                        <w:sz w:val="18"/>
                        <w:szCs w:val="18"/>
                      </w:rPr>
                      <w:t>11 320</w:t>
                    </w:r>
                  </w:p>
                </w:tc>
              </w:tr>
            </w:tbl>
            <w:p>
              <w:pPr>
                <w:rPr>
                  <w:b/>
                  <w:bCs/>
                </w:rPr>
              </w:pPr>
            </w:p>
            <w:p>
              <w:pPr>
                <w:rPr>
                  <w:b/>
                  <w:bCs/>
                </w:rPr>
              </w:pPr>
            </w:p>
            <w:tbl>
              <w:tblPr>
                <w:tblW w:w="9406"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570"/>
                <w:gridCol w:w="1760"/>
                <w:gridCol w:w="2177"/>
                <w:gridCol w:w="1625"/>
                <w:gridCol w:w="1649"/>
                <w:gridCol w:w="1625"/>
              </w:tblGrid>
              <w:tr>
                <w:trPr>
                  <w:trHeight w:val="421"/>
                  <w:tblHeader/>
                </w:trPr>
                <w:tc>
                  <w:tcPr>
                    <w:tcW w:w="511" w:type="dxa"/>
                    <w:vMerge w:val="restart"/>
                    <w:shd w:val="clear" w:color="auto" w:fill="FFE8CB"/>
                    <w:vAlign w:val="center"/>
                    <w:hideMark/>
                  </w:tcPr>
                  <w:p>
                    <w:pPr>
                      <w:rPr>
                        <w:b/>
                        <w:bCs/>
                      </w:rPr>
                    </w:pPr>
                    <w:r>
                      <w:rPr>
                        <w:b/>
                        <w:bCs/>
                      </w:rPr>
                      <w:t>Eil. Nr.</w:t>
                    </w:r>
                  </w:p>
                </w:tc>
                <w:tc>
                  <w:tcPr>
                    <w:tcW w:w="1768" w:type="dxa"/>
                    <w:vMerge w:val="restart"/>
                    <w:shd w:val="clear" w:color="auto" w:fill="FFE8CB"/>
                    <w:vAlign w:val="center"/>
                    <w:hideMark/>
                  </w:tcPr>
                  <w:p>
                    <w:pPr>
                      <w:rPr>
                        <w:b/>
                        <w:bCs/>
                      </w:rPr>
                    </w:pPr>
                    <w:r>
                      <w:rPr>
                        <w:b/>
                        <w:bCs/>
                      </w:rPr>
                      <w:t>Savivaldybės valdomos įmonės ar viešosios įstaigos pavadinimas</w:t>
                    </w:r>
                  </w:p>
                </w:tc>
                <w:tc>
                  <w:tcPr>
                    <w:tcW w:w="2200" w:type="dxa"/>
                    <w:vMerge w:val="restart"/>
                    <w:shd w:val="clear" w:color="auto" w:fill="FFE8CB"/>
                    <w:vAlign w:val="center"/>
                    <w:hideMark/>
                  </w:tcPr>
                  <w:p>
                    <w:pPr>
                      <w:rPr>
                        <w:b/>
                        <w:bCs/>
                      </w:rPr>
                    </w:pPr>
                    <w:r>
                      <w:rPr>
                        <w:b/>
                        <w:bCs/>
                      </w:rPr>
                      <w:t xml:space="preserve">Rodiklio pavadinimas, matavimo vnt.  </w:t>
                    </w:r>
                  </w:p>
                </w:tc>
                <w:tc>
                  <w:tcPr>
                    <w:tcW w:w="4927" w:type="dxa"/>
                    <w:gridSpan w:val="3"/>
                    <w:shd w:val="clear" w:color="auto" w:fill="FFE8CB"/>
                    <w:hideMark/>
                  </w:tcPr>
                  <w:p>
                    <w:pPr>
                      <w:rPr>
                        <w:b/>
                        <w:bCs/>
                        <w:i/>
                      </w:rPr>
                    </w:pPr>
                    <w:r>
                      <w:rPr>
                        <w:b/>
                        <w:bCs/>
                      </w:rPr>
                      <w:t>Planuojamos rodiklių reikšmės</w:t>
                    </w:r>
                  </w:p>
                </w:tc>
              </w:tr>
              <w:tr>
                <w:trPr>
                  <w:trHeight w:val="792"/>
                  <w:tblHeader/>
                </w:trPr>
                <w:tc>
                  <w:tcPr>
                    <w:tcW w:w="0" w:type="auto"/>
                    <w:vMerge/>
                    <w:shd w:val="clear" w:color="auto" w:fill="FFE8CB"/>
                    <w:vAlign w:val="center"/>
                    <w:hideMark/>
                  </w:tcPr>
                  <w:p>
                    <w:pPr>
                      <w:rPr>
                        <w:b/>
                        <w:bCs/>
                      </w:rPr>
                    </w:pPr>
                  </w:p>
                </w:tc>
                <w:tc>
                  <w:tcPr>
                    <w:tcW w:w="0" w:type="auto"/>
                    <w:vMerge/>
                    <w:shd w:val="clear" w:color="auto" w:fill="FFE8CB"/>
                    <w:vAlign w:val="center"/>
                    <w:hideMark/>
                  </w:tcPr>
                  <w:p>
                    <w:pPr>
                      <w:rPr>
                        <w:b/>
                        <w:bCs/>
                      </w:rPr>
                    </w:pPr>
                  </w:p>
                </w:tc>
                <w:tc>
                  <w:tcPr>
                    <w:tcW w:w="0" w:type="auto"/>
                    <w:vMerge/>
                    <w:shd w:val="clear" w:color="auto" w:fill="FFE8CB"/>
                    <w:vAlign w:val="center"/>
                    <w:hideMark/>
                  </w:tcPr>
                  <w:p>
                    <w:pPr>
                      <w:rPr>
                        <w:b/>
                        <w:bCs/>
                      </w:rPr>
                    </w:pPr>
                  </w:p>
                </w:tc>
                <w:tc>
                  <w:tcPr>
                    <w:tcW w:w="1634" w:type="dxa"/>
                    <w:shd w:val="clear" w:color="auto" w:fill="FFE8CB"/>
                    <w:vAlign w:val="center"/>
                    <w:hideMark/>
                  </w:tcPr>
                  <w:p>
                    <w:pPr>
                      <w:rPr>
                        <w:b/>
                        <w:bCs/>
                      </w:rPr>
                    </w:pPr>
                    <w:r>
                      <w:rPr>
                        <w:b/>
                        <w:bCs/>
                      </w:rPr>
                      <w:t>2025 metais</w:t>
                    </w:r>
                  </w:p>
                </w:tc>
                <w:tc>
                  <w:tcPr>
                    <w:tcW w:w="1659" w:type="dxa"/>
                    <w:shd w:val="clear" w:color="auto" w:fill="FFE8CB"/>
                    <w:vAlign w:val="center"/>
                    <w:hideMark/>
                  </w:tcPr>
                  <w:p>
                    <w:pPr>
                      <w:rPr>
                        <w:b/>
                        <w:bCs/>
                        <w:i/>
                      </w:rPr>
                    </w:pPr>
                    <w:r>
                      <w:rPr>
                        <w:b/>
                        <w:bCs/>
                      </w:rPr>
                      <w:t>2026 metais</w:t>
                    </w:r>
                  </w:p>
                </w:tc>
                <w:tc>
                  <w:tcPr>
                    <w:tcW w:w="1634" w:type="dxa"/>
                    <w:shd w:val="clear" w:color="auto" w:fill="FFE8CB"/>
                    <w:vAlign w:val="center"/>
                    <w:hideMark/>
                  </w:tcPr>
                  <w:p>
                    <w:pPr>
                      <w:rPr>
                        <w:b/>
                        <w:bCs/>
                        <w:i/>
                      </w:rPr>
                    </w:pPr>
                    <w:r>
                      <w:rPr>
                        <w:b/>
                        <w:bCs/>
                      </w:rPr>
                      <w:t>2027 metais</w:t>
                    </w:r>
                  </w:p>
                </w:tc>
              </w:tr>
              <w:tr>
                <w:trPr>
                  <w:trHeight w:val="251"/>
                  <w:tblHeader/>
                </w:trPr>
                <w:tc>
                  <w:tcPr>
                    <w:tcW w:w="511" w:type="dxa"/>
                    <w:shd w:val="clear" w:color="auto" w:fill="FFE8CB"/>
                    <w:vAlign w:val="center"/>
                    <w:hideMark/>
                  </w:tcPr>
                  <w:p>
                    <w:pPr>
                      <w:rPr>
                        <w:b/>
                        <w:bCs/>
                      </w:rPr>
                    </w:pPr>
                    <w:r>
                      <w:rPr>
                        <w:b/>
                        <w:bCs/>
                      </w:rPr>
                      <w:t>1</w:t>
                    </w:r>
                  </w:p>
                </w:tc>
                <w:tc>
                  <w:tcPr>
                    <w:tcW w:w="1768" w:type="dxa"/>
                    <w:shd w:val="clear" w:color="auto" w:fill="FFE8CB"/>
                    <w:vAlign w:val="center"/>
                    <w:hideMark/>
                  </w:tcPr>
                  <w:p>
                    <w:pPr>
                      <w:rPr>
                        <w:b/>
                        <w:bCs/>
                      </w:rPr>
                    </w:pPr>
                    <w:r>
                      <w:rPr>
                        <w:b/>
                        <w:bCs/>
                      </w:rPr>
                      <w:t>2</w:t>
                    </w:r>
                  </w:p>
                </w:tc>
                <w:tc>
                  <w:tcPr>
                    <w:tcW w:w="2200" w:type="dxa"/>
                    <w:shd w:val="clear" w:color="auto" w:fill="FFE8CB"/>
                    <w:vAlign w:val="center"/>
                    <w:hideMark/>
                  </w:tcPr>
                  <w:p>
                    <w:pPr>
                      <w:rPr>
                        <w:b/>
                        <w:bCs/>
                      </w:rPr>
                    </w:pPr>
                    <w:r>
                      <w:rPr>
                        <w:b/>
                        <w:bCs/>
                      </w:rPr>
                      <w:t>3</w:t>
                    </w:r>
                  </w:p>
                </w:tc>
                <w:tc>
                  <w:tcPr>
                    <w:tcW w:w="1634" w:type="dxa"/>
                    <w:shd w:val="clear" w:color="auto" w:fill="FFE8CB"/>
                    <w:hideMark/>
                  </w:tcPr>
                  <w:p>
                    <w:pPr>
                      <w:rPr>
                        <w:b/>
                        <w:bCs/>
                      </w:rPr>
                    </w:pPr>
                    <w:r>
                      <w:rPr>
                        <w:b/>
                        <w:bCs/>
                      </w:rPr>
                      <w:t>4</w:t>
                    </w:r>
                  </w:p>
                </w:tc>
                <w:tc>
                  <w:tcPr>
                    <w:tcW w:w="1659" w:type="dxa"/>
                    <w:shd w:val="clear" w:color="auto" w:fill="FFE8CB"/>
                    <w:vAlign w:val="center"/>
                    <w:hideMark/>
                  </w:tcPr>
                  <w:p>
                    <w:pPr>
                      <w:rPr>
                        <w:b/>
                        <w:bCs/>
                      </w:rPr>
                    </w:pPr>
                    <w:r>
                      <w:rPr>
                        <w:b/>
                        <w:bCs/>
                      </w:rPr>
                      <w:t>5</w:t>
                    </w:r>
                  </w:p>
                </w:tc>
                <w:tc>
                  <w:tcPr>
                    <w:tcW w:w="1634" w:type="dxa"/>
                    <w:shd w:val="clear" w:color="auto" w:fill="FFE8CB"/>
                    <w:vAlign w:val="center"/>
                    <w:hideMark/>
                  </w:tcPr>
                  <w:p>
                    <w:pPr>
                      <w:rPr>
                        <w:b/>
                        <w:bCs/>
                      </w:rPr>
                    </w:pPr>
                    <w:r>
                      <w:rPr>
                        <w:b/>
                        <w:bCs/>
                      </w:rPr>
                      <w:t>6</w:t>
                    </w:r>
                  </w:p>
                </w:tc>
              </w:tr>
              <w:tr>
                <w:trPr>
                  <w:trHeight w:val="421"/>
                </w:trPr>
                <w:tc>
                  <w:tcPr>
                    <w:tcW w:w="9406" w:type="dxa"/>
                    <w:gridSpan w:val="6"/>
                    <w:hideMark/>
                  </w:tcPr>
                  <w:p>
                    <w:pPr>
                      <w:rPr>
                        <w:sz w:val="18"/>
                        <w:szCs w:val="18"/>
                      </w:rPr>
                    </w:pPr>
                    <w:r>
                      <w:rPr>
                        <w:sz w:val="18"/>
                        <w:szCs w:val="18"/>
                      </w:rPr>
                      <w:t>Viešųjų įstaigų planuojami pasiekti pagrindiniai veiklos rodikliai ir jų reikšmės</w:t>
                    </w:r>
                  </w:p>
                </w:tc>
              </w:tr>
              <w:tr>
                <w:trPr>
                  <w:trHeight w:val="421"/>
                </w:trPr>
                <w:tc>
                  <w:tcPr>
                    <w:tcW w:w="511" w:type="dxa"/>
                    <w:vMerge w:val="restart"/>
                    <w:hideMark/>
                  </w:tcPr>
                  <w:p>
                    <w:pPr>
                      <w:rPr>
                        <w:sz w:val="18"/>
                        <w:szCs w:val="18"/>
                      </w:rPr>
                    </w:pPr>
                    <w:r>
                      <w:rPr>
                        <w:sz w:val="18"/>
                        <w:szCs w:val="18"/>
                      </w:rPr>
                      <w:t xml:space="preserve">1. </w:t>
                    </w:r>
                  </w:p>
                </w:tc>
                <w:tc>
                  <w:tcPr>
                    <w:tcW w:w="1768" w:type="dxa"/>
                    <w:vMerge w:val="restart"/>
                    <w:hideMark/>
                  </w:tcPr>
                  <w:p>
                    <w:pPr>
                      <w:rPr>
                        <w:sz w:val="18"/>
                        <w:szCs w:val="18"/>
                      </w:rPr>
                    </w:pPr>
                    <w:r>
                      <w:rPr>
                        <w:sz w:val="18"/>
                        <w:szCs w:val="18"/>
                      </w:rPr>
                      <w:t>VšĮ Radviliškio rajono pirminės sveikatos priežiūros centras</w:t>
                    </w:r>
                  </w:p>
                </w:tc>
                <w:tc>
                  <w:tcPr>
                    <w:tcW w:w="2200" w:type="dxa"/>
                    <w:hideMark/>
                  </w:tcPr>
                  <w:p>
                    <w:pPr>
                      <w:rPr>
                        <w:sz w:val="18"/>
                        <w:szCs w:val="18"/>
                      </w:rPr>
                    </w:pPr>
                    <w:r>
                      <w:rPr>
                        <w:sz w:val="18"/>
                        <w:szCs w:val="18"/>
                      </w:rPr>
                      <w:t>Prie įstaigos prisirašę pacientai, sk.</w:t>
                    </w:r>
                  </w:p>
                </w:tc>
                <w:tc>
                  <w:tcPr>
                    <w:tcW w:w="1634" w:type="dxa"/>
                    <w:hideMark/>
                  </w:tcPr>
                  <w:p>
                    <w:pPr>
                      <w:rPr>
                        <w:sz w:val="18"/>
                        <w:szCs w:val="18"/>
                      </w:rPr>
                    </w:pPr>
                    <w:r>
                      <w:rPr>
                        <w:sz w:val="18"/>
                        <w:szCs w:val="18"/>
                      </w:rPr>
                      <w:t>13 500</w:t>
                    </w:r>
                  </w:p>
                </w:tc>
                <w:tc>
                  <w:tcPr>
                    <w:tcW w:w="1659" w:type="dxa"/>
                    <w:hideMark/>
                  </w:tcPr>
                  <w:p>
                    <w:pPr>
                      <w:rPr>
                        <w:sz w:val="18"/>
                        <w:szCs w:val="18"/>
                      </w:rPr>
                    </w:pPr>
                    <w:r>
                      <w:rPr>
                        <w:sz w:val="18"/>
                        <w:szCs w:val="18"/>
                      </w:rPr>
                      <w:t>13 250</w:t>
                    </w:r>
                  </w:p>
                </w:tc>
                <w:tc>
                  <w:tcPr>
                    <w:tcW w:w="1634" w:type="dxa"/>
                    <w:hideMark/>
                  </w:tcPr>
                  <w:p>
                    <w:pPr>
                      <w:rPr>
                        <w:sz w:val="18"/>
                        <w:szCs w:val="18"/>
                      </w:rPr>
                    </w:pPr>
                    <w:r>
                      <w:rPr>
                        <w:sz w:val="18"/>
                        <w:szCs w:val="18"/>
                      </w:rPr>
                      <w:t>13 000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Suteiktų paslaugų skaičius, vnt.</w:t>
                    </w:r>
                  </w:p>
                </w:tc>
                <w:tc>
                  <w:tcPr>
                    <w:tcW w:w="1634" w:type="dxa"/>
                    <w:hideMark/>
                  </w:tcPr>
                  <w:p>
                    <w:pPr>
                      <w:rPr>
                        <w:sz w:val="18"/>
                        <w:szCs w:val="18"/>
                      </w:rPr>
                    </w:pPr>
                    <w:r>
                      <w:rPr>
                        <w:sz w:val="18"/>
                        <w:szCs w:val="18"/>
                      </w:rPr>
                      <w:t>173 000</w:t>
                    </w:r>
                  </w:p>
                </w:tc>
                <w:tc>
                  <w:tcPr>
                    <w:tcW w:w="1659" w:type="dxa"/>
                    <w:hideMark/>
                  </w:tcPr>
                  <w:p>
                    <w:pPr>
                      <w:rPr>
                        <w:sz w:val="18"/>
                        <w:szCs w:val="18"/>
                      </w:rPr>
                    </w:pPr>
                    <w:r>
                      <w:rPr>
                        <w:sz w:val="18"/>
                        <w:szCs w:val="18"/>
                      </w:rPr>
                      <w:t>173 300</w:t>
                    </w:r>
                  </w:p>
                </w:tc>
                <w:tc>
                  <w:tcPr>
                    <w:tcW w:w="1634" w:type="dxa"/>
                    <w:hideMark/>
                  </w:tcPr>
                  <w:p>
                    <w:pPr>
                      <w:rPr>
                        <w:sz w:val="18"/>
                        <w:szCs w:val="18"/>
                      </w:rPr>
                    </w:pPr>
                    <w:r>
                      <w:rPr>
                        <w:sz w:val="18"/>
                        <w:szCs w:val="18"/>
                      </w:rPr>
                      <w:t>173 600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Įstaigos pacientų dalis, dalyvavusių prevencinių priemonių finansavimo programose, proc.</w:t>
                    </w:r>
                  </w:p>
                </w:tc>
                <w:tc>
                  <w:tcPr>
                    <w:tcW w:w="1634" w:type="dxa"/>
                    <w:hideMark/>
                  </w:tcPr>
                  <w:p>
                    <w:pPr>
                      <w:rPr>
                        <w:sz w:val="18"/>
                        <w:szCs w:val="18"/>
                      </w:rPr>
                    </w:pPr>
                    <w:r>
                      <w:rPr>
                        <w:sz w:val="18"/>
                        <w:szCs w:val="18"/>
                      </w:rPr>
                      <w:t>60</w:t>
                    </w:r>
                  </w:p>
                </w:tc>
                <w:tc>
                  <w:tcPr>
                    <w:tcW w:w="1659" w:type="dxa"/>
                    <w:hideMark/>
                  </w:tcPr>
                  <w:p>
                    <w:pPr>
                      <w:rPr>
                        <w:sz w:val="18"/>
                        <w:szCs w:val="18"/>
                      </w:rPr>
                    </w:pPr>
                    <w:r>
                      <w:rPr>
                        <w:sz w:val="18"/>
                        <w:szCs w:val="18"/>
                      </w:rPr>
                      <w:t>65</w:t>
                    </w:r>
                  </w:p>
                </w:tc>
                <w:tc>
                  <w:tcPr>
                    <w:tcW w:w="1634" w:type="dxa"/>
                    <w:hideMark/>
                  </w:tcPr>
                  <w:p>
                    <w:pPr>
                      <w:rPr>
                        <w:sz w:val="18"/>
                        <w:szCs w:val="18"/>
                      </w:rPr>
                    </w:pPr>
                    <w:r>
                      <w:rPr>
                        <w:sz w:val="18"/>
                        <w:szCs w:val="18"/>
                      </w:rPr>
                      <w:t>70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Vaikų (iki 18 m.) profilaktinio tikrinimo intensyvumo programos vykdymas, (apsilankiusių vaikų dalis, lyginant su bendru prirašytų vaikų skaičiumi), </w:t>
                    </w:r>
                    <w:r>
                      <w:rPr>
                        <w:i/>
                        <w:iCs/>
                        <w:sz w:val="18"/>
                        <w:szCs w:val="18"/>
                      </w:rPr>
                      <w:t>proc</w:t>
                    </w:r>
                    <w:r>
                      <w:rPr>
                        <w:sz w:val="18"/>
                        <w:szCs w:val="18"/>
                      </w:rPr>
                      <w:t>.</w:t>
                    </w:r>
                  </w:p>
                </w:tc>
                <w:tc>
                  <w:tcPr>
                    <w:tcW w:w="1634" w:type="dxa"/>
                    <w:hideMark/>
                  </w:tcPr>
                  <w:p>
                    <w:pPr>
                      <w:rPr>
                        <w:sz w:val="18"/>
                        <w:szCs w:val="18"/>
                      </w:rPr>
                    </w:pPr>
                    <w:r>
                      <w:rPr>
                        <w:sz w:val="18"/>
                        <w:szCs w:val="18"/>
                      </w:rPr>
                      <w:t>90</w:t>
                    </w:r>
                  </w:p>
                </w:tc>
                <w:tc>
                  <w:tcPr>
                    <w:tcW w:w="1659" w:type="dxa"/>
                    <w:hideMark/>
                  </w:tcPr>
                  <w:p>
                    <w:pPr>
                      <w:rPr>
                        <w:sz w:val="18"/>
                        <w:szCs w:val="18"/>
                      </w:rPr>
                    </w:pPr>
                    <w:r>
                      <w:rPr>
                        <w:sz w:val="18"/>
                        <w:szCs w:val="18"/>
                      </w:rPr>
                      <w:t>90</w:t>
                    </w:r>
                  </w:p>
                </w:tc>
                <w:tc>
                  <w:tcPr>
                    <w:tcW w:w="1634" w:type="dxa"/>
                    <w:hideMark/>
                  </w:tcPr>
                  <w:p>
                    <w:pPr>
                      <w:rPr>
                        <w:sz w:val="18"/>
                        <w:szCs w:val="18"/>
                      </w:rPr>
                    </w:pPr>
                    <w:r>
                      <w:rPr>
                        <w:sz w:val="18"/>
                        <w:szCs w:val="18"/>
                      </w:rPr>
                      <w:t>90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Laukimo trukmė pas šeimos gydytoją, </w:t>
                    </w:r>
                    <w:r>
                      <w:rPr>
                        <w:i/>
                        <w:iCs/>
                        <w:sz w:val="18"/>
                        <w:szCs w:val="18"/>
                      </w:rPr>
                      <w:t>darbo dienos</w:t>
                    </w:r>
                  </w:p>
                </w:tc>
                <w:tc>
                  <w:tcPr>
                    <w:tcW w:w="1634" w:type="dxa"/>
                    <w:hideMark/>
                  </w:tcPr>
                  <w:p>
                    <w:pPr>
                      <w:rPr>
                        <w:sz w:val="18"/>
                        <w:szCs w:val="18"/>
                      </w:rPr>
                    </w:pPr>
                    <w:r>
                      <w:rPr>
                        <w:sz w:val="18"/>
                        <w:szCs w:val="18"/>
                      </w:rPr>
                      <w:t>7</w:t>
                    </w:r>
                  </w:p>
                </w:tc>
                <w:tc>
                  <w:tcPr>
                    <w:tcW w:w="1659" w:type="dxa"/>
                    <w:hideMark/>
                  </w:tcPr>
                  <w:p>
                    <w:pPr>
                      <w:rPr>
                        <w:sz w:val="18"/>
                        <w:szCs w:val="18"/>
                      </w:rPr>
                    </w:pPr>
                    <w:r>
                      <w:rPr>
                        <w:sz w:val="18"/>
                        <w:szCs w:val="18"/>
                      </w:rPr>
                      <w:t>7</w:t>
                    </w:r>
                  </w:p>
                </w:tc>
                <w:tc>
                  <w:tcPr>
                    <w:tcW w:w="1634" w:type="dxa"/>
                    <w:hideMark/>
                  </w:tcPr>
                  <w:p>
                    <w:pPr>
                      <w:rPr>
                        <w:sz w:val="18"/>
                        <w:szCs w:val="18"/>
                      </w:rPr>
                    </w:pPr>
                    <w:r>
                      <w:rPr>
                        <w:sz w:val="18"/>
                        <w:szCs w:val="18"/>
                      </w:rPr>
                      <w:t>7</w:t>
                    </w:r>
                  </w:p>
                </w:tc>
              </w:tr>
              <w:tr>
                <w:trPr>
                  <w:trHeight w:val="1350"/>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Asmens sveikatos priežiūros specialistų ir darbuotojų kvalifikacijos kėlimas (apmokytų darbuotojų skaičius per metus), </w:t>
                    </w:r>
                    <w:r>
                      <w:rPr>
                        <w:i/>
                        <w:iCs/>
                        <w:sz w:val="18"/>
                        <w:szCs w:val="18"/>
                      </w:rPr>
                      <w:t>proc</w:t>
                    </w:r>
                    <w:r>
                      <w:rPr>
                        <w:sz w:val="18"/>
                        <w:szCs w:val="18"/>
                      </w:rPr>
                      <w:t>.</w:t>
                    </w:r>
                  </w:p>
                </w:tc>
                <w:tc>
                  <w:tcPr>
                    <w:tcW w:w="1634" w:type="dxa"/>
                    <w:hideMark/>
                  </w:tcPr>
                  <w:p>
                    <w:pPr>
                      <w:rPr>
                        <w:sz w:val="18"/>
                        <w:szCs w:val="18"/>
                      </w:rPr>
                    </w:pPr>
                    <w:r>
                      <w:rPr>
                        <w:sz w:val="18"/>
                        <w:szCs w:val="18"/>
                      </w:rPr>
                      <w:t>50</w:t>
                    </w:r>
                  </w:p>
                </w:tc>
                <w:tc>
                  <w:tcPr>
                    <w:tcW w:w="1659" w:type="dxa"/>
                    <w:hideMark/>
                  </w:tcPr>
                  <w:p>
                    <w:pPr>
                      <w:rPr>
                        <w:sz w:val="18"/>
                        <w:szCs w:val="18"/>
                      </w:rPr>
                    </w:pPr>
                    <w:r>
                      <w:rPr>
                        <w:sz w:val="18"/>
                        <w:szCs w:val="18"/>
                      </w:rPr>
                      <w:t>60</w:t>
                    </w:r>
                  </w:p>
                </w:tc>
                <w:tc>
                  <w:tcPr>
                    <w:tcW w:w="1634" w:type="dxa"/>
                    <w:hideMark/>
                  </w:tcPr>
                  <w:p>
                    <w:pPr>
                      <w:rPr>
                        <w:sz w:val="18"/>
                        <w:szCs w:val="18"/>
                      </w:rPr>
                    </w:pPr>
                    <w:r>
                      <w:rPr>
                        <w:sz w:val="18"/>
                        <w:szCs w:val="18"/>
                      </w:rPr>
                      <w:t>70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Asmens sveikatos priežiūros paslaugos namuose paslaugų skaičiaus padidėjimas, </w:t>
                    </w:r>
                    <w:r>
                      <w:rPr>
                        <w:i/>
                        <w:iCs/>
                        <w:sz w:val="18"/>
                        <w:szCs w:val="18"/>
                      </w:rPr>
                      <w:t>proc</w:t>
                    </w:r>
                    <w:r>
                      <w:rPr>
                        <w:sz w:val="18"/>
                        <w:szCs w:val="18"/>
                      </w:rPr>
                      <w:t>.</w:t>
                    </w:r>
                  </w:p>
                </w:tc>
                <w:tc>
                  <w:tcPr>
                    <w:tcW w:w="1634" w:type="dxa"/>
                    <w:hideMark/>
                  </w:tcPr>
                  <w:p>
                    <w:pPr>
                      <w:rPr>
                        <w:sz w:val="18"/>
                        <w:szCs w:val="18"/>
                      </w:rPr>
                    </w:pPr>
                    <w:r>
                      <w:rPr>
                        <w:sz w:val="18"/>
                        <w:szCs w:val="18"/>
                      </w:rPr>
                      <w:t>10</w:t>
                    </w:r>
                  </w:p>
                </w:tc>
                <w:tc>
                  <w:tcPr>
                    <w:tcW w:w="1659" w:type="dxa"/>
                    <w:hideMark/>
                  </w:tcPr>
                  <w:p>
                    <w:pPr>
                      <w:rPr>
                        <w:sz w:val="18"/>
                        <w:szCs w:val="18"/>
                      </w:rPr>
                    </w:pPr>
                    <w:r>
                      <w:rPr>
                        <w:sz w:val="18"/>
                        <w:szCs w:val="18"/>
                      </w:rPr>
                      <w:t>15</w:t>
                    </w:r>
                  </w:p>
                </w:tc>
                <w:tc>
                  <w:tcPr>
                    <w:tcW w:w="1634" w:type="dxa"/>
                    <w:hideMark/>
                  </w:tcPr>
                  <w:p>
                    <w:pPr>
                      <w:rPr>
                        <w:sz w:val="18"/>
                        <w:szCs w:val="18"/>
                      </w:rPr>
                    </w:pPr>
                    <w:r>
                      <w:rPr>
                        <w:sz w:val="18"/>
                        <w:szCs w:val="18"/>
                      </w:rPr>
                      <w:t>15</w:t>
                    </w:r>
                  </w:p>
                </w:tc>
              </w:tr>
              <w:tr>
                <w:trPr>
                  <w:cantSplit/>
                  <w:trHeight w:val="459"/>
                </w:trPr>
                <w:tc>
                  <w:tcPr>
                    <w:tcW w:w="511" w:type="dxa"/>
                    <w:vMerge w:val="restart"/>
                    <w:hideMark/>
                  </w:tcPr>
                  <w:p>
                    <w:pPr>
                      <w:rPr>
                        <w:sz w:val="18"/>
                        <w:szCs w:val="18"/>
                      </w:rPr>
                    </w:pPr>
                    <w:r>
                      <w:rPr>
                        <w:sz w:val="18"/>
                        <w:szCs w:val="18"/>
                      </w:rPr>
                      <w:t>2.</w:t>
                    </w:r>
                  </w:p>
                </w:tc>
                <w:tc>
                  <w:tcPr>
                    <w:tcW w:w="1768" w:type="dxa"/>
                    <w:vMerge w:val="restart"/>
                    <w:hideMark/>
                  </w:tcPr>
                  <w:p>
                    <w:pPr>
                      <w:rPr>
                        <w:sz w:val="18"/>
                        <w:szCs w:val="18"/>
                      </w:rPr>
                    </w:pPr>
                    <w:r>
                      <w:rPr>
                        <w:sz w:val="18"/>
                        <w:szCs w:val="18"/>
                      </w:rPr>
                      <w:t>Viešoji įstaiga Radviliškio ligoninė</w:t>
                    </w:r>
                  </w:p>
                </w:tc>
                <w:tc>
                  <w:tcPr>
                    <w:tcW w:w="2200" w:type="dxa"/>
                    <w:hideMark/>
                  </w:tcPr>
                  <w:p>
                    <w:pPr>
                      <w:rPr>
                        <w:sz w:val="18"/>
                        <w:szCs w:val="18"/>
                      </w:rPr>
                    </w:pPr>
                    <w:r>
                      <w:rPr>
                        <w:sz w:val="18"/>
                        <w:szCs w:val="18"/>
                      </w:rPr>
                      <w:t>Pajamų ir sąnaudų skirtumas (grynasis perviršis ar deficitas)</w:t>
                    </w:r>
                  </w:p>
                </w:tc>
                <w:tc>
                  <w:tcPr>
                    <w:tcW w:w="1634" w:type="dxa"/>
                    <w:hideMark/>
                  </w:tcPr>
                  <w:p>
                    <w:pPr>
                      <w:rPr>
                        <w:sz w:val="18"/>
                        <w:szCs w:val="18"/>
                      </w:rPr>
                    </w:pPr>
                    <w:r>
                      <w:rPr>
                        <w:sz w:val="18"/>
                        <w:szCs w:val="18"/>
                      </w:rPr>
                      <w:t>Būti nenuostolingai</w:t>
                    </w:r>
                  </w:p>
                </w:tc>
                <w:tc>
                  <w:tcPr>
                    <w:tcW w:w="1659" w:type="dxa"/>
                    <w:hideMark/>
                  </w:tcPr>
                  <w:p>
                    <w:pPr>
                      <w:rPr>
                        <w:sz w:val="18"/>
                        <w:szCs w:val="18"/>
                      </w:rPr>
                    </w:pPr>
                    <w:r>
                      <w:rPr>
                        <w:sz w:val="18"/>
                        <w:szCs w:val="18"/>
                      </w:rPr>
                      <w:t>Būti nenuostolingai</w:t>
                    </w:r>
                  </w:p>
                </w:tc>
                <w:tc>
                  <w:tcPr>
                    <w:tcW w:w="1634" w:type="dxa"/>
                    <w:hideMark/>
                  </w:tcPr>
                  <w:p>
                    <w:pPr>
                      <w:rPr>
                        <w:sz w:val="18"/>
                        <w:szCs w:val="18"/>
                      </w:rPr>
                    </w:pPr>
                    <w:r>
                      <w:rPr>
                        <w:sz w:val="18"/>
                        <w:szCs w:val="18"/>
                      </w:rPr>
                      <w:t>Būti nenuostolingai</w:t>
                    </w:r>
                  </w:p>
                </w:tc>
              </w:tr>
              <w:tr>
                <w:trPr>
                  <w:cantSplit/>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Pacientų pasitenkinimo įstaigos teikiamomis asmens sveikatos priežiūros paslaugomis rodiklis (vykdoma apklausa)</w:t>
                    </w:r>
                  </w:p>
                </w:tc>
                <w:tc>
                  <w:tcPr>
                    <w:tcW w:w="1634" w:type="dxa"/>
                    <w:hideMark/>
                  </w:tcPr>
                  <w:p>
                    <w:pPr>
                      <w:rPr>
                        <w:sz w:val="18"/>
                        <w:szCs w:val="18"/>
                      </w:rPr>
                    </w:pPr>
                    <w:r>
                      <w:rPr>
                        <w:sz w:val="18"/>
                        <w:szCs w:val="18"/>
                      </w:rPr>
                      <w:t>Ne mažesnis nei 80 proc.</w:t>
                    </w:r>
                  </w:p>
                </w:tc>
                <w:tc>
                  <w:tcPr>
                    <w:tcW w:w="1659" w:type="dxa"/>
                    <w:hideMark/>
                  </w:tcPr>
                  <w:p>
                    <w:pPr>
                      <w:rPr>
                        <w:sz w:val="18"/>
                        <w:szCs w:val="18"/>
                      </w:rPr>
                    </w:pPr>
                    <w:r>
                      <w:rPr>
                        <w:sz w:val="18"/>
                        <w:szCs w:val="18"/>
                      </w:rPr>
                      <w:t>Ne mažesnis nei 80 proc.</w:t>
                    </w:r>
                  </w:p>
                </w:tc>
                <w:tc>
                  <w:tcPr>
                    <w:tcW w:w="1634" w:type="dxa"/>
                    <w:hideMark/>
                  </w:tcPr>
                  <w:p>
                    <w:pPr>
                      <w:rPr>
                        <w:sz w:val="18"/>
                        <w:szCs w:val="18"/>
                      </w:rPr>
                    </w:pPr>
                    <w:r>
                      <w:rPr>
                        <w:sz w:val="18"/>
                        <w:szCs w:val="18"/>
                      </w:rPr>
                      <w:t>Ne mažesnis nei 80 proc.</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Įstaigoje taikomos kovos su korupcija priemonės, numatytos sveikatos apsaugos ministro tvirtinamoje Sveikatos priežiūros srities korupcijos prevencijos programoje</w:t>
                    </w:r>
                  </w:p>
                </w:tc>
                <w:tc>
                  <w:tcPr>
                    <w:tcW w:w="1634" w:type="dxa"/>
                    <w:hideMark/>
                  </w:tcPr>
                  <w:p>
                    <w:pPr>
                      <w:rPr>
                        <w:sz w:val="18"/>
                        <w:szCs w:val="18"/>
                      </w:rPr>
                    </w:pPr>
                    <w:r>
                      <w:rPr>
                        <w:sz w:val="18"/>
                        <w:szCs w:val="18"/>
                      </w:rPr>
                      <w:t>ASPĮ įtraukta į Skaidrių asmens sveikatos priežiūros įstaigų sąrašą</w:t>
                    </w:r>
                  </w:p>
                </w:tc>
                <w:tc>
                  <w:tcPr>
                    <w:tcW w:w="1659" w:type="dxa"/>
                    <w:hideMark/>
                  </w:tcPr>
                  <w:p>
                    <w:pPr>
                      <w:rPr>
                        <w:sz w:val="18"/>
                        <w:szCs w:val="18"/>
                      </w:rPr>
                    </w:pPr>
                    <w:r>
                      <w:rPr>
                        <w:sz w:val="18"/>
                        <w:szCs w:val="18"/>
                      </w:rPr>
                      <w:t>ASPĮ įtraukta į Skaidrių asmens sveikatos priežiūros įstaigų sąrašą</w:t>
                    </w:r>
                  </w:p>
                </w:tc>
                <w:tc>
                  <w:tcPr>
                    <w:tcW w:w="1634" w:type="dxa"/>
                    <w:hideMark/>
                  </w:tcPr>
                  <w:p>
                    <w:pPr>
                      <w:rPr>
                        <w:sz w:val="18"/>
                        <w:szCs w:val="18"/>
                      </w:rPr>
                    </w:pPr>
                    <w:r>
                      <w:rPr>
                        <w:sz w:val="18"/>
                        <w:szCs w:val="18"/>
                      </w:rPr>
                      <w:t>ASPĮ įtraukta į Skaidrių asmens sveikatos priežiūros įstaigų sąrašą</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Informacinių technologijų diegimo ir plėtros lygis (pacientų elektroninės registracijos sistema, įstaigos interneto svetainės išsamumas, darbuotojų darbo krūvio apskaita, įstaigos dalyvavimo elektroninėje sveikatos sistemoje mastas)</w:t>
                      <w:tab/>
                    </w:r>
                  </w:p>
                </w:tc>
                <w:tc>
                  <w:tcPr>
                    <w:tcW w:w="1634" w:type="dxa"/>
                    <w:hideMark/>
                  </w:tcPr>
                  <w:p>
                    <w:pPr>
                      <w:rPr>
                        <w:sz w:val="18"/>
                        <w:szCs w:val="18"/>
                      </w:rPr>
                    </w:pPr>
                    <w:r>
                      <w:rPr>
                        <w:sz w:val="18"/>
                        <w:szCs w:val="18"/>
                      </w:rPr>
                      <w:t>95 proc. ASPĮ registracijų specializuotoms ambulatorinėms asmens sveikatos priežiūros paslaugoms gauti atliekama per Išankstinę pacientų registracijos informacinę sistemą</w:t>
                    </w:r>
                  </w:p>
                </w:tc>
                <w:tc>
                  <w:tcPr>
                    <w:tcW w:w="1659" w:type="dxa"/>
                    <w:hideMark/>
                  </w:tcPr>
                  <w:p>
                    <w:pPr>
                      <w:rPr>
                        <w:sz w:val="18"/>
                        <w:szCs w:val="18"/>
                      </w:rPr>
                    </w:pPr>
                    <w:r>
                      <w:rPr>
                        <w:sz w:val="18"/>
                        <w:szCs w:val="18"/>
                      </w:rPr>
                      <w:t>95 proc. ASPĮ registracijų specializuotoms ambulatorinėms asmens sveikatos priežiūros paslaugoms gauti atliekama per Išankstinę pacientų registracijos informacinę sistemą</w:t>
                    </w:r>
                  </w:p>
                </w:tc>
                <w:tc>
                  <w:tcPr>
                    <w:tcW w:w="1634" w:type="dxa"/>
                    <w:hideMark/>
                  </w:tcPr>
                  <w:p>
                    <w:pPr>
                      <w:rPr>
                        <w:sz w:val="18"/>
                        <w:szCs w:val="18"/>
                      </w:rPr>
                    </w:pPr>
                    <w:r>
                      <w:rPr>
                        <w:sz w:val="18"/>
                        <w:szCs w:val="18"/>
                      </w:rPr>
                      <w:t>95 proc. ASPĮ registracijų specializuotoms ambulatorinėms asmens sveikatos priežiūros paslaugoms gauti atliekama per Išankstinę pacientų registracijos informacinę sistemą</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Lovos užimtumo rodiklis įstaigoje pagal sveikatos apsaugos ministro nustatytas paslaugų grupes</w:t>
                    </w:r>
                  </w:p>
                </w:tc>
                <w:tc>
                  <w:tcPr>
                    <w:tcW w:w="1634" w:type="dxa"/>
                  </w:tcPr>
                  <w:p>
                    <w:pPr>
                      <w:rPr>
                        <w:sz w:val="18"/>
                        <w:szCs w:val="18"/>
                      </w:rPr>
                    </w:pPr>
                    <w:r>
                      <w:rPr>
                        <w:sz w:val="18"/>
                        <w:szCs w:val="18"/>
                      </w:rPr>
                      <w:t>Aktyviojo gydymo lovų užimtumas – ne mažiau kaip 70 %</w:t>
                    </w:r>
                  </w:p>
                  <w:p>
                    <w:pPr>
                      <w:rPr>
                        <w:sz w:val="18"/>
                        <w:szCs w:val="18"/>
                      </w:rPr>
                    </w:pPr>
                  </w:p>
                </w:tc>
                <w:tc>
                  <w:tcPr>
                    <w:tcW w:w="1659" w:type="dxa"/>
                  </w:tcPr>
                  <w:p>
                    <w:pPr>
                      <w:rPr>
                        <w:sz w:val="18"/>
                        <w:szCs w:val="18"/>
                      </w:rPr>
                    </w:pPr>
                    <w:r>
                      <w:rPr>
                        <w:sz w:val="18"/>
                        <w:szCs w:val="18"/>
                      </w:rPr>
                      <w:t>Aktyviojo gydymo lovų užimtumas – ne mažiau kaip 70 %</w:t>
                    </w:r>
                  </w:p>
                  <w:p>
                    <w:pPr>
                      <w:rPr>
                        <w:sz w:val="18"/>
                        <w:szCs w:val="18"/>
                      </w:rPr>
                    </w:pPr>
                  </w:p>
                </w:tc>
                <w:tc>
                  <w:tcPr>
                    <w:tcW w:w="1634" w:type="dxa"/>
                  </w:tcPr>
                  <w:p>
                    <w:pPr>
                      <w:rPr>
                        <w:sz w:val="18"/>
                        <w:szCs w:val="18"/>
                      </w:rPr>
                    </w:pPr>
                    <w:r>
                      <w:rPr>
                        <w:sz w:val="18"/>
                        <w:szCs w:val="18"/>
                      </w:rPr>
                      <w:t>Aktyviojo gydymo lovų užimtumas – ne mažiau kaip 70 %</w:t>
                    </w:r>
                  </w:p>
                  <w:p>
                    <w:pPr>
                      <w:rPr>
                        <w:sz w:val="18"/>
                        <w:szCs w:val="18"/>
                      </w:rPr>
                    </w:pP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Konsoliduotų viešųjų pirkimų skaičius</w:t>
                    </w:r>
                  </w:p>
                </w:tc>
                <w:tc>
                  <w:tcPr>
                    <w:tcW w:w="1634" w:type="dxa"/>
                    <w:hideMark/>
                  </w:tcPr>
                  <w:p>
                    <w:pPr>
                      <w:rPr>
                        <w:sz w:val="18"/>
                        <w:szCs w:val="18"/>
                      </w:rPr>
                    </w:pPr>
                    <w:r>
                      <w:rPr>
                        <w:sz w:val="18"/>
                        <w:szCs w:val="18"/>
                      </w:rPr>
                      <w:t>Ne mažiau kaip 3</w:t>
                    </w:r>
                  </w:p>
                </w:tc>
                <w:tc>
                  <w:tcPr>
                    <w:tcW w:w="1659" w:type="dxa"/>
                    <w:hideMark/>
                  </w:tcPr>
                  <w:p>
                    <w:pPr>
                      <w:rPr>
                        <w:sz w:val="18"/>
                        <w:szCs w:val="18"/>
                      </w:rPr>
                    </w:pPr>
                    <w:r>
                      <w:rPr>
                        <w:sz w:val="18"/>
                        <w:szCs w:val="18"/>
                      </w:rPr>
                      <w:t>Ne mažiau kaip 3</w:t>
                    </w:r>
                  </w:p>
                </w:tc>
                <w:tc>
                  <w:tcPr>
                    <w:tcW w:w="1634" w:type="dxa"/>
                    <w:hideMark/>
                  </w:tcPr>
                  <w:p>
                    <w:pPr>
                      <w:rPr>
                        <w:sz w:val="18"/>
                        <w:szCs w:val="18"/>
                      </w:rPr>
                    </w:pPr>
                    <w:r>
                      <w:rPr>
                        <w:sz w:val="18"/>
                        <w:szCs w:val="18"/>
                      </w:rPr>
                      <w:t>Ne mažiau kaip 3</w:t>
                    </w:r>
                  </w:p>
                </w:tc>
              </w:tr>
              <w:tr>
                <w:trPr>
                  <w:cantSplit/>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Įstaigos patirtos sąnaudos  asmens sveikatos priežiūros profesinei kvalifikacijai tobulinti</w:t>
                    </w:r>
                  </w:p>
                </w:tc>
                <w:tc>
                  <w:tcPr>
                    <w:tcW w:w="1634" w:type="dxa"/>
                    <w:hideMark/>
                  </w:tcPr>
                  <w:p>
                    <w:pPr>
                      <w:rPr>
                        <w:sz w:val="18"/>
                        <w:szCs w:val="18"/>
                      </w:rPr>
                    </w:pPr>
                    <w:r>
                      <w:rPr>
                        <w:sz w:val="18"/>
                        <w:szCs w:val="18"/>
                      </w:rPr>
                      <w:t>Ne mažiau kaip 0,50 proc. įstaigos darbo užmokesčio sąnaudų, neįskaitant darbdavio socialinio draudimo įmokų</w:t>
                    </w:r>
                  </w:p>
                </w:tc>
                <w:tc>
                  <w:tcPr>
                    <w:tcW w:w="1659" w:type="dxa"/>
                    <w:hideMark/>
                  </w:tcPr>
                  <w:p>
                    <w:pPr>
                      <w:rPr>
                        <w:sz w:val="18"/>
                        <w:szCs w:val="18"/>
                      </w:rPr>
                    </w:pPr>
                    <w:r>
                      <w:rPr>
                        <w:sz w:val="18"/>
                        <w:szCs w:val="18"/>
                      </w:rPr>
                      <w:t>Ne mažiau kaip 0,50 proc. įstaigos darbo užmokesčio sąnaudų, neįskaitant darbdavio socialinio draudimo įmokų</w:t>
                    </w:r>
                  </w:p>
                </w:tc>
                <w:tc>
                  <w:tcPr>
                    <w:tcW w:w="1634" w:type="dxa"/>
                    <w:hideMark/>
                  </w:tcPr>
                  <w:p>
                    <w:pPr>
                      <w:rPr>
                        <w:sz w:val="18"/>
                        <w:szCs w:val="18"/>
                      </w:rPr>
                    </w:pPr>
                    <w:r>
                      <w:rPr>
                        <w:sz w:val="18"/>
                        <w:szCs w:val="18"/>
                      </w:rPr>
                      <w:t>Ne mažiau kaip 0,50 proc. įstaigos darbo užmokesčio sąnaudų, neįskaitant darbdavio socialinio draudimo įmokų</w:t>
                    </w:r>
                  </w:p>
                </w:tc>
              </w:tr>
              <w:tr>
                <w:trPr>
                  <w:trHeight w:val="459"/>
                </w:trPr>
                <w:tc>
                  <w:tcPr>
                    <w:tcW w:w="511" w:type="dxa"/>
                    <w:vMerge w:val="restart"/>
                  </w:tcPr>
                  <w:p>
                    <w:pPr>
                      <w:rPr>
                        <w:sz w:val="18"/>
                        <w:szCs w:val="18"/>
                      </w:rPr>
                    </w:pPr>
                  </w:p>
                </w:tc>
                <w:tc>
                  <w:tcPr>
                    <w:tcW w:w="1768" w:type="dxa"/>
                    <w:vMerge w:val="restart"/>
                  </w:tcPr>
                  <w:p>
                    <w:pPr>
                      <w:rPr>
                        <w:sz w:val="18"/>
                        <w:szCs w:val="18"/>
                      </w:rPr>
                    </w:pPr>
                  </w:p>
                </w:tc>
                <w:tc>
                  <w:tcPr>
                    <w:tcW w:w="2200" w:type="dxa"/>
                    <w:hideMark/>
                  </w:tcPr>
                  <w:p>
                    <w:pPr>
                      <w:rPr>
                        <w:sz w:val="18"/>
                        <w:szCs w:val="18"/>
                      </w:rPr>
                    </w:pPr>
                    <w:r>
                      <w:rPr>
                        <w:sz w:val="18"/>
                        <w:szCs w:val="18"/>
                      </w:rPr>
                      <w:t>Vidutinio darbo užmokesčio pokytis</w:t>
                    </w:r>
                  </w:p>
                </w:tc>
                <w:tc>
                  <w:tcPr>
                    <w:tcW w:w="1634" w:type="dxa"/>
                    <w:hideMark/>
                  </w:tcPr>
                  <w:p>
                    <w:pPr>
                      <w:rPr>
                        <w:sz w:val="18"/>
                        <w:szCs w:val="18"/>
                      </w:rPr>
                    </w:pPr>
                    <w:r>
                      <w:rPr>
                        <w:sz w:val="18"/>
                        <w:szCs w:val="18"/>
                      </w:rPr>
                      <w:t>Vidutinio darbo užmokesčio augimas ne mažesnis nei 10 proc.</w:t>
                    </w:r>
                  </w:p>
                </w:tc>
                <w:tc>
                  <w:tcPr>
                    <w:tcW w:w="1659" w:type="dxa"/>
                    <w:hideMark/>
                  </w:tcPr>
                  <w:p>
                    <w:pPr>
                      <w:rPr>
                        <w:sz w:val="18"/>
                        <w:szCs w:val="18"/>
                      </w:rPr>
                    </w:pPr>
                    <w:r>
                      <w:rPr>
                        <w:sz w:val="18"/>
                        <w:szCs w:val="18"/>
                      </w:rPr>
                      <w:t>Vidutinio darbo užmokesčio augimas ne mažesnis nei 10 proc.</w:t>
                    </w:r>
                  </w:p>
                </w:tc>
                <w:tc>
                  <w:tcPr>
                    <w:tcW w:w="1634" w:type="dxa"/>
                    <w:hideMark/>
                  </w:tcPr>
                  <w:p>
                    <w:pPr>
                      <w:rPr>
                        <w:sz w:val="18"/>
                        <w:szCs w:val="18"/>
                      </w:rPr>
                    </w:pPr>
                    <w:r>
                      <w:rPr>
                        <w:sz w:val="18"/>
                        <w:szCs w:val="18"/>
                      </w:rPr>
                      <w:t>Vidutinio darbo užmokesčio augimas ne mažesnis nei 10 proc.</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Smurto ir priekabiavimo prevencijos politikos įgyvendinimas įstaigoje</w:t>
                    </w:r>
                  </w:p>
                </w:tc>
                <w:tc>
                  <w:tcPr>
                    <w:tcW w:w="1634" w:type="dxa"/>
                    <w:hideMark/>
                  </w:tcPr>
                  <w:p>
                    <w:pPr>
                      <w:rPr>
                        <w:sz w:val="18"/>
                        <w:szCs w:val="18"/>
                      </w:rPr>
                    </w:pPr>
                    <w:r>
                      <w:rPr>
                        <w:sz w:val="18"/>
                        <w:szCs w:val="18"/>
                      </w:rPr>
                      <w:t>VšĮ Radviliškio ligoninės smurto ir priekabiavimo prevencijos politikos įgyvendinimo veiksmų 2024-2027 metų plano vykdymas: Organizuoti mokymai darbuotojų psichologiniam atsparumui didinti.</w:t>
                    </w:r>
                  </w:p>
                </w:tc>
                <w:tc>
                  <w:tcPr>
                    <w:tcW w:w="1659" w:type="dxa"/>
                    <w:hideMark/>
                  </w:tcPr>
                  <w:p>
                    <w:pPr>
                      <w:rPr>
                        <w:sz w:val="18"/>
                        <w:szCs w:val="18"/>
                      </w:rPr>
                    </w:pPr>
                    <w:r>
                      <w:rPr>
                        <w:sz w:val="18"/>
                        <w:szCs w:val="18"/>
                      </w:rPr>
                      <w:t xml:space="preserve">VšĮ Radviliškio ligoninės smurto ir priekabiavimo prevencijos politikos įgyvendinimo veiksmų 2024-2027 metų plano vykdymas: </w:t>
                    </w:r>
                  </w:p>
                  <w:p>
                    <w:pPr>
                      <w:rPr>
                        <w:sz w:val="18"/>
                        <w:szCs w:val="18"/>
                      </w:rPr>
                    </w:pPr>
                    <w:r>
                      <w:rPr>
                        <w:sz w:val="18"/>
                        <w:szCs w:val="18"/>
                      </w:rPr>
                      <w:t>1. Organizuoti mokymai darbuotojų psichologiniam atsparumui didinti;</w:t>
                    </w:r>
                  </w:p>
                  <w:p>
                    <w:pPr>
                      <w:rPr>
                        <w:sz w:val="18"/>
                        <w:szCs w:val="18"/>
                      </w:rPr>
                    </w:pPr>
                    <w:r>
                      <w:rPr>
                        <w:sz w:val="18"/>
                        <w:szCs w:val="18"/>
                      </w:rPr>
                      <w:t>2. Psichosocialinių veiksnių rizikos vertinimas darbo vietose.</w:t>
                    </w:r>
                  </w:p>
                </w:tc>
                <w:tc>
                  <w:tcPr>
                    <w:tcW w:w="1634" w:type="dxa"/>
                    <w:hideMark/>
                  </w:tcPr>
                  <w:p>
                    <w:pPr>
                      <w:rPr>
                        <w:sz w:val="18"/>
                        <w:szCs w:val="18"/>
                      </w:rPr>
                    </w:pPr>
                    <w:r>
                      <w:rPr>
                        <w:sz w:val="18"/>
                        <w:szCs w:val="18"/>
                      </w:rPr>
                      <w:t>VšĮ Radviliškio ligoninės smurto ir priekabiavimo prevencijos politikos įgyvendinimo veiksmų 2024-2027 metų plano vykdymas: Organizuoti mokymai darbuotojų psichologiniam atsparumui didinti.</w:t>
                    </w:r>
                  </w:p>
                </w:tc>
              </w:tr>
              <w:tr>
                <w:trPr>
                  <w:trHeight w:val="459"/>
                </w:trPr>
                <w:tc>
                  <w:tcPr>
                    <w:tcW w:w="511" w:type="dxa"/>
                    <w:vMerge w:val="restart"/>
                    <w:hideMark/>
                  </w:tcPr>
                  <w:p>
                    <w:pPr>
                      <w:rPr>
                        <w:sz w:val="18"/>
                        <w:szCs w:val="18"/>
                      </w:rPr>
                    </w:pPr>
                    <w:r>
                      <w:rPr>
                        <w:sz w:val="18"/>
                        <w:szCs w:val="18"/>
                      </w:rPr>
                      <w:t>3.</w:t>
                    </w:r>
                  </w:p>
                </w:tc>
                <w:tc>
                  <w:tcPr>
                    <w:tcW w:w="1768" w:type="dxa"/>
                    <w:vMerge w:val="restart"/>
                    <w:hideMark/>
                  </w:tcPr>
                  <w:p>
                    <w:pPr>
                      <w:rPr>
                        <w:sz w:val="18"/>
                        <w:szCs w:val="18"/>
                      </w:rPr>
                    </w:pPr>
                    <w:r>
                      <w:rPr>
                        <w:sz w:val="18"/>
                        <w:szCs w:val="18"/>
                      </w:rPr>
                      <w:t>VšĮ Šeduvos pirminės sveikatos priežiūros centras</w:t>
                    </w:r>
                  </w:p>
                </w:tc>
                <w:tc>
                  <w:tcPr>
                    <w:tcW w:w="2200" w:type="dxa"/>
                    <w:hideMark/>
                  </w:tcPr>
                  <w:p>
                    <w:pPr>
                      <w:rPr>
                        <w:sz w:val="18"/>
                        <w:szCs w:val="18"/>
                      </w:rPr>
                    </w:pPr>
                    <w:r>
                      <w:rPr>
                        <w:sz w:val="18"/>
                        <w:szCs w:val="18"/>
                      </w:rPr>
                      <w:t>Prie įstaigos prisirašę pacientai (skaičius)</w:t>
                    </w:r>
                  </w:p>
                </w:tc>
                <w:tc>
                  <w:tcPr>
                    <w:tcW w:w="1634" w:type="dxa"/>
                    <w:hideMark/>
                  </w:tcPr>
                  <w:p>
                    <w:pPr>
                      <w:rPr>
                        <w:sz w:val="18"/>
                        <w:szCs w:val="18"/>
                      </w:rPr>
                    </w:pPr>
                    <w:r>
                      <w:rPr>
                        <w:sz w:val="18"/>
                        <w:szCs w:val="18"/>
                      </w:rPr>
                      <w:t>5300</w:t>
                    </w:r>
                  </w:p>
                </w:tc>
                <w:tc>
                  <w:tcPr>
                    <w:tcW w:w="1659" w:type="dxa"/>
                    <w:hideMark/>
                  </w:tcPr>
                  <w:p>
                    <w:pPr>
                      <w:rPr>
                        <w:sz w:val="18"/>
                        <w:szCs w:val="18"/>
                      </w:rPr>
                    </w:pPr>
                    <w:r>
                      <w:rPr>
                        <w:sz w:val="18"/>
                        <w:szCs w:val="18"/>
                      </w:rPr>
                      <w:t>5270</w:t>
                    </w:r>
                  </w:p>
                </w:tc>
                <w:tc>
                  <w:tcPr>
                    <w:tcW w:w="1634" w:type="dxa"/>
                    <w:hideMark/>
                  </w:tcPr>
                  <w:p>
                    <w:pPr>
                      <w:rPr>
                        <w:sz w:val="18"/>
                        <w:szCs w:val="18"/>
                      </w:rPr>
                    </w:pPr>
                    <w:r>
                      <w:rPr>
                        <w:sz w:val="18"/>
                        <w:szCs w:val="18"/>
                      </w:rPr>
                      <w:t>5200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Vaikų (iki 18 m.) profilaktinio tikrinimo intensyvumo programos vykdymo </w:t>
                    </w:r>
                    <w:r>
                      <w:rPr>
                        <w:sz w:val="18"/>
                        <w:szCs w:val="18"/>
                        <w:lang w:val="en-GB"/>
                      </w:rPr>
                      <w:t xml:space="preserve">% </w:t>
                    </w:r>
                    <w:r>
                      <w:rPr>
                        <w:sz w:val="18"/>
                        <w:szCs w:val="18"/>
                      </w:rPr>
                      <w:t xml:space="preserve">(apsilankiusių vaikų dalis, lyginant su bendru prirašytų vaikų skaičiumi) </w:t>
                    </w:r>
                  </w:p>
                </w:tc>
                <w:tc>
                  <w:tcPr>
                    <w:tcW w:w="1634" w:type="dxa"/>
                    <w:hideMark/>
                  </w:tcPr>
                  <w:p>
                    <w:pPr>
                      <w:rPr>
                        <w:sz w:val="18"/>
                        <w:szCs w:val="18"/>
                      </w:rPr>
                    </w:pPr>
                    <w:r>
                      <w:rPr>
                        <w:sz w:val="18"/>
                        <w:szCs w:val="18"/>
                      </w:rPr>
                      <w:t>82</w:t>
                    </w:r>
                  </w:p>
                </w:tc>
                <w:tc>
                  <w:tcPr>
                    <w:tcW w:w="1659" w:type="dxa"/>
                    <w:hideMark/>
                  </w:tcPr>
                  <w:p>
                    <w:pPr>
                      <w:rPr>
                        <w:sz w:val="18"/>
                        <w:szCs w:val="18"/>
                      </w:rPr>
                    </w:pPr>
                    <w:r>
                      <w:rPr>
                        <w:sz w:val="18"/>
                        <w:szCs w:val="18"/>
                      </w:rPr>
                      <w:t>85</w:t>
                    </w:r>
                  </w:p>
                </w:tc>
                <w:tc>
                  <w:tcPr>
                    <w:tcW w:w="1634" w:type="dxa"/>
                    <w:hideMark/>
                  </w:tcPr>
                  <w:p>
                    <w:pPr>
                      <w:rPr>
                        <w:sz w:val="18"/>
                        <w:szCs w:val="18"/>
                      </w:rPr>
                    </w:pPr>
                    <w:r>
                      <w:rPr>
                        <w:sz w:val="18"/>
                        <w:szCs w:val="18"/>
                      </w:rPr>
                      <w:t>87</w:t>
                    </w:r>
                  </w:p>
                </w:tc>
              </w:tr>
              <w:tr>
                <w:trPr>
                  <w:trHeight w:val="459"/>
                </w:trPr>
                <w:tc>
                  <w:tcPr>
                    <w:tcW w:w="511" w:type="dxa"/>
                    <w:vMerge w:val="restart"/>
                  </w:tcPr>
                  <w:p>
                    <w:pPr>
                      <w:rPr>
                        <w:sz w:val="18"/>
                        <w:szCs w:val="18"/>
                      </w:rPr>
                    </w:pPr>
                  </w:p>
                </w:tc>
                <w:tc>
                  <w:tcPr>
                    <w:tcW w:w="1768" w:type="dxa"/>
                    <w:vMerge w:val="restart"/>
                  </w:tcPr>
                  <w:p>
                    <w:pPr>
                      <w:rPr>
                        <w:sz w:val="18"/>
                        <w:szCs w:val="18"/>
                      </w:rPr>
                    </w:pPr>
                  </w:p>
                </w:tc>
                <w:tc>
                  <w:tcPr>
                    <w:tcW w:w="2200" w:type="dxa"/>
                    <w:hideMark/>
                  </w:tcPr>
                  <w:p>
                    <w:pPr>
                      <w:rPr>
                        <w:sz w:val="18"/>
                        <w:szCs w:val="18"/>
                      </w:rPr>
                    </w:pPr>
                    <w:r>
                      <w:rPr>
                        <w:sz w:val="18"/>
                        <w:szCs w:val="18"/>
                      </w:rPr>
                      <w:t>Laukimo trukmė pas šeimos gydytoją (darbo dienos)</w:t>
                    </w:r>
                  </w:p>
                </w:tc>
                <w:tc>
                  <w:tcPr>
                    <w:tcW w:w="1634" w:type="dxa"/>
                    <w:hideMark/>
                  </w:tcPr>
                  <w:p>
                    <w:pPr>
                      <w:rPr>
                        <w:sz w:val="18"/>
                        <w:szCs w:val="18"/>
                      </w:rPr>
                    </w:pPr>
                    <w:r>
                      <w:rPr>
                        <w:sz w:val="18"/>
                        <w:szCs w:val="18"/>
                      </w:rPr>
                      <w:t>7</w:t>
                    </w:r>
                  </w:p>
                </w:tc>
                <w:tc>
                  <w:tcPr>
                    <w:tcW w:w="1659" w:type="dxa"/>
                    <w:hideMark/>
                  </w:tcPr>
                  <w:p>
                    <w:pPr>
                      <w:rPr>
                        <w:sz w:val="18"/>
                        <w:szCs w:val="18"/>
                      </w:rPr>
                    </w:pPr>
                    <w:r>
                      <w:rPr>
                        <w:sz w:val="18"/>
                        <w:szCs w:val="18"/>
                      </w:rPr>
                      <w:t>6</w:t>
                    </w:r>
                  </w:p>
                </w:tc>
                <w:tc>
                  <w:tcPr>
                    <w:tcW w:w="1634" w:type="dxa"/>
                    <w:hideMark/>
                  </w:tcPr>
                  <w:p>
                    <w:pPr>
                      <w:rPr>
                        <w:sz w:val="18"/>
                        <w:szCs w:val="18"/>
                      </w:rPr>
                    </w:pPr>
                    <w:r>
                      <w:rPr>
                        <w:sz w:val="18"/>
                        <w:szCs w:val="18"/>
                      </w:rPr>
                      <w:t>6</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Asmens sveikatos priežiūros specialistų ir darbuotojų kvalifikacijos kėlimas (apmokytų darbuotojų skaičius per metus)</w:t>
                    </w:r>
                  </w:p>
                </w:tc>
                <w:tc>
                  <w:tcPr>
                    <w:tcW w:w="1634" w:type="dxa"/>
                    <w:hideMark/>
                  </w:tcPr>
                  <w:p>
                    <w:pPr>
                      <w:rPr>
                        <w:sz w:val="18"/>
                        <w:szCs w:val="18"/>
                      </w:rPr>
                    </w:pPr>
                    <w:r>
                      <w:rPr>
                        <w:sz w:val="18"/>
                        <w:szCs w:val="18"/>
                      </w:rPr>
                      <w:t>30</w:t>
                    </w:r>
                  </w:p>
                </w:tc>
                <w:tc>
                  <w:tcPr>
                    <w:tcW w:w="1659" w:type="dxa"/>
                    <w:hideMark/>
                  </w:tcPr>
                  <w:p>
                    <w:pPr>
                      <w:rPr>
                        <w:sz w:val="18"/>
                        <w:szCs w:val="18"/>
                      </w:rPr>
                    </w:pPr>
                    <w:r>
                      <w:rPr>
                        <w:sz w:val="18"/>
                        <w:szCs w:val="18"/>
                      </w:rPr>
                      <w:t>32</w:t>
                    </w:r>
                  </w:p>
                </w:tc>
                <w:tc>
                  <w:tcPr>
                    <w:tcW w:w="1634" w:type="dxa"/>
                    <w:hideMark/>
                  </w:tcPr>
                  <w:p>
                    <w:pPr>
                      <w:rPr>
                        <w:sz w:val="18"/>
                        <w:szCs w:val="18"/>
                      </w:rPr>
                    </w:pPr>
                    <w:r>
                      <w:rPr>
                        <w:sz w:val="18"/>
                        <w:szCs w:val="18"/>
                      </w:rPr>
                      <w:t>34</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Pacientų pasitenkinimo paslaugomis rodiklis, </w:t>
                    </w:r>
                    <w:r>
                      <w:rPr>
                        <w:sz w:val="18"/>
                        <w:szCs w:val="18"/>
                        <w:lang w:val="en-GB"/>
                      </w:rPr>
                      <w:t xml:space="preserve">% </w:t>
                    </w:r>
                  </w:p>
                </w:tc>
                <w:tc>
                  <w:tcPr>
                    <w:tcW w:w="1634" w:type="dxa"/>
                    <w:hideMark/>
                  </w:tcPr>
                  <w:p>
                    <w:pPr>
                      <w:rPr>
                        <w:sz w:val="18"/>
                        <w:szCs w:val="18"/>
                      </w:rPr>
                    </w:pPr>
                    <w:r>
                      <w:rPr>
                        <w:sz w:val="18"/>
                        <w:szCs w:val="18"/>
                      </w:rPr>
                      <w:t>95.5</w:t>
                    </w:r>
                  </w:p>
                </w:tc>
                <w:tc>
                  <w:tcPr>
                    <w:tcW w:w="1659" w:type="dxa"/>
                    <w:hideMark/>
                  </w:tcPr>
                  <w:p>
                    <w:pPr>
                      <w:rPr>
                        <w:sz w:val="18"/>
                        <w:szCs w:val="18"/>
                      </w:rPr>
                    </w:pPr>
                    <w:r>
                      <w:rPr>
                        <w:sz w:val="18"/>
                        <w:szCs w:val="18"/>
                      </w:rPr>
                      <w:t>96.0</w:t>
                    </w:r>
                  </w:p>
                </w:tc>
                <w:tc>
                  <w:tcPr>
                    <w:tcW w:w="1634" w:type="dxa"/>
                    <w:hideMark/>
                  </w:tcPr>
                  <w:p>
                    <w:pPr>
                      <w:rPr>
                        <w:sz w:val="18"/>
                        <w:szCs w:val="18"/>
                      </w:rPr>
                    </w:pPr>
                    <w:r>
                      <w:rPr>
                        <w:sz w:val="18"/>
                        <w:szCs w:val="18"/>
                      </w:rPr>
                      <w:t>97.0</w:t>
                    </w:r>
                  </w:p>
                </w:tc>
              </w:tr>
              <w:tr>
                <w:trPr>
                  <w:trHeight w:val="459"/>
                </w:trPr>
                <w:tc>
                  <w:tcPr>
                    <w:tcW w:w="511" w:type="dxa"/>
                    <w:vMerge w:val="restart"/>
                    <w:hideMark/>
                  </w:tcPr>
                  <w:p>
                    <w:pPr>
                      <w:rPr>
                        <w:sz w:val="18"/>
                        <w:szCs w:val="18"/>
                      </w:rPr>
                    </w:pPr>
                    <w:r>
                      <w:rPr>
                        <w:sz w:val="18"/>
                        <w:szCs w:val="18"/>
                      </w:rPr>
                      <w:t>4.</w:t>
                    </w:r>
                  </w:p>
                </w:tc>
                <w:tc>
                  <w:tcPr>
                    <w:tcW w:w="1768" w:type="dxa"/>
                    <w:vMerge w:val="restart"/>
                    <w:hideMark/>
                  </w:tcPr>
                  <w:p>
                    <w:pPr>
                      <w:rPr>
                        <w:sz w:val="18"/>
                        <w:szCs w:val="18"/>
                      </w:rPr>
                    </w:pPr>
                    <w:r>
                      <w:rPr>
                        <w:sz w:val="18"/>
                        <w:szCs w:val="18"/>
                      </w:rPr>
                      <w:t>VšĮ Baisogalos pirminės sveikatos priežiūros centras</w:t>
                    </w:r>
                  </w:p>
                </w:tc>
                <w:tc>
                  <w:tcPr>
                    <w:tcW w:w="2200" w:type="dxa"/>
                    <w:hideMark/>
                  </w:tcPr>
                  <w:p>
                    <w:pPr>
                      <w:rPr>
                        <w:sz w:val="18"/>
                        <w:szCs w:val="18"/>
                      </w:rPr>
                    </w:pPr>
                    <w:r>
                      <w:rPr>
                        <w:sz w:val="18"/>
                        <w:szCs w:val="18"/>
                      </w:rPr>
                      <w:t>Prie įstaigos prisirašę pacientai, sk.</w:t>
                    </w:r>
                  </w:p>
                </w:tc>
                <w:tc>
                  <w:tcPr>
                    <w:tcW w:w="1634" w:type="dxa"/>
                    <w:hideMark/>
                  </w:tcPr>
                  <w:p>
                    <w:pPr>
                      <w:rPr>
                        <w:sz w:val="18"/>
                        <w:szCs w:val="18"/>
                      </w:rPr>
                    </w:pPr>
                    <w:r>
                      <w:rPr>
                        <w:sz w:val="18"/>
                        <w:szCs w:val="18"/>
                      </w:rPr>
                      <w:t>3500</w:t>
                    </w:r>
                  </w:p>
                </w:tc>
                <w:tc>
                  <w:tcPr>
                    <w:tcW w:w="1659" w:type="dxa"/>
                    <w:hideMark/>
                  </w:tcPr>
                  <w:p>
                    <w:pPr>
                      <w:rPr>
                        <w:sz w:val="18"/>
                        <w:szCs w:val="18"/>
                      </w:rPr>
                    </w:pPr>
                    <w:r>
                      <w:rPr>
                        <w:sz w:val="18"/>
                        <w:szCs w:val="18"/>
                      </w:rPr>
                      <w:t>3450</w:t>
                    </w:r>
                  </w:p>
                </w:tc>
                <w:tc>
                  <w:tcPr>
                    <w:tcW w:w="1634" w:type="dxa"/>
                    <w:hideMark/>
                  </w:tcPr>
                  <w:p>
                    <w:pPr>
                      <w:rPr>
                        <w:sz w:val="18"/>
                        <w:szCs w:val="18"/>
                      </w:rPr>
                    </w:pPr>
                    <w:r>
                      <w:rPr>
                        <w:sz w:val="18"/>
                        <w:szCs w:val="18"/>
                      </w:rPr>
                      <w:t>3400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Apsilankymų skaičius, vnt.</w:t>
                    </w:r>
                  </w:p>
                </w:tc>
                <w:tc>
                  <w:tcPr>
                    <w:tcW w:w="1634" w:type="dxa"/>
                    <w:hideMark/>
                  </w:tcPr>
                  <w:p>
                    <w:pPr>
                      <w:rPr>
                        <w:sz w:val="18"/>
                        <w:szCs w:val="18"/>
                      </w:rPr>
                    </w:pPr>
                    <w:r>
                      <w:rPr>
                        <w:sz w:val="18"/>
                        <w:szCs w:val="18"/>
                      </w:rPr>
                      <w:t>45 000</w:t>
                    </w:r>
                  </w:p>
                </w:tc>
                <w:tc>
                  <w:tcPr>
                    <w:tcW w:w="1659" w:type="dxa"/>
                    <w:hideMark/>
                  </w:tcPr>
                  <w:p>
                    <w:pPr>
                      <w:rPr>
                        <w:sz w:val="18"/>
                        <w:szCs w:val="18"/>
                      </w:rPr>
                    </w:pPr>
                    <w:r>
                      <w:rPr>
                        <w:sz w:val="18"/>
                        <w:szCs w:val="18"/>
                      </w:rPr>
                      <w:t>44 500</w:t>
                    </w:r>
                  </w:p>
                </w:tc>
                <w:tc>
                  <w:tcPr>
                    <w:tcW w:w="1634" w:type="dxa"/>
                    <w:hideMark/>
                  </w:tcPr>
                  <w:p>
                    <w:pPr>
                      <w:rPr>
                        <w:sz w:val="18"/>
                        <w:szCs w:val="18"/>
                      </w:rPr>
                    </w:pPr>
                    <w:r>
                      <w:rPr>
                        <w:sz w:val="18"/>
                        <w:szCs w:val="18"/>
                      </w:rPr>
                      <w:t>44 000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Įstaigos pacientų dalis, dalyvavusių prevencinių priemonių finansavimo programose, proc.</w:t>
                    </w:r>
                  </w:p>
                </w:tc>
                <w:tc>
                  <w:tcPr>
                    <w:tcW w:w="1634" w:type="dxa"/>
                    <w:hideMark/>
                  </w:tcPr>
                  <w:p>
                    <w:pPr>
                      <w:rPr>
                        <w:sz w:val="18"/>
                        <w:szCs w:val="18"/>
                      </w:rPr>
                    </w:pPr>
                    <w:r>
                      <w:rPr>
                        <w:sz w:val="18"/>
                        <w:szCs w:val="18"/>
                      </w:rPr>
                      <w:t>65%</w:t>
                    </w:r>
                  </w:p>
                </w:tc>
                <w:tc>
                  <w:tcPr>
                    <w:tcW w:w="1659" w:type="dxa"/>
                    <w:hideMark/>
                  </w:tcPr>
                  <w:p>
                    <w:pPr>
                      <w:rPr>
                        <w:sz w:val="18"/>
                        <w:szCs w:val="18"/>
                      </w:rPr>
                    </w:pPr>
                    <w:r>
                      <w:rPr>
                        <w:sz w:val="18"/>
                        <w:szCs w:val="18"/>
                      </w:rPr>
                      <w:t>70%</w:t>
                    </w:r>
                  </w:p>
                </w:tc>
                <w:tc>
                  <w:tcPr>
                    <w:tcW w:w="1634" w:type="dxa"/>
                    <w:hideMark/>
                  </w:tcPr>
                  <w:p>
                    <w:pPr>
                      <w:rPr>
                        <w:sz w:val="18"/>
                        <w:szCs w:val="18"/>
                      </w:rPr>
                    </w:pPr>
                    <w:r>
                      <w:rPr>
                        <w:sz w:val="18"/>
                        <w:szCs w:val="18"/>
                      </w:rPr>
                      <w:t>75%</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Vaikų (iki 18 m.) profilaktinio tikrinimo intensyvumo programos vykdymas, (apsilankiusių vaikų dalis, lyginant su bendru prirašytų vaikų skaičiumi), proc.</w:t>
                    </w:r>
                  </w:p>
                </w:tc>
                <w:tc>
                  <w:tcPr>
                    <w:tcW w:w="1634" w:type="dxa"/>
                    <w:hideMark/>
                  </w:tcPr>
                  <w:p>
                    <w:pPr>
                      <w:rPr>
                        <w:sz w:val="18"/>
                        <w:szCs w:val="18"/>
                      </w:rPr>
                    </w:pPr>
                    <w:r>
                      <w:rPr>
                        <w:sz w:val="18"/>
                        <w:szCs w:val="18"/>
                      </w:rPr>
                      <w:t>95%</w:t>
                    </w:r>
                  </w:p>
                </w:tc>
                <w:tc>
                  <w:tcPr>
                    <w:tcW w:w="1659" w:type="dxa"/>
                    <w:hideMark/>
                  </w:tcPr>
                  <w:p>
                    <w:pPr>
                      <w:rPr>
                        <w:sz w:val="18"/>
                        <w:szCs w:val="18"/>
                      </w:rPr>
                    </w:pPr>
                    <w:r>
                      <w:rPr>
                        <w:sz w:val="18"/>
                        <w:szCs w:val="18"/>
                      </w:rPr>
                      <w:t>100%</w:t>
                    </w:r>
                  </w:p>
                </w:tc>
                <w:tc>
                  <w:tcPr>
                    <w:tcW w:w="1634" w:type="dxa"/>
                    <w:hideMark/>
                  </w:tcPr>
                  <w:p>
                    <w:pPr>
                      <w:rPr>
                        <w:sz w:val="18"/>
                        <w:szCs w:val="18"/>
                      </w:rPr>
                    </w:pPr>
                    <w:r>
                      <w:rPr>
                        <w:sz w:val="18"/>
                        <w:szCs w:val="18"/>
                      </w:rPr>
                      <w:t>100%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Laukimo trukmė pas šeimos gydytoją, darbo dienos</w:t>
                    </w:r>
                  </w:p>
                </w:tc>
                <w:tc>
                  <w:tcPr>
                    <w:tcW w:w="1634" w:type="dxa"/>
                    <w:hideMark/>
                  </w:tcPr>
                  <w:p>
                    <w:pPr>
                      <w:rPr>
                        <w:sz w:val="18"/>
                        <w:szCs w:val="18"/>
                      </w:rPr>
                    </w:pPr>
                    <w:r>
                      <w:rPr>
                        <w:sz w:val="18"/>
                        <w:szCs w:val="18"/>
                      </w:rPr>
                      <w:t>7</w:t>
                    </w:r>
                  </w:p>
                </w:tc>
                <w:tc>
                  <w:tcPr>
                    <w:tcW w:w="1659" w:type="dxa"/>
                    <w:hideMark/>
                  </w:tcPr>
                  <w:p>
                    <w:pPr>
                      <w:rPr>
                        <w:sz w:val="18"/>
                        <w:szCs w:val="18"/>
                      </w:rPr>
                    </w:pPr>
                    <w:r>
                      <w:rPr>
                        <w:sz w:val="18"/>
                        <w:szCs w:val="18"/>
                      </w:rPr>
                      <w:t>6</w:t>
                    </w:r>
                  </w:p>
                </w:tc>
                <w:tc>
                  <w:tcPr>
                    <w:tcW w:w="1634" w:type="dxa"/>
                    <w:hideMark/>
                  </w:tcPr>
                  <w:p>
                    <w:pPr>
                      <w:rPr>
                        <w:sz w:val="18"/>
                        <w:szCs w:val="18"/>
                      </w:rPr>
                    </w:pPr>
                    <w:r>
                      <w:rPr>
                        <w:sz w:val="18"/>
                        <w:szCs w:val="18"/>
                      </w:rPr>
                      <w:t>5</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Ambulatorinių slaugos paslaugų suteikimas namuose (ASPN komanda) proc. </w:t>
                    </w:r>
                  </w:p>
                </w:tc>
                <w:tc>
                  <w:tcPr>
                    <w:tcW w:w="1634" w:type="dxa"/>
                    <w:hideMark/>
                  </w:tcPr>
                  <w:p>
                    <w:pPr>
                      <w:rPr>
                        <w:sz w:val="18"/>
                        <w:szCs w:val="18"/>
                      </w:rPr>
                    </w:pPr>
                    <w:r>
                      <w:rPr>
                        <w:sz w:val="18"/>
                        <w:szCs w:val="18"/>
                      </w:rPr>
                      <w:t>10%</w:t>
                    </w:r>
                  </w:p>
                </w:tc>
                <w:tc>
                  <w:tcPr>
                    <w:tcW w:w="1659" w:type="dxa"/>
                    <w:hideMark/>
                  </w:tcPr>
                  <w:p>
                    <w:pPr>
                      <w:rPr>
                        <w:sz w:val="18"/>
                        <w:szCs w:val="18"/>
                      </w:rPr>
                    </w:pPr>
                    <w:r>
                      <w:rPr>
                        <w:sz w:val="18"/>
                        <w:szCs w:val="18"/>
                      </w:rPr>
                      <w:t>15%</w:t>
                    </w:r>
                  </w:p>
                </w:tc>
                <w:tc>
                  <w:tcPr>
                    <w:tcW w:w="1634" w:type="dxa"/>
                    <w:hideMark/>
                  </w:tcPr>
                  <w:p>
                    <w:pPr>
                      <w:rPr>
                        <w:sz w:val="18"/>
                        <w:szCs w:val="18"/>
                      </w:rPr>
                    </w:pPr>
                    <w:r>
                      <w:rPr>
                        <w:sz w:val="18"/>
                        <w:szCs w:val="18"/>
                      </w:rPr>
                      <w:t>20%</w:t>
                    </w:r>
                  </w:p>
                </w:tc>
              </w:tr>
            </w:tbl>
            <w:p>
              <w:pPr>
                <w:rPr>
                  <w:sz w:val="18"/>
                  <w:szCs w:val="18"/>
                </w:rPr>
              </w:pPr>
            </w:p>
          </w:sdtContent>
        </w:sdt>
      </w:sdtContent>
    </w:sdt>
    <w:sectPr>
      <w:headerReference w:type="even" r:id="rId40"/>
      <w:headerReference w:type="default" r:id="rId41"/>
      <w:footerReference w:type="even" r:id="rId42"/>
      <w:footerReference w:type="default" r:id="rId43"/>
      <w:headerReference w:type="first" r:id="rId44"/>
      <w:footerReference w:type="first" r:id="rId45"/>
      <w:pgSz w:w="11906" w:h="16838"/>
      <w:pgMar w:top="720" w:right="720" w:bottom="720" w:left="720"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Italic">
    <w:altName w:val="Klee One"/>
    <w:panose1 w:val="00000000000000000000"/>
    <w:charset w:val="80"/>
    <w:family w:val="auto"/>
    <w:notTrueType/>
    <w:pitch w:val="default"/>
    <w:sig w:usb0="00000001" w:usb1="08070000" w:usb2="00000010" w:usb3="00000000" w:csb0="00020000"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ind w:right="360"/>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986"/>
        <w:tab w:val="right" w:pos="9972"/>
      </w:tabs>
      <w:ind w:right="360"/>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right"/>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3E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1DC563EB-2EAE-41C0-A49A-1BFCA244FA2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4372241">
      <w:bodyDiv w:val="1"/>
      <w:marLeft w:val="0"/>
      <w:marRight w:val="0"/>
      <w:marTop w:val="0"/>
      <w:marBottom w:val="0"/>
      <w:divBdr>
        <w:top w:val="none" w:sz="0" w:space="0" w:color="auto"/>
        <w:left w:val="none" w:sz="0" w:space="0" w:color="auto"/>
        <w:bottom w:val="none" w:sz="0" w:space="0" w:color="auto"/>
        <w:right w:val="none" w:sz="0" w:space="0" w:color="auto"/>
      </w:divBdr>
    </w:div>
    <w:div w:id="57170023">
      <w:bodyDiv w:val="1"/>
      <w:marLeft w:val="0"/>
      <w:marRight w:val="0"/>
      <w:marTop w:val="0"/>
      <w:marBottom w:val="0"/>
      <w:divBdr>
        <w:top w:val="none" w:sz="0" w:space="0" w:color="auto"/>
        <w:left w:val="none" w:sz="0" w:space="0" w:color="auto"/>
        <w:bottom w:val="none" w:sz="0" w:space="0" w:color="auto"/>
        <w:right w:val="none" w:sz="0" w:space="0" w:color="auto"/>
      </w:divBdr>
    </w:div>
    <w:div w:id="62027829">
      <w:bodyDiv w:val="1"/>
      <w:marLeft w:val="0"/>
      <w:marRight w:val="0"/>
      <w:marTop w:val="0"/>
      <w:marBottom w:val="0"/>
      <w:divBdr>
        <w:top w:val="none" w:sz="0" w:space="0" w:color="auto"/>
        <w:left w:val="none" w:sz="0" w:space="0" w:color="auto"/>
        <w:bottom w:val="none" w:sz="0" w:space="0" w:color="auto"/>
        <w:right w:val="none" w:sz="0" w:space="0" w:color="auto"/>
      </w:divBdr>
    </w:div>
    <w:div w:id="73284608">
      <w:bodyDiv w:val="1"/>
      <w:marLeft w:val="0"/>
      <w:marRight w:val="0"/>
      <w:marTop w:val="0"/>
      <w:marBottom w:val="0"/>
      <w:divBdr>
        <w:top w:val="none" w:sz="0" w:space="0" w:color="auto"/>
        <w:left w:val="none" w:sz="0" w:space="0" w:color="auto"/>
        <w:bottom w:val="none" w:sz="0" w:space="0" w:color="auto"/>
        <w:right w:val="none" w:sz="0" w:space="0" w:color="auto"/>
      </w:divBdr>
    </w:div>
    <w:div w:id="142360637">
      <w:bodyDiv w:val="1"/>
      <w:marLeft w:val="0"/>
      <w:marRight w:val="0"/>
      <w:marTop w:val="0"/>
      <w:marBottom w:val="0"/>
      <w:divBdr>
        <w:top w:val="none" w:sz="0" w:space="0" w:color="auto"/>
        <w:left w:val="none" w:sz="0" w:space="0" w:color="auto"/>
        <w:bottom w:val="none" w:sz="0" w:space="0" w:color="auto"/>
        <w:right w:val="none" w:sz="0" w:space="0" w:color="auto"/>
      </w:divBdr>
    </w:div>
    <w:div w:id="148059918">
      <w:bodyDiv w:val="1"/>
      <w:marLeft w:val="0"/>
      <w:marRight w:val="0"/>
      <w:marTop w:val="0"/>
      <w:marBottom w:val="0"/>
      <w:divBdr>
        <w:top w:val="none" w:sz="0" w:space="0" w:color="auto"/>
        <w:left w:val="none" w:sz="0" w:space="0" w:color="auto"/>
        <w:bottom w:val="none" w:sz="0" w:space="0" w:color="auto"/>
        <w:right w:val="none" w:sz="0" w:space="0" w:color="auto"/>
      </w:divBdr>
    </w:div>
    <w:div w:id="179586220">
      <w:bodyDiv w:val="1"/>
      <w:marLeft w:val="0"/>
      <w:marRight w:val="0"/>
      <w:marTop w:val="0"/>
      <w:marBottom w:val="0"/>
      <w:divBdr>
        <w:top w:val="none" w:sz="0" w:space="0" w:color="auto"/>
        <w:left w:val="none" w:sz="0" w:space="0" w:color="auto"/>
        <w:bottom w:val="none" w:sz="0" w:space="0" w:color="auto"/>
        <w:right w:val="none" w:sz="0" w:space="0" w:color="auto"/>
      </w:divBdr>
    </w:div>
    <w:div w:id="281300810">
      <w:bodyDiv w:val="1"/>
      <w:marLeft w:val="0"/>
      <w:marRight w:val="0"/>
      <w:marTop w:val="0"/>
      <w:marBottom w:val="0"/>
      <w:divBdr>
        <w:top w:val="none" w:sz="0" w:space="0" w:color="auto"/>
        <w:left w:val="none" w:sz="0" w:space="0" w:color="auto"/>
        <w:bottom w:val="none" w:sz="0" w:space="0" w:color="auto"/>
        <w:right w:val="none" w:sz="0" w:space="0" w:color="auto"/>
      </w:divBdr>
    </w:div>
    <w:div w:id="299312926">
      <w:bodyDiv w:val="1"/>
      <w:marLeft w:val="0"/>
      <w:marRight w:val="0"/>
      <w:marTop w:val="0"/>
      <w:marBottom w:val="0"/>
      <w:divBdr>
        <w:top w:val="none" w:sz="0" w:space="0" w:color="auto"/>
        <w:left w:val="none" w:sz="0" w:space="0" w:color="auto"/>
        <w:bottom w:val="none" w:sz="0" w:space="0" w:color="auto"/>
        <w:right w:val="none" w:sz="0" w:space="0" w:color="auto"/>
      </w:divBdr>
    </w:div>
    <w:div w:id="323944486">
      <w:bodyDiv w:val="1"/>
      <w:marLeft w:val="0"/>
      <w:marRight w:val="0"/>
      <w:marTop w:val="0"/>
      <w:marBottom w:val="0"/>
      <w:divBdr>
        <w:top w:val="none" w:sz="0" w:space="0" w:color="auto"/>
        <w:left w:val="none" w:sz="0" w:space="0" w:color="auto"/>
        <w:bottom w:val="none" w:sz="0" w:space="0" w:color="auto"/>
        <w:right w:val="none" w:sz="0" w:space="0" w:color="auto"/>
      </w:divBdr>
    </w:div>
    <w:div w:id="333656379">
      <w:bodyDiv w:val="1"/>
      <w:marLeft w:val="0"/>
      <w:marRight w:val="0"/>
      <w:marTop w:val="0"/>
      <w:marBottom w:val="0"/>
      <w:divBdr>
        <w:top w:val="none" w:sz="0" w:space="0" w:color="auto"/>
        <w:left w:val="none" w:sz="0" w:space="0" w:color="auto"/>
        <w:bottom w:val="none" w:sz="0" w:space="0" w:color="auto"/>
        <w:right w:val="none" w:sz="0" w:space="0" w:color="auto"/>
      </w:divBdr>
    </w:div>
    <w:div w:id="361248204">
      <w:bodyDiv w:val="1"/>
      <w:marLeft w:val="0"/>
      <w:marRight w:val="0"/>
      <w:marTop w:val="0"/>
      <w:marBottom w:val="0"/>
      <w:divBdr>
        <w:top w:val="none" w:sz="0" w:space="0" w:color="auto"/>
        <w:left w:val="none" w:sz="0" w:space="0" w:color="auto"/>
        <w:bottom w:val="none" w:sz="0" w:space="0" w:color="auto"/>
        <w:right w:val="none" w:sz="0" w:space="0" w:color="auto"/>
      </w:divBdr>
    </w:div>
    <w:div w:id="378359311">
      <w:bodyDiv w:val="1"/>
      <w:marLeft w:val="0"/>
      <w:marRight w:val="0"/>
      <w:marTop w:val="0"/>
      <w:marBottom w:val="0"/>
      <w:divBdr>
        <w:top w:val="none" w:sz="0" w:space="0" w:color="auto"/>
        <w:left w:val="none" w:sz="0" w:space="0" w:color="auto"/>
        <w:bottom w:val="none" w:sz="0" w:space="0" w:color="auto"/>
        <w:right w:val="none" w:sz="0" w:space="0" w:color="auto"/>
      </w:divBdr>
    </w:div>
    <w:div w:id="383409883">
      <w:bodyDiv w:val="1"/>
      <w:marLeft w:val="0"/>
      <w:marRight w:val="0"/>
      <w:marTop w:val="0"/>
      <w:marBottom w:val="0"/>
      <w:divBdr>
        <w:top w:val="none" w:sz="0" w:space="0" w:color="auto"/>
        <w:left w:val="none" w:sz="0" w:space="0" w:color="auto"/>
        <w:bottom w:val="none" w:sz="0" w:space="0" w:color="auto"/>
        <w:right w:val="none" w:sz="0" w:space="0" w:color="auto"/>
      </w:divBdr>
    </w:div>
    <w:div w:id="419564189">
      <w:bodyDiv w:val="1"/>
      <w:marLeft w:val="0"/>
      <w:marRight w:val="0"/>
      <w:marTop w:val="0"/>
      <w:marBottom w:val="0"/>
      <w:divBdr>
        <w:top w:val="none" w:sz="0" w:space="0" w:color="auto"/>
        <w:left w:val="none" w:sz="0" w:space="0" w:color="auto"/>
        <w:bottom w:val="none" w:sz="0" w:space="0" w:color="auto"/>
        <w:right w:val="none" w:sz="0" w:space="0" w:color="auto"/>
      </w:divBdr>
    </w:div>
    <w:div w:id="454716726">
      <w:bodyDiv w:val="1"/>
      <w:marLeft w:val="0"/>
      <w:marRight w:val="0"/>
      <w:marTop w:val="0"/>
      <w:marBottom w:val="0"/>
      <w:divBdr>
        <w:top w:val="none" w:sz="0" w:space="0" w:color="auto"/>
        <w:left w:val="none" w:sz="0" w:space="0" w:color="auto"/>
        <w:bottom w:val="none" w:sz="0" w:space="0" w:color="auto"/>
        <w:right w:val="none" w:sz="0" w:space="0" w:color="auto"/>
      </w:divBdr>
    </w:div>
    <w:div w:id="474496053">
      <w:bodyDiv w:val="1"/>
      <w:marLeft w:val="0"/>
      <w:marRight w:val="0"/>
      <w:marTop w:val="0"/>
      <w:marBottom w:val="0"/>
      <w:divBdr>
        <w:top w:val="none" w:sz="0" w:space="0" w:color="auto"/>
        <w:left w:val="none" w:sz="0" w:space="0" w:color="auto"/>
        <w:bottom w:val="none" w:sz="0" w:space="0" w:color="auto"/>
        <w:right w:val="none" w:sz="0" w:space="0" w:color="auto"/>
      </w:divBdr>
    </w:div>
    <w:div w:id="491025089">
      <w:bodyDiv w:val="1"/>
      <w:marLeft w:val="0"/>
      <w:marRight w:val="0"/>
      <w:marTop w:val="0"/>
      <w:marBottom w:val="0"/>
      <w:divBdr>
        <w:top w:val="none" w:sz="0" w:space="0" w:color="auto"/>
        <w:left w:val="none" w:sz="0" w:space="0" w:color="auto"/>
        <w:bottom w:val="none" w:sz="0" w:space="0" w:color="auto"/>
        <w:right w:val="none" w:sz="0" w:space="0" w:color="auto"/>
      </w:divBdr>
    </w:div>
    <w:div w:id="593825662">
      <w:bodyDiv w:val="1"/>
      <w:marLeft w:val="0"/>
      <w:marRight w:val="0"/>
      <w:marTop w:val="0"/>
      <w:marBottom w:val="0"/>
      <w:divBdr>
        <w:top w:val="none" w:sz="0" w:space="0" w:color="auto"/>
        <w:left w:val="none" w:sz="0" w:space="0" w:color="auto"/>
        <w:bottom w:val="none" w:sz="0" w:space="0" w:color="auto"/>
        <w:right w:val="none" w:sz="0" w:space="0" w:color="auto"/>
      </w:divBdr>
    </w:div>
    <w:div w:id="659508083">
      <w:bodyDiv w:val="1"/>
      <w:marLeft w:val="0"/>
      <w:marRight w:val="0"/>
      <w:marTop w:val="0"/>
      <w:marBottom w:val="0"/>
      <w:divBdr>
        <w:top w:val="none" w:sz="0" w:space="0" w:color="auto"/>
        <w:left w:val="none" w:sz="0" w:space="0" w:color="auto"/>
        <w:bottom w:val="none" w:sz="0" w:space="0" w:color="auto"/>
        <w:right w:val="none" w:sz="0" w:space="0" w:color="auto"/>
      </w:divBdr>
    </w:div>
    <w:div w:id="789013968">
      <w:bodyDiv w:val="1"/>
      <w:marLeft w:val="0"/>
      <w:marRight w:val="0"/>
      <w:marTop w:val="0"/>
      <w:marBottom w:val="0"/>
      <w:divBdr>
        <w:top w:val="none" w:sz="0" w:space="0" w:color="auto"/>
        <w:left w:val="none" w:sz="0" w:space="0" w:color="auto"/>
        <w:bottom w:val="none" w:sz="0" w:space="0" w:color="auto"/>
        <w:right w:val="none" w:sz="0" w:space="0" w:color="auto"/>
      </w:divBdr>
    </w:div>
    <w:div w:id="794103456">
      <w:bodyDiv w:val="1"/>
      <w:marLeft w:val="0"/>
      <w:marRight w:val="0"/>
      <w:marTop w:val="0"/>
      <w:marBottom w:val="0"/>
      <w:divBdr>
        <w:top w:val="none" w:sz="0" w:space="0" w:color="auto"/>
        <w:left w:val="none" w:sz="0" w:space="0" w:color="auto"/>
        <w:bottom w:val="none" w:sz="0" w:space="0" w:color="auto"/>
        <w:right w:val="none" w:sz="0" w:space="0" w:color="auto"/>
      </w:divBdr>
    </w:div>
    <w:div w:id="852841105">
      <w:bodyDiv w:val="1"/>
      <w:marLeft w:val="0"/>
      <w:marRight w:val="0"/>
      <w:marTop w:val="0"/>
      <w:marBottom w:val="0"/>
      <w:divBdr>
        <w:top w:val="none" w:sz="0" w:space="0" w:color="auto"/>
        <w:left w:val="none" w:sz="0" w:space="0" w:color="auto"/>
        <w:bottom w:val="none" w:sz="0" w:space="0" w:color="auto"/>
        <w:right w:val="none" w:sz="0" w:space="0" w:color="auto"/>
      </w:divBdr>
    </w:div>
    <w:div w:id="859781690">
      <w:bodyDiv w:val="1"/>
      <w:marLeft w:val="0"/>
      <w:marRight w:val="0"/>
      <w:marTop w:val="0"/>
      <w:marBottom w:val="0"/>
      <w:divBdr>
        <w:top w:val="none" w:sz="0" w:space="0" w:color="auto"/>
        <w:left w:val="none" w:sz="0" w:space="0" w:color="auto"/>
        <w:bottom w:val="none" w:sz="0" w:space="0" w:color="auto"/>
        <w:right w:val="none" w:sz="0" w:space="0" w:color="auto"/>
      </w:divBdr>
    </w:div>
    <w:div w:id="911354592">
      <w:bodyDiv w:val="1"/>
      <w:marLeft w:val="0"/>
      <w:marRight w:val="0"/>
      <w:marTop w:val="0"/>
      <w:marBottom w:val="0"/>
      <w:divBdr>
        <w:top w:val="none" w:sz="0" w:space="0" w:color="auto"/>
        <w:left w:val="none" w:sz="0" w:space="0" w:color="auto"/>
        <w:bottom w:val="none" w:sz="0" w:space="0" w:color="auto"/>
        <w:right w:val="none" w:sz="0" w:space="0" w:color="auto"/>
      </w:divBdr>
    </w:div>
    <w:div w:id="917518885">
      <w:bodyDiv w:val="1"/>
      <w:marLeft w:val="0"/>
      <w:marRight w:val="0"/>
      <w:marTop w:val="0"/>
      <w:marBottom w:val="0"/>
      <w:divBdr>
        <w:top w:val="none" w:sz="0" w:space="0" w:color="auto"/>
        <w:left w:val="none" w:sz="0" w:space="0" w:color="auto"/>
        <w:bottom w:val="none" w:sz="0" w:space="0" w:color="auto"/>
        <w:right w:val="none" w:sz="0" w:space="0" w:color="auto"/>
      </w:divBdr>
    </w:div>
    <w:div w:id="991371182">
      <w:bodyDiv w:val="1"/>
      <w:marLeft w:val="0"/>
      <w:marRight w:val="0"/>
      <w:marTop w:val="0"/>
      <w:marBottom w:val="0"/>
      <w:divBdr>
        <w:top w:val="none" w:sz="0" w:space="0" w:color="auto"/>
        <w:left w:val="none" w:sz="0" w:space="0" w:color="auto"/>
        <w:bottom w:val="none" w:sz="0" w:space="0" w:color="auto"/>
        <w:right w:val="none" w:sz="0" w:space="0" w:color="auto"/>
      </w:divBdr>
      <w:divsChild>
        <w:div w:id="1803887043">
          <w:marLeft w:val="547"/>
          <w:marRight w:val="0"/>
          <w:marTop w:val="0"/>
          <w:marBottom w:val="0"/>
          <w:divBdr>
            <w:top w:val="none" w:sz="0" w:space="0" w:color="auto"/>
            <w:left w:val="none" w:sz="0" w:space="0" w:color="auto"/>
            <w:bottom w:val="none" w:sz="0" w:space="0" w:color="auto"/>
            <w:right w:val="none" w:sz="0" w:space="0" w:color="auto"/>
          </w:divBdr>
        </w:div>
      </w:divsChild>
    </w:div>
    <w:div w:id="993291737">
      <w:bodyDiv w:val="1"/>
      <w:marLeft w:val="0"/>
      <w:marRight w:val="0"/>
      <w:marTop w:val="0"/>
      <w:marBottom w:val="0"/>
      <w:divBdr>
        <w:top w:val="none" w:sz="0" w:space="0" w:color="auto"/>
        <w:left w:val="none" w:sz="0" w:space="0" w:color="auto"/>
        <w:bottom w:val="none" w:sz="0" w:space="0" w:color="auto"/>
        <w:right w:val="none" w:sz="0" w:space="0" w:color="auto"/>
      </w:divBdr>
    </w:div>
    <w:div w:id="1004674142">
      <w:bodyDiv w:val="1"/>
      <w:marLeft w:val="0"/>
      <w:marRight w:val="0"/>
      <w:marTop w:val="0"/>
      <w:marBottom w:val="0"/>
      <w:divBdr>
        <w:top w:val="none" w:sz="0" w:space="0" w:color="auto"/>
        <w:left w:val="none" w:sz="0" w:space="0" w:color="auto"/>
        <w:bottom w:val="none" w:sz="0" w:space="0" w:color="auto"/>
        <w:right w:val="none" w:sz="0" w:space="0" w:color="auto"/>
      </w:divBdr>
    </w:div>
    <w:div w:id="1204441149">
      <w:bodyDiv w:val="1"/>
      <w:marLeft w:val="0"/>
      <w:marRight w:val="0"/>
      <w:marTop w:val="0"/>
      <w:marBottom w:val="0"/>
      <w:divBdr>
        <w:top w:val="none" w:sz="0" w:space="0" w:color="auto"/>
        <w:left w:val="none" w:sz="0" w:space="0" w:color="auto"/>
        <w:bottom w:val="none" w:sz="0" w:space="0" w:color="auto"/>
        <w:right w:val="none" w:sz="0" w:space="0" w:color="auto"/>
      </w:divBdr>
    </w:div>
    <w:div w:id="1269968902">
      <w:bodyDiv w:val="1"/>
      <w:marLeft w:val="0"/>
      <w:marRight w:val="0"/>
      <w:marTop w:val="0"/>
      <w:marBottom w:val="0"/>
      <w:divBdr>
        <w:top w:val="none" w:sz="0" w:space="0" w:color="auto"/>
        <w:left w:val="none" w:sz="0" w:space="0" w:color="auto"/>
        <w:bottom w:val="none" w:sz="0" w:space="0" w:color="auto"/>
        <w:right w:val="none" w:sz="0" w:space="0" w:color="auto"/>
      </w:divBdr>
    </w:div>
    <w:div w:id="1283923397">
      <w:bodyDiv w:val="1"/>
      <w:marLeft w:val="0"/>
      <w:marRight w:val="0"/>
      <w:marTop w:val="0"/>
      <w:marBottom w:val="0"/>
      <w:divBdr>
        <w:top w:val="none" w:sz="0" w:space="0" w:color="auto"/>
        <w:left w:val="none" w:sz="0" w:space="0" w:color="auto"/>
        <w:bottom w:val="none" w:sz="0" w:space="0" w:color="auto"/>
        <w:right w:val="none" w:sz="0" w:space="0" w:color="auto"/>
      </w:divBdr>
    </w:div>
    <w:div w:id="1301573530">
      <w:bodyDiv w:val="1"/>
      <w:marLeft w:val="0"/>
      <w:marRight w:val="0"/>
      <w:marTop w:val="0"/>
      <w:marBottom w:val="0"/>
      <w:divBdr>
        <w:top w:val="none" w:sz="0" w:space="0" w:color="auto"/>
        <w:left w:val="none" w:sz="0" w:space="0" w:color="auto"/>
        <w:bottom w:val="none" w:sz="0" w:space="0" w:color="auto"/>
        <w:right w:val="none" w:sz="0" w:space="0" w:color="auto"/>
      </w:divBdr>
    </w:div>
    <w:div w:id="1324700682">
      <w:bodyDiv w:val="1"/>
      <w:marLeft w:val="0"/>
      <w:marRight w:val="0"/>
      <w:marTop w:val="0"/>
      <w:marBottom w:val="0"/>
      <w:divBdr>
        <w:top w:val="none" w:sz="0" w:space="0" w:color="auto"/>
        <w:left w:val="none" w:sz="0" w:space="0" w:color="auto"/>
        <w:bottom w:val="none" w:sz="0" w:space="0" w:color="auto"/>
        <w:right w:val="none" w:sz="0" w:space="0" w:color="auto"/>
      </w:divBdr>
    </w:div>
    <w:div w:id="1338849721">
      <w:bodyDiv w:val="1"/>
      <w:marLeft w:val="0"/>
      <w:marRight w:val="0"/>
      <w:marTop w:val="0"/>
      <w:marBottom w:val="0"/>
      <w:divBdr>
        <w:top w:val="none" w:sz="0" w:space="0" w:color="auto"/>
        <w:left w:val="none" w:sz="0" w:space="0" w:color="auto"/>
        <w:bottom w:val="none" w:sz="0" w:space="0" w:color="auto"/>
        <w:right w:val="none" w:sz="0" w:space="0" w:color="auto"/>
      </w:divBdr>
    </w:div>
    <w:div w:id="1350567218">
      <w:bodyDiv w:val="1"/>
      <w:marLeft w:val="0"/>
      <w:marRight w:val="0"/>
      <w:marTop w:val="0"/>
      <w:marBottom w:val="0"/>
      <w:divBdr>
        <w:top w:val="none" w:sz="0" w:space="0" w:color="auto"/>
        <w:left w:val="none" w:sz="0" w:space="0" w:color="auto"/>
        <w:bottom w:val="none" w:sz="0" w:space="0" w:color="auto"/>
        <w:right w:val="none" w:sz="0" w:space="0" w:color="auto"/>
      </w:divBdr>
    </w:div>
    <w:div w:id="1458795194">
      <w:bodyDiv w:val="1"/>
      <w:marLeft w:val="0"/>
      <w:marRight w:val="0"/>
      <w:marTop w:val="0"/>
      <w:marBottom w:val="0"/>
      <w:divBdr>
        <w:top w:val="none" w:sz="0" w:space="0" w:color="auto"/>
        <w:left w:val="none" w:sz="0" w:space="0" w:color="auto"/>
        <w:bottom w:val="none" w:sz="0" w:space="0" w:color="auto"/>
        <w:right w:val="none" w:sz="0" w:space="0" w:color="auto"/>
      </w:divBdr>
    </w:div>
    <w:div w:id="1471244941">
      <w:bodyDiv w:val="1"/>
      <w:marLeft w:val="0"/>
      <w:marRight w:val="0"/>
      <w:marTop w:val="0"/>
      <w:marBottom w:val="0"/>
      <w:divBdr>
        <w:top w:val="none" w:sz="0" w:space="0" w:color="auto"/>
        <w:left w:val="none" w:sz="0" w:space="0" w:color="auto"/>
        <w:bottom w:val="none" w:sz="0" w:space="0" w:color="auto"/>
        <w:right w:val="none" w:sz="0" w:space="0" w:color="auto"/>
      </w:divBdr>
    </w:div>
    <w:div w:id="1475415047">
      <w:bodyDiv w:val="1"/>
      <w:marLeft w:val="0"/>
      <w:marRight w:val="0"/>
      <w:marTop w:val="0"/>
      <w:marBottom w:val="0"/>
      <w:divBdr>
        <w:top w:val="none" w:sz="0" w:space="0" w:color="auto"/>
        <w:left w:val="none" w:sz="0" w:space="0" w:color="auto"/>
        <w:bottom w:val="none" w:sz="0" w:space="0" w:color="auto"/>
        <w:right w:val="none" w:sz="0" w:space="0" w:color="auto"/>
      </w:divBdr>
    </w:div>
    <w:div w:id="1498955903">
      <w:bodyDiv w:val="1"/>
      <w:marLeft w:val="0"/>
      <w:marRight w:val="0"/>
      <w:marTop w:val="0"/>
      <w:marBottom w:val="0"/>
      <w:divBdr>
        <w:top w:val="none" w:sz="0" w:space="0" w:color="auto"/>
        <w:left w:val="none" w:sz="0" w:space="0" w:color="auto"/>
        <w:bottom w:val="none" w:sz="0" w:space="0" w:color="auto"/>
        <w:right w:val="none" w:sz="0" w:space="0" w:color="auto"/>
      </w:divBdr>
    </w:div>
    <w:div w:id="1530992830">
      <w:bodyDiv w:val="1"/>
      <w:marLeft w:val="0"/>
      <w:marRight w:val="0"/>
      <w:marTop w:val="0"/>
      <w:marBottom w:val="0"/>
      <w:divBdr>
        <w:top w:val="none" w:sz="0" w:space="0" w:color="auto"/>
        <w:left w:val="none" w:sz="0" w:space="0" w:color="auto"/>
        <w:bottom w:val="none" w:sz="0" w:space="0" w:color="auto"/>
        <w:right w:val="none" w:sz="0" w:space="0" w:color="auto"/>
      </w:divBdr>
    </w:div>
    <w:div w:id="1581450404">
      <w:bodyDiv w:val="1"/>
      <w:marLeft w:val="0"/>
      <w:marRight w:val="0"/>
      <w:marTop w:val="0"/>
      <w:marBottom w:val="0"/>
      <w:divBdr>
        <w:top w:val="none" w:sz="0" w:space="0" w:color="auto"/>
        <w:left w:val="none" w:sz="0" w:space="0" w:color="auto"/>
        <w:bottom w:val="none" w:sz="0" w:space="0" w:color="auto"/>
        <w:right w:val="none" w:sz="0" w:space="0" w:color="auto"/>
      </w:divBdr>
    </w:div>
    <w:div w:id="1623340936">
      <w:bodyDiv w:val="1"/>
      <w:marLeft w:val="0"/>
      <w:marRight w:val="0"/>
      <w:marTop w:val="0"/>
      <w:marBottom w:val="0"/>
      <w:divBdr>
        <w:top w:val="none" w:sz="0" w:space="0" w:color="auto"/>
        <w:left w:val="none" w:sz="0" w:space="0" w:color="auto"/>
        <w:bottom w:val="none" w:sz="0" w:space="0" w:color="auto"/>
        <w:right w:val="none" w:sz="0" w:space="0" w:color="auto"/>
      </w:divBdr>
    </w:div>
    <w:div w:id="1660501559">
      <w:bodyDiv w:val="1"/>
      <w:marLeft w:val="0"/>
      <w:marRight w:val="0"/>
      <w:marTop w:val="0"/>
      <w:marBottom w:val="0"/>
      <w:divBdr>
        <w:top w:val="none" w:sz="0" w:space="0" w:color="auto"/>
        <w:left w:val="none" w:sz="0" w:space="0" w:color="auto"/>
        <w:bottom w:val="none" w:sz="0" w:space="0" w:color="auto"/>
        <w:right w:val="none" w:sz="0" w:space="0" w:color="auto"/>
      </w:divBdr>
    </w:div>
    <w:div w:id="1691686005">
      <w:bodyDiv w:val="1"/>
      <w:marLeft w:val="0"/>
      <w:marRight w:val="0"/>
      <w:marTop w:val="0"/>
      <w:marBottom w:val="0"/>
      <w:divBdr>
        <w:top w:val="none" w:sz="0" w:space="0" w:color="auto"/>
        <w:left w:val="none" w:sz="0" w:space="0" w:color="auto"/>
        <w:bottom w:val="none" w:sz="0" w:space="0" w:color="auto"/>
        <w:right w:val="none" w:sz="0" w:space="0" w:color="auto"/>
      </w:divBdr>
    </w:div>
    <w:div w:id="1714160779">
      <w:bodyDiv w:val="1"/>
      <w:marLeft w:val="0"/>
      <w:marRight w:val="0"/>
      <w:marTop w:val="0"/>
      <w:marBottom w:val="0"/>
      <w:divBdr>
        <w:top w:val="none" w:sz="0" w:space="0" w:color="auto"/>
        <w:left w:val="none" w:sz="0" w:space="0" w:color="auto"/>
        <w:bottom w:val="none" w:sz="0" w:space="0" w:color="auto"/>
        <w:right w:val="none" w:sz="0" w:space="0" w:color="auto"/>
      </w:divBdr>
    </w:div>
    <w:div w:id="1725981343">
      <w:bodyDiv w:val="1"/>
      <w:marLeft w:val="0"/>
      <w:marRight w:val="0"/>
      <w:marTop w:val="0"/>
      <w:marBottom w:val="0"/>
      <w:divBdr>
        <w:top w:val="none" w:sz="0" w:space="0" w:color="auto"/>
        <w:left w:val="none" w:sz="0" w:space="0" w:color="auto"/>
        <w:bottom w:val="none" w:sz="0" w:space="0" w:color="auto"/>
        <w:right w:val="none" w:sz="0" w:space="0" w:color="auto"/>
      </w:divBdr>
    </w:div>
    <w:div w:id="1778330767">
      <w:bodyDiv w:val="1"/>
      <w:marLeft w:val="0"/>
      <w:marRight w:val="0"/>
      <w:marTop w:val="0"/>
      <w:marBottom w:val="0"/>
      <w:divBdr>
        <w:top w:val="none" w:sz="0" w:space="0" w:color="auto"/>
        <w:left w:val="none" w:sz="0" w:space="0" w:color="auto"/>
        <w:bottom w:val="none" w:sz="0" w:space="0" w:color="auto"/>
        <w:right w:val="none" w:sz="0" w:space="0" w:color="auto"/>
      </w:divBdr>
    </w:div>
    <w:div w:id="1788506402">
      <w:bodyDiv w:val="1"/>
      <w:marLeft w:val="0"/>
      <w:marRight w:val="0"/>
      <w:marTop w:val="0"/>
      <w:marBottom w:val="0"/>
      <w:divBdr>
        <w:top w:val="none" w:sz="0" w:space="0" w:color="auto"/>
        <w:left w:val="none" w:sz="0" w:space="0" w:color="auto"/>
        <w:bottom w:val="none" w:sz="0" w:space="0" w:color="auto"/>
        <w:right w:val="none" w:sz="0" w:space="0" w:color="auto"/>
      </w:divBdr>
    </w:div>
    <w:div w:id="1809005741">
      <w:bodyDiv w:val="1"/>
      <w:marLeft w:val="0"/>
      <w:marRight w:val="0"/>
      <w:marTop w:val="0"/>
      <w:marBottom w:val="0"/>
      <w:divBdr>
        <w:top w:val="none" w:sz="0" w:space="0" w:color="auto"/>
        <w:left w:val="none" w:sz="0" w:space="0" w:color="auto"/>
        <w:bottom w:val="none" w:sz="0" w:space="0" w:color="auto"/>
        <w:right w:val="none" w:sz="0" w:space="0" w:color="auto"/>
      </w:divBdr>
    </w:div>
    <w:div w:id="1856186265">
      <w:bodyDiv w:val="1"/>
      <w:marLeft w:val="0"/>
      <w:marRight w:val="0"/>
      <w:marTop w:val="0"/>
      <w:marBottom w:val="0"/>
      <w:divBdr>
        <w:top w:val="none" w:sz="0" w:space="0" w:color="auto"/>
        <w:left w:val="none" w:sz="0" w:space="0" w:color="auto"/>
        <w:bottom w:val="none" w:sz="0" w:space="0" w:color="auto"/>
        <w:right w:val="none" w:sz="0" w:space="0" w:color="auto"/>
      </w:divBdr>
    </w:div>
    <w:div w:id="1885101171">
      <w:bodyDiv w:val="1"/>
      <w:marLeft w:val="0"/>
      <w:marRight w:val="0"/>
      <w:marTop w:val="0"/>
      <w:marBottom w:val="0"/>
      <w:divBdr>
        <w:top w:val="none" w:sz="0" w:space="0" w:color="auto"/>
        <w:left w:val="none" w:sz="0" w:space="0" w:color="auto"/>
        <w:bottom w:val="none" w:sz="0" w:space="0" w:color="auto"/>
        <w:right w:val="none" w:sz="0" w:space="0" w:color="auto"/>
      </w:divBdr>
    </w:div>
    <w:div w:id="1952741587">
      <w:bodyDiv w:val="1"/>
      <w:marLeft w:val="0"/>
      <w:marRight w:val="0"/>
      <w:marTop w:val="0"/>
      <w:marBottom w:val="0"/>
      <w:divBdr>
        <w:top w:val="none" w:sz="0" w:space="0" w:color="auto"/>
        <w:left w:val="none" w:sz="0" w:space="0" w:color="auto"/>
        <w:bottom w:val="none" w:sz="0" w:space="0" w:color="auto"/>
        <w:right w:val="none" w:sz="0" w:space="0" w:color="auto"/>
      </w:divBdr>
    </w:div>
    <w:div w:id="1958366621">
      <w:bodyDiv w:val="1"/>
      <w:marLeft w:val="0"/>
      <w:marRight w:val="0"/>
      <w:marTop w:val="0"/>
      <w:marBottom w:val="0"/>
      <w:divBdr>
        <w:top w:val="none" w:sz="0" w:space="0" w:color="auto"/>
        <w:left w:val="none" w:sz="0" w:space="0" w:color="auto"/>
        <w:bottom w:val="none" w:sz="0" w:space="0" w:color="auto"/>
        <w:right w:val="none" w:sz="0" w:space="0" w:color="auto"/>
      </w:divBdr>
    </w:div>
    <w:div w:id="1984112424">
      <w:bodyDiv w:val="1"/>
      <w:marLeft w:val="0"/>
      <w:marRight w:val="0"/>
      <w:marTop w:val="0"/>
      <w:marBottom w:val="0"/>
      <w:divBdr>
        <w:top w:val="none" w:sz="0" w:space="0" w:color="auto"/>
        <w:left w:val="none" w:sz="0" w:space="0" w:color="auto"/>
        <w:bottom w:val="none" w:sz="0" w:space="0" w:color="auto"/>
        <w:right w:val="none" w:sz="0" w:space="0" w:color="auto"/>
      </w:divBdr>
    </w:div>
    <w:div w:id="1996372512">
      <w:bodyDiv w:val="1"/>
      <w:marLeft w:val="0"/>
      <w:marRight w:val="0"/>
      <w:marTop w:val="0"/>
      <w:marBottom w:val="0"/>
      <w:divBdr>
        <w:top w:val="none" w:sz="0" w:space="0" w:color="auto"/>
        <w:left w:val="none" w:sz="0" w:space="0" w:color="auto"/>
        <w:bottom w:val="none" w:sz="0" w:space="0" w:color="auto"/>
        <w:right w:val="none" w:sz="0" w:space="0" w:color="auto"/>
      </w:divBdr>
    </w:div>
    <w:div w:id="2069113528">
      <w:bodyDiv w:val="1"/>
      <w:marLeft w:val="0"/>
      <w:marRight w:val="0"/>
      <w:marTop w:val="0"/>
      <w:marBottom w:val="0"/>
      <w:divBdr>
        <w:top w:val="none" w:sz="0" w:space="0" w:color="auto"/>
        <w:left w:val="none" w:sz="0" w:space="0" w:color="auto"/>
        <w:bottom w:val="none" w:sz="0" w:space="0" w:color="auto"/>
        <w:right w:val="none" w:sz="0" w:space="0" w:color="auto"/>
      </w:divBdr>
    </w:div>
    <w:div w:id="2073498659">
      <w:bodyDiv w:val="1"/>
      <w:marLeft w:val="0"/>
      <w:marRight w:val="0"/>
      <w:marTop w:val="0"/>
      <w:marBottom w:val="0"/>
      <w:divBdr>
        <w:top w:val="none" w:sz="0" w:space="0" w:color="auto"/>
        <w:left w:val="none" w:sz="0" w:space="0" w:color="auto"/>
        <w:bottom w:val="none" w:sz="0" w:space="0" w:color="auto"/>
        <w:right w:val="none" w:sz="0" w:space="0" w:color="auto"/>
      </w:divBdr>
    </w:div>
    <w:div w:id="2119597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diagramColors" Target="diagrams/colors1.xml"/>
  <Relationship Id="rId11" Type="http://schemas.microsoft.com/office/2007/relationships/diagramDrawing" Target="diagrams/drawing1.xml"/>
  <Relationship Id="rId12" Type="http://schemas.openxmlformats.org/officeDocument/2006/relationships/chart" Target="charts/chart1.xml"/>
  <Relationship Id="rId13" Type="http://schemas.openxmlformats.org/officeDocument/2006/relationships/diagramData" Target="diagrams/data2.xml"/>
  <Relationship Id="rId14" Type="http://schemas.openxmlformats.org/officeDocument/2006/relationships/diagramLayout" Target="diagrams/layout2.xml"/>
  <Relationship Id="rId15" Type="http://schemas.openxmlformats.org/officeDocument/2006/relationships/diagramQuickStyle" Target="diagrams/quickStyle2.xml"/>
  <Relationship Id="rId16" Type="http://schemas.openxmlformats.org/officeDocument/2006/relationships/diagramColors" Target="diagrams/colors2.xml"/>
  <Relationship Id="rId17" Type="http://schemas.microsoft.com/office/2007/relationships/diagramDrawing" Target="diagrams/drawing2.xml"/>
  <Relationship Id="rId19" Type="http://schemas.openxmlformats.org/officeDocument/2006/relationships/diagramData" Target="diagrams/data3.xml"/>
  <Relationship Id="rId2" Type="http://schemas.openxmlformats.org/officeDocument/2006/relationships/styles" Target="styles.xml"/>
  <Relationship Id="rId20" Type="http://schemas.openxmlformats.org/officeDocument/2006/relationships/diagramLayout" Target="diagrams/layout3.xml"/>
  <Relationship Id="rId21" Type="http://schemas.openxmlformats.org/officeDocument/2006/relationships/diagramQuickStyle" Target="diagrams/quickStyle3.xml"/>
  <Relationship Id="rId22" Type="http://schemas.openxmlformats.org/officeDocument/2006/relationships/diagramColors" Target="diagrams/colors3.xml"/>
  <Relationship Id="rId23" Type="http://schemas.microsoft.com/office/2007/relationships/diagramDrawing" Target="diagrams/drawing3.xml"/>
  <Relationship Id="rId25" Type="http://schemas.openxmlformats.org/officeDocument/2006/relationships/diagramData" Target="diagrams/data4.xml"/>
  <Relationship Id="rId26" Type="http://schemas.openxmlformats.org/officeDocument/2006/relationships/diagramLayout" Target="diagrams/layout4.xml"/>
  <Relationship Id="rId27" Type="http://schemas.openxmlformats.org/officeDocument/2006/relationships/diagramQuickStyle" Target="diagrams/quickStyle4.xml"/>
  <Relationship Id="rId28" Type="http://schemas.openxmlformats.org/officeDocument/2006/relationships/diagramColors" Target="diagrams/colors4.xml"/>
  <Relationship Id="rId29" Type="http://schemas.microsoft.com/office/2007/relationships/diagramDrawing" Target="diagrams/drawing4.xml"/>
  <Relationship Id="rId3" Type="http://schemas.openxmlformats.org/officeDocument/2006/relationships/settings" Target="settings.xml"/>
  <Relationship Id="rId30" Type="http://schemas.openxmlformats.org/officeDocument/2006/relationships/diagramData" Target="diagrams/data5.xml"/>
  <Relationship Id="rId31" Type="http://schemas.openxmlformats.org/officeDocument/2006/relationships/diagramLayout" Target="diagrams/layout5.xml"/>
  <Relationship Id="rId32" Type="http://schemas.openxmlformats.org/officeDocument/2006/relationships/diagramQuickStyle" Target="diagrams/quickStyle5.xml"/>
  <Relationship Id="rId33" Type="http://schemas.openxmlformats.org/officeDocument/2006/relationships/diagramColors" Target="diagrams/colors5.xml"/>
  <Relationship Id="rId34" Type="http://schemas.microsoft.com/office/2007/relationships/diagramDrawing" Target="diagrams/drawing5.xml"/>
  <Relationship Id="rId35" Type="http://schemas.openxmlformats.org/officeDocument/2006/relationships/diagramData" Target="diagrams/data6.xml"/>
  <Relationship Id="rId36" Type="http://schemas.openxmlformats.org/officeDocument/2006/relationships/diagramLayout" Target="diagrams/layout6.xml"/>
  <Relationship Id="rId37" Type="http://schemas.openxmlformats.org/officeDocument/2006/relationships/diagramQuickStyle" Target="diagrams/quickStyle6.xml"/>
  <Relationship Id="rId38" Type="http://schemas.openxmlformats.org/officeDocument/2006/relationships/diagramColors" Target="diagrams/colors6.xml"/>
  <Relationship Id="rId39" Type="http://schemas.microsoft.com/office/2007/relationships/diagramDrawing" Target="diagrams/drawing6.xml"/>
  <Relationship Id="rId4" Type="http://schemas.openxmlformats.org/officeDocument/2006/relationships/webSettings" Target="webSettings.xml"/>
  <Relationship Id="rId40" Type="http://schemas.openxmlformats.org/officeDocument/2006/relationships/header" Target="header1.xml"/>
  <Relationship Id="rId41" Type="http://schemas.openxmlformats.org/officeDocument/2006/relationships/header" Target="header2.xml"/>
  <Relationship Id="rId42" Type="http://schemas.openxmlformats.org/officeDocument/2006/relationships/footer" Target="footer1.xml"/>
  <Relationship Id="rId43" Type="http://schemas.openxmlformats.org/officeDocument/2006/relationships/footer" Target="footer2.xml"/>
  <Relationship Id="rId44" Type="http://schemas.openxmlformats.org/officeDocument/2006/relationships/header" Target="header3.xml"/>
  <Relationship Id="rId45" Type="http://schemas.openxmlformats.org/officeDocument/2006/relationships/footer" Target="footer3.xml"/>
  <Relationship Id="rId46" Type="http://schemas.openxmlformats.org/officeDocument/2006/relationships/fontTable" Target="fontTable.xml"/>
  <Relationship Id="rId47" Type="http://schemas.openxmlformats.org/officeDocument/2006/relationships/theme" Target="theme/theme1.xml"/>
  <Relationship Id="rId48" Type="http://schemas.openxmlformats.org/officeDocument/2006/relationships/customXml" Target="../customXml/item2.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diagramData" Target="diagrams/data1.xml"/>
  <Relationship Id="rId8" Type="http://schemas.openxmlformats.org/officeDocument/2006/relationships/diagramLayout" Target="diagrams/layout1.xml"/>
  <Relationship Id="rId9" Type="http://schemas.openxmlformats.org/officeDocument/2006/relationships/diagramQuickStyle" Target="diagrams/quickStyle1.xml"/>
</Relationships>

</file>

<file path=word/charts/_rels/chart1.xml.rels><?xml version="1.0" encoding="UTF-8"?>

<Relationships xmlns="http://schemas.openxmlformats.org/package/2006/relationships">
  <Relationship Id="rId1" Type="http://schemas.microsoft.com/office/2011/relationships/chartStyle" Target="style1.xml"/>
  <Relationship Id="rId2" Type="http://schemas.microsoft.com/office/2011/relationships/chartColorStyle" Target="colors1.xml"/>
  <Relationship Id="rId3" Type="http://schemas.openxmlformats.org/officeDocument/2006/relationships/package" Target="../embeddings/Microsoft_Excel_Worksheet.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b="1" i="1">
                <a:latin typeface="Times New Roman" panose="02020603050405020304" pitchFamily="18" charset="0"/>
                <a:cs typeface="Times New Roman" panose="02020603050405020304" pitchFamily="18" charset="0"/>
              </a:rPr>
              <a:t>2025, 2026,</a:t>
            </a:r>
            <a:r>
              <a:rPr lang="lt-LT" sz="1200" b="1" i="1">
                <a:latin typeface="Times New Roman" panose="02020603050405020304" pitchFamily="18" charset="0"/>
                <a:cs typeface="Times New Roman" panose="02020603050405020304" pitchFamily="18" charset="0"/>
              </a:rPr>
              <a:t> </a:t>
            </a:r>
            <a:r>
              <a:rPr lang="en-US" sz="1200" b="1" i="1">
                <a:latin typeface="Times New Roman" panose="02020603050405020304" pitchFamily="18" charset="0"/>
                <a:cs typeface="Times New Roman" panose="02020603050405020304" pitchFamily="18" charset="0"/>
              </a:rPr>
              <a:t>2027</a:t>
            </a:r>
            <a:r>
              <a:rPr lang="lt-LT" sz="1200" b="1" i="1">
                <a:latin typeface="Times New Roman" panose="02020603050405020304" pitchFamily="18" charset="0"/>
                <a:cs typeface="Times New Roman" panose="02020603050405020304" pitchFamily="18" charset="0"/>
              </a:rPr>
              <a:t> </a:t>
            </a:r>
            <a:r>
              <a:rPr lang="lt-LT" sz="1200" i="1">
                <a:latin typeface="Times New Roman" panose="02020603050405020304" pitchFamily="18" charset="0"/>
                <a:cs typeface="Times New Roman" panose="02020603050405020304" pitchFamily="18" charset="0"/>
              </a:rPr>
              <a:t>metų asignavimų pasiskirstymas pagal programas </a:t>
            </a:r>
          </a:p>
          <a:p>
            <a:pPr>
              <a:defRPr sz="1200">
                <a:latin typeface="Times New Roman" panose="02020603050405020304" pitchFamily="18" charset="0"/>
                <a:cs typeface="Times New Roman" panose="02020603050405020304" pitchFamily="18" charset="0"/>
              </a:defRPr>
            </a:pPr>
            <a:r>
              <a:rPr lang="en-US" sz="1200" i="1">
                <a:latin typeface="Times New Roman" panose="02020603050405020304" pitchFamily="18" charset="0"/>
                <a:cs typeface="Times New Roman" panose="02020603050405020304" pitchFamily="18" charset="0"/>
              </a:rPr>
              <a:t>t</a:t>
            </a:r>
            <a:r>
              <a:rPr lang="lt-LT" sz="1200" i="1">
                <a:latin typeface="Times New Roman" panose="02020603050405020304" pitchFamily="18" charset="0"/>
                <a:cs typeface="Times New Roman" panose="02020603050405020304" pitchFamily="18" charset="0"/>
              </a:rPr>
              <a:t>ū</a:t>
            </a:r>
            <a:r>
              <a:rPr lang="en-US" sz="1200" i="1">
                <a:latin typeface="Times New Roman" panose="02020603050405020304" pitchFamily="18" charset="0"/>
                <a:cs typeface="Times New Roman" panose="02020603050405020304" pitchFamily="18" charset="0"/>
              </a:rPr>
              <a:t>kst. eur</a:t>
            </a:r>
            <a:r>
              <a:rPr lang="lt-LT" sz="1200" i="1">
                <a:latin typeface="Times New Roman" panose="02020603050405020304" pitchFamily="18" charset="0"/>
                <a:cs typeface="Times New Roman" panose="02020603050405020304" pitchFamily="18" charset="0"/>
              </a:rPr>
              <a:t>ų</a:t>
            </a:r>
          </a:p>
        </c:rich>
      </c:tx>
      <c:overlay val="0"/>
      <c:spPr>
        <a:noFill/>
        <a:ln>
          <a:noFill/>
        </a:ln>
        <a:effectLst/>
      </c:spPr>
      <c:txPr>
        <a:bodyPr rot="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Lapas1!$C$11</c:f>
              <c:strCache>
                <c:ptCount val="1"/>
                <c:pt idx="0">
                  <c:v>2025</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numRef>
              <c:f>Lapas1!$D$10:$I$10</c:f>
              <c:numCache>
                <c:formatCode>General</c:formatCode>
                <c:ptCount val="6"/>
                <c:pt idx="0">
                  <c:v>1</c:v>
                </c:pt>
                <c:pt idx="1">
                  <c:v>2</c:v>
                </c:pt>
                <c:pt idx="2">
                  <c:v>3</c:v>
                </c:pt>
                <c:pt idx="3">
                  <c:v>4</c:v>
                </c:pt>
                <c:pt idx="4">
                  <c:v>5</c:v>
                </c:pt>
                <c:pt idx="5">
                  <c:v>6</c:v>
                </c:pt>
              </c:numCache>
            </c:numRef>
          </c:cat>
          <c:val>
            <c:numRef>
              <c:f>Lapas1!$D$11:$I$11</c:f>
              <c:numCache>
                <c:formatCode>#\ ##0.0</c:formatCode>
                <c:ptCount val="6"/>
                <c:pt idx="0">
                  <c:v>8244.1</c:v>
                </c:pt>
                <c:pt idx="1">
                  <c:v>35600.300000000003</c:v>
                </c:pt>
                <c:pt idx="2">
                  <c:v>32981.699999999997</c:v>
                </c:pt>
                <c:pt idx="3">
                  <c:v>13555.3</c:v>
                </c:pt>
                <c:pt idx="4">
                  <c:v>7158.6</c:v>
                </c:pt>
                <c:pt idx="5">
                  <c:v>8115.2</c:v>
                </c:pt>
              </c:numCache>
            </c:numRef>
          </c:val>
          <c:extLst>
            <c:ext xmlns:c16="http://schemas.microsoft.com/office/drawing/2014/chart" uri="{C3380CC4-5D6E-409C-BE32-E72D297353CC}">
              <c16:uniqueId val="{00000000-5AE3-417A-B225-584B4955FE65}"/>
            </c:ext>
          </c:extLst>
        </c:ser>
        <c:ser>
          <c:idx val="1"/>
          <c:order val="1"/>
          <c:tx>
            <c:strRef>
              <c:f>Lapas1!$C$12</c:f>
              <c:strCache>
                <c:ptCount val="1"/>
                <c:pt idx="0">
                  <c:v>2026</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cat>
            <c:numRef>
              <c:f>Lapas1!$D$10:$I$10</c:f>
              <c:numCache>
                <c:formatCode>General</c:formatCode>
                <c:ptCount val="6"/>
                <c:pt idx="0">
                  <c:v>1</c:v>
                </c:pt>
                <c:pt idx="1">
                  <c:v>2</c:v>
                </c:pt>
                <c:pt idx="2">
                  <c:v>3</c:v>
                </c:pt>
                <c:pt idx="3">
                  <c:v>4</c:v>
                </c:pt>
                <c:pt idx="4">
                  <c:v>5</c:v>
                </c:pt>
                <c:pt idx="5">
                  <c:v>6</c:v>
                </c:pt>
              </c:numCache>
            </c:numRef>
          </c:cat>
          <c:val>
            <c:numRef>
              <c:f>Lapas1!$D$12:$I$12</c:f>
              <c:numCache>
                <c:formatCode>#\ ##0.0</c:formatCode>
                <c:ptCount val="6"/>
                <c:pt idx="0">
                  <c:v>8226.1</c:v>
                </c:pt>
                <c:pt idx="1">
                  <c:v>35379.699999999997</c:v>
                </c:pt>
                <c:pt idx="2">
                  <c:v>33583.800000000003</c:v>
                </c:pt>
                <c:pt idx="3">
                  <c:v>19939.400000000001</c:v>
                </c:pt>
                <c:pt idx="4">
                  <c:v>7285.5</c:v>
                </c:pt>
                <c:pt idx="5">
                  <c:v>7256.5</c:v>
                </c:pt>
              </c:numCache>
            </c:numRef>
          </c:val>
          <c:extLst>
            <c:ext xmlns:c16="http://schemas.microsoft.com/office/drawing/2014/chart" uri="{C3380CC4-5D6E-409C-BE32-E72D297353CC}">
              <c16:uniqueId val="{00000001-5AE3-417A-B225-584B4955FE65}"/>
            </c:ext>
          </c:extLst>
        </c:ser>
        <c:ser>
          <c:idx val="2"/>
          <c:order val="2"/>
          <c:tx>
            <c:strRef>
              <c:f>Lapas1!$C$13</c:f>
              <c:strCache>
                <c:ptCount val="1"/>
                <c:pt idx="0">
                  <c:v>2027</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invertIfNegative val="0"/>
          <c:cat>
            <c:numRef>
              <c:f>Lapas1!$D$10:$I$10</c:f>
              <c:numCache>
                <c:formatCode>General</c:formatCode>
                <c:ptCount val="6"/>
                <c:pt idx="0">
                  <c:v>1</c:v>
                </c:pt>
                <c:pt idx="1">
                  <c:v>2</c:v>
                </c:pt>
                <c:pt idx="2">
                  <c:v>3</c:v>
                </c:pt>
                <c:pt idx="3">
                  <c:v>4</c:v>
                </c:pt>
                <c:pt idx="4">
                  <c:v>5</c:v>
                </c:pt>
                <c:pt idx="5">
                  <c:v>6</c:v>
                </c:pt>
              </c:numCache>
            </c:numRef>
          </c:cat>
          <c:val>
            <c:numRef>
              <c:f>Lapas1!$D$13:$I$13</c:f>
              <c:numCache>
                <c:formatCode>#\ ##0.0</c:formatCode>
                <c:ptCount val="6"/>
                <c:pt idx="0">
                  <c:v>8434.7000000000007</c:v>
                </c:pt>
                <c:pt idx="1">
                  <c:v>36269.199999999997</c:v>
                </c:pt>
                <c:pt idx="2">
                  <c:v>34434.6</c:v>
                </c:pt>
                <c:pt idx="3">
                  <c:v>17653.3</c:v>
                </c:pt>
                <c:pt idx="4">
                  <c:v>7450.5</c:v>
                </c:pt>
                <c:pt idx="5">
                  <c:v>7437.3</c:v>
                </c:pt>
              </c:numCache>
            </c:numRef>
          </c:val>
          <c:extLst>
            <c:ext xmlns:c16="http://schemas.microsoft.com/office/drawing/2014/chart" uri="{C3380CC4-5D6E-409C-BE32-E72D297353CC}">
              <c16:uniqueId val="{00000002-5AE3-417A-B225-584B4955FE65}"/>
            </c:ext>
          </c:extLst>
        </c:ser>
        <c:dLbls>
          <c:showLegendKey val="0"/>
          <c:showVal val="0"/>
          <c:showCatName val="0"/>
          <c:showSerName val="0"/>
          <c:showPercent val="0"/>
          <c:showBubbleSize val="0"/>
        </c:dLbls>
        <c:gapWidth val="150"/>
        <c:axId val="108771200"/>
        <c:axId val="108772736"/>
      </c:barChart>
      <c:catAx>
        <c:axId val="108771200"/>
        <c:scaling>
          <c:orientation val="minMax"/>
        </c:scaling>
        <c:delete val="0"/>
        <c:axPos val="b"/>
        <c:numFmt formatCode="General" sourceLinked="0"/>
        <c:majorTickMark val="none"/>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08772736"/>
        <c:crosses val="autoZero"/>
        <c:auto val="1"/>
        <c:lblAlgn val="ctr"/>
        <c:lblOffset val="100"/>
        <c:noMultiLvlLbl val="0"/>
      </c:catAx>
      <c:valAx>
        <c:axId val="108772736"/>
        <c:scaling>
          <c:orientation val="minMax"/>
        </c:scaling>
        <c:delete val="0"/>
        <c:axPos val="l"/>
        <c:majorGridlines>
          <c:spPr>
            <a:ln w="6350" cap="flat" cmpd="sng" algn="ctr">
              <a:solidFill>
                <a:schemeClr val="tx1">
                  <a:tint val="75000"/>
                </a:schemeClr>
              </a:solidFill>
              <a:prstDash val="solid"/>
              <a:round/>
            </a:ln>
            <a:effectLst/>
          </c:spPr>
        </c:majorGridlines>
        <c:numFmt formatCode="#\ ##0.0" sourceLinked="1"/>
        <c:majorTickMark val="none"/>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08771200"/>
        <c:crosses val="autoZero"/>
        <c:crossBetween val="between"/>
      </c:valAx>
      <c:dTable>
        <c:showHorzBorder val="1"/>
        <c:showVertBorder val="1"/>
        <c:showOutline val="1"/>
        <c:showKeys val="1"/>
        <c:spPr>
          <a:noFill/>
          <a:ln w="6350" cap="flat" cmpd="sng" algn="ctr">
            <a:solidFill>
              <a:schemeClr val="tx1">
                <a:tint val="75000"/>
              </a:schemeClr>
            </a:solidFill>
            <a:prstDash val="solid"/>
            <a:round/>
          </a:ln>
          <a:effectLst/>
        </c:spPr>
        <c:txPr>
          <a:bodyPr rot="0" spcFirstLastPara="1" vertOverflow="ellipsis" vert="horz" wrap="square" anchor="ctr" anchorCtr="1"/>
          <a:lstStyle/>
          <a:p>
            <a:pPr rtl="0">
              <a:defRPr sz="1000" b="0" i="0" u="none" strike="noStrike" kern="1200" baseline="0">
                <a:solidFill>
                  <a:schemeClr val="tx1"/>
                </a:solidFill>
                <a:latin typeface="+mn-lt"/>
                <a:ea typeface="+mn-ea"/>
                <a:cs typeface="+mn-cs"/>
              </a:defRPr>
            </a:pPr>
            <a:endParaRPr lang="en-US"/>
          </a:p>
        </c:txPr>
      </c:dTable>
      <c:spPr>
        <a:solidFill>
          <a:schemeClr val="bg1"/>
        </a:solidFill>
        <a:ln>
          <a:solidFill>
            <a:srgbClr val="FFC000"/>
          </a:solidFill>
        </a:ln>
        <a:effectLst/>
      </c:spPr>
    </c:plotArea>
    <c:plotVisOnly val="1"/>
    <c:dispBlanksAs val="gap"/>
    <c:showDLblsOverMax val="0"/>
  </c:chart>
  <c:spPr>
    <a:solidFill>
      <a:schemeClr val="bg1"/>
    </a:solidFill>
    <a:ln w="6350" cap="flat" cmpd="sng" algn="ctr">
      <a:solidFill>
        <a:srgbClr val="FFC000"/>
      </a:solidFill>
      <a:prstDash val="solid"/>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18">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3">
      <cs:styleClr val="auto"/>
    </cs:fillRef>
    <cs:effectRef idx="2">
      <a:schemeClr val="dk1"/>
    </cs:effectRef>
    <cs:fontRef idx="minor">
      <a:schemeClr val="tx1"/>
    </cs:fontRef>
  </cs:dataPoint>
  <cs:dataPoint3D>
    <cs:lnRef idx="0"/>
    <cs:fillRef idx="3">
      <cs:styleClr val="auto"/>
    </cs:fillRef>
    <cs:effectRef idx="2">
      <a:schemeClr val="dk1"/>
    </cs:effectRef>
    <cs:fontRef idx="minor">
      <a:schemeClr val="tx1"/>
    </cs:fontRef>
  </cs:dataPoint3D>
  <cs:dataPointLine>
    <cs:lnRef idx="1">
      <cs:styleClr val="auto"/>
    </cs:lnRef>
    <cs:lineWidthScale>5</cs:lineWidthScale>
    <cs:fillRef idx="0"/>
    <cs:effectRef idx="0"/>
    <cs:fontRef idx="minor">
      <a:schemeClr val="tx1"/>
    </cs:fontRef>
    <cs:spPr>
      <a:ln cap="rnd">
        <a:round/>
      </a:ln>
    </cs:spPr>
  </cs:dataPointLine>
  <cs:dataPointMarker>
    <cs:lnRef idx="1">
      <cs:styleClr val="auto"/>
    </cs:lnRef>
    <cs:fillRef idx="3">
      <cs:styleClr val="auto"/>
    </cs:fillRef>
    <cs:effectRef idx="2">
      <a:schemeClr val="dk1"/>
    </cs:effectRef>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0"/>
    <cs:fillRef idx="3">
      <a:schemeClr val="dk1">
        <a:tint val="95000"/>
      </a:schemeClr>
    </cs:fillRef>
    <cs:effectRef idx="2">
      <a:schemeClr val="dk1"/>
    </cs:effectRef>
    <cs:fontRef idx="minor">
      <a:schemeClr val="tx1"/>
    </cs:fontRef>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0"/>
    <cs:fillRef idx="3">
      <a:schemeClr val="dk1">
        <a:tint val="5000"/>
      </a:schemeClr>
    </cs:fillRef>
    <cs:effectRef idx="2">
      <a:schemeClr val="dk1"/>
    </cs:effectRef>
    <cs:fontRef idx="minor">
      <a:schemeClr val="tx1"/>
    </cs:fontRef>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diagrams/colors1.xml><?xml version="1.0" encoding="utf-8"?>
<dgm:colorsDef xmlns:dgm="http://schemas.openxmlformats.org/drawingml/2006/diagram" xmlns:a="http://schemas.openxmlformats.org/drawingml/2006/main" uniqueId="urn:microsoft.com/office/officeart/2005/8/colors/accent4_1">
  <dgm:title val=""/>
  <dgm:desc val=""/>
  <dgm:catLst>
    <dgm:cat type="accent4" pri="11100"/>
  </dgm:catLst>
  <dgm:styleLbl name="node0">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4">
        <a:shade val="80000"/>
      </a:schemeClr>
    </dgm:linClrLst>
    <dgm:effectClrLst/>
    <dgm:txLinClrLst/>
    <dgm:txFillClrLst/>
    <dgm:txEffectClrLst/>
  </dgm:styleLbl>
  <dgm:styleLbl name="node2">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fg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align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bg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fg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bg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sibTrans1D1">
    <dgm:fillClrLst meth="repeat">
      <a:schemeClr val="accent4"/>
    </dgm:fillClrLst>
    <dgm:linClrLst meth="repeat">
      <a:schemeClr val="accent4"/>
    </dgm:linClrLst>
    <dgm:effectClrLst/>
    <dgm:txLinClrLst/>
    <dgm:txFillClrLst meth="repeat">
      <a:schemeClr val="tx1"/>
    </dgm:txFillClrLst>
    <dgm:txEffectClrLst/>
  </dgm:styleLbl>
  <dgm:styleLbl name="callout">
    <dgm:fillClrLst meth="repeat">
      <a:schemeClr val="accent4"/>
    </dgm:fillClrLst>
    <dgm:linClrLst meth="repeat">
      <a:schemeClr val="accent4"/>
    </dgm:linClrLst>
    <dgm:effectClrLst/>
    <dgm:txLinClrLst/>
    <dgm:txFillClrLst meth="repeat">
      <a:schemeClr val="tx1"/>
    </dgm:txFillClrLst>
    <dgm:txEffectClrLst/>
  </dgm:styleLbl>
  <dgm:styleLbl name="asst0">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parChTrans2D1">
    <dgm:fillClrLst meth="repeat">
      <a:schemeClr val="accent4">
        <a:tint val="60000"/>
      </a:schemeClr>
    </dgm:fillClrLst>
    <dgm:linClrLst meth="repeat">
      <a:schemeClr val="accent4">
        <a:tint val="60000"/>
      </a:schemeClr>
    </dgm:linClrLst>
    <dgm:effectClrLst/>
    <dgm:txLinClrLst/>
    <dgm:txFillClrLst/>
    <dgm:txEffectClrLst/>
  </dgm:styleLbl>
  <dgm:styleLbl name="parChTrans2D2">
    <dgm:fillClrLst meth="repeat">
      <a:schemeClr val="accent4"/>
    </dgm:fillClrLst>
    <dgm:linClrLst meth="repeat">
      <a:schemeClr val="accent4"/>
    </dgm:linClrLst>
    <dgm:effectClrLst/>
    <dgm:txLinClrLst/>
    <dgm:txFillClrLst/>
    <dgm:txEffectClrLst/>
  </dgm:styleLbl>
  <dgm:styleLbl name="parChTrans2D3">
    <dgm:fillClrLst meth="repeat">
      <a:schemeClr val="accent4"/>
    </dgm:fillClrLst>
    <dgm:linClrLst meth="repeat">
      <a:schemeClr val="accent4"/>
    </dgm:linClrLst>
    <dgm:effectClrLst/>
    <dgm:txLinClrLst/>
    <dgm:txFillClrLst/>
    <dgm:txEffectClrLst/>
  </dgm:styleLbl>
  <dgm:styleLbl name="parChTrans2D4">
    <dgm:fillClrLst meth="repeat">
      <a:schemeClr val="accent4"/>
    </dgm:fillClrLst>
    <dgm:linClrLst meth="repeat">
      <a:schemeClr val="accent4"/>
    </dgm:linClrLst>
    <dgm:effectClrLst/>
    <dgm:txLinClrLst/>
    <dgm:txFillClrLst meth="repeat">
      <a:schemeClr val="lt1"/>
    </dgm:txFillClrLst>
    <dgm:txEffectClrLst/>
  </dgm:styleLbl>
  <dgm:styleLbl name="parChTrans1D1">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2">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3">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parChTrans1D4">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f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conF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align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trAlignAcc1">
    <dgm:fillClrLst meth="repeat">
      <a:schemeClr val="accent4">
        <a:alpha val="40000"/>
        <a:tint val="40000"/>
      </a:schemeClr>
    </dgm:fillClrLst>
    <dgm:linClrLst meth="repeat">
      <a:schemeClr val="accent4"/>
    </dgm:linClrLst>
    <dgm:effectClrLst/>
    <dgm:txLinClrLst/>
    <dgm:txFillClrLst meth="repeat">
      <a:schemeClr val="dk1"/>
    </dgm:txFillClrLst>
    <dgm:txEffectClrLst/>
  </dgm:styleLbl>
  <dgm:styleLbl name="b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solidFgAcc1">
    <dgm:fillClrLst meth="repeat">
      <a:schemeClr val="lt1"/>
    </dgm:fillClrLst>
    <dgm:linClrLst meth="repeat">
      <a:schemeClr val="accent4"/>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fgAcc0">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2">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3">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4">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accent4"/>
    </dgm:linClrLst>
    <dgm:effectClrLst/>
    <dgm:txLinClrLst/>
    <dgm:txFillClrLst meth="repeat">
      <a:schemeClr val="dk1"/>
    </dgm:txFillClrLst>
    <dgm:txEffectClrLst/>
  </dgm:styleLbl>
  <dgm:styleLbl name="dkBgShp">
    <dgm:fillClrLst meth="repeat">
      <a:schemeClr val="accent4">
        <a:shade val="80000"/>
      </a:schemeClr>
    </dgm:fillClrLst>
    <dgm:linClrLst meth="repeat">
      <a:schemeClr val="accent4"/>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2574460-A86F-4DB1-9511-8B6EE359120D}" type="doc">
      <dgm:prSet loTypeId="urn:microsoft.com/office/officeart/2005/8/layout/list1" loCatId="list" qsTypeId="urn:microsoft.com/office/officeart/2005/8/quickstyle/simple4" qsCatId="simple" csTypeId="urn:microsoft.com/office/officeart/2005/8/colors/accent4_1" csCatId="accent4" phldr="1"/>
      <dgm:spPr/>
      <dgm:t>
        <a:bodyPr/>
        <a:lstStyle/>
        <a:p>
          <a:endParaRPr lang="en-US"/>
        </a:p>
      </dgm:t>
    </dgm:pt>
    <dgm:pt modelId="{D59B928F-AA71-4F1D-AB66-59698359CB78}">
      <dgm:prSet phldrT="[Text]" custT="1"/>
      <dgm:spPr/>
      <dgm:t>
        <a:bodyPr/>
        <a:lstStyle/>
        <a:p>
          <a:r>
            <a:rPr lang="lt-LT" sz="900"/>
            <a:t>1. PRIORITETAS: PAŽANGI EKONOMIKA</a:t>
          </a:r>
          <a:endParaRPr lang="en-US" sz="900"/>
        </a:p>
      </dgm:t>
    </dgm:pt>
    <dgm:pt modelId="{3404434C-2C1C-4B73-8580-2B6EA1DEB754}" type="parTrans" cxnId="{D9302913-D6D3-46AD-98DF-683F6149CDD3}">
      <dgm:prSet/>
      <dgm:spPr/>
      <dgm:t>
        <a:bodyPr/>
        <a:lstStyle/>
        <a:p>
          <a:endParaRPr lang="en-US" sz="2000"/>
        </a:p>
      </dgm:t>
    </dgm:pt>
    <dgm:pt modelId="{655CD23D-9F2F-481D-9D94-9801789187E3}" type="sibTrans" cxnId="{D9302913-D6D3-46AD-98DF-683F6149CDD3}">
      <dgm:prSet/>
      <dgm:spPr/>
      <dgm:t>
        <a:bodyPr/>
        <a:lstStyle/>
        <a:p>
          <a:endParaRPr lang="en-US" sz="2000"/>
        </a:p>
      </dgm:t>
    </dgm:pt>
    <dgm:pt modelId="{9927E93D-DA59-4D8E-BF5E-17B92ED247EB}">
      <dgm:prSet phldrT="[Text]" custT="1"/>
      <dgm:spPr/>
      <dgm:t>
        <a:bodyPr/>
        <a:lstStyle/>
        <a:p>
          <a:r>
            <a:rPr lang="lt-LT" sz="900"/>
            <a:t>2. PRIORITETAS: SOCIALIAI ATSAKINGA, IŠSILAVINUSI, SVEIKA IR SAUGI VISUOMENĖ</a:t>
          </a:r>
          <a:endParaRPr lang="en-US" sz="900"/>
        </a:p>
      </dgm:t>
    </dgm:pt>
    <dgm:pt modelId="{AFFB2FDC-95F4-4863-BA5B-EE20A1B16E50}" type="parTrans" cxnId="{B430B5B4-2E43-467B-9C20-73C3AB0D168D}">
      <dgm:prSet/>
      <dgm:spPr/>
      <dgm:t>
        <a:bodyPr/>
        <a:lstStyle/>
        <a:p>
          <a:endParaRPr lang="en-US" sz="2000"/>
        </a:p>
      </dgm:t>
    </dgm:pt>
    <dgm:pt modelId="{F58C72CC-1AA8-48C7-8436-061B5387D4FD}" type="sibTrans" cxnId="{B430B5B4-2E43-467B-9C20-73C3AB0D168D}">
      <dgm:prSet/>
      <dgm:spPr/>
      <dgm:t>
        <a:bodyPr/>
        <a:lstStyle/>
        <a:p>
          <a:endParaRPr lang="en-US" sz="2000"/>
        </a:p>
      </dgm:t>
    </dgm:pt>
    <dgm:pt modelId="{68A08401-56A1-497A-8AD8-EFC6F14F3362}">
      <dgm:prSet custT="1"/>
      <dgm:spPr/>
      <dgm:t>
        <a:bodyPr/>
        <a:lstStyle/>
        <a:p>
          <a:r>
            <a:rPr lang="lt-LT" sz="900"/>
            <a:t>3. PRIORITETAS: PASIEKIAMA, MODERNIOS INFRASTRUKTŪROS ŽALIOJI SAVIVALDYBĖ</a:t>
          </a:r>
          <a:endParaRPr lang="en-US" sz="900"/>
        </a:p>
      </dgm:t>
    </dgm:pt>
    <dgm:pt modelId="{3405028B-A9BB-401F-A652-1834A0DAFBFE}" type="parTrans" cxnId="{8A8D7D88-3C61-4B2A-A339-959F3163552D}">
      <dgm:prSet/>
      <dgm:spPr/>
      <dgm:t>
        <a:bodyPr/>
        <a:lstStyle/>
        <a:p>
          <a:endParaRPr lang="en-US" sz="2000"/>
        </a:p>
      </dgm:t>
    </dgm:pt>
    <dgm:pt modelId="{6E29DD3A-BE24-4AAC-AF69-AC144048FD50}" type="sibTrans" cxnId="{8A8D7D88-3C61-4B2A-A339-959F3163552D}">
      <dgm:prSet/>
      <dgm:spPr/>
      <dgm:t>
        <a:bodyPr/>
        <a:lstStyle/>
        <a:p>
          <a:endParaRPr lang="en-US" sz="2000"/>
        </a:p>
      </dgm:t>
    </dgm:pt>
    <dgm:pt modelId="{40ED1DB5-D338-4828-83A3-A58374027E6C}">
      <dgm:prSet custT="1"/>
      <dgm:spPr/>
      <dgm:t>
        <a:bodyPr/>
        <a:lstStyle/>
        <a:p>
          <a:r>
            <a:rPr lang="lt-LT" sz="900"/>
            <a:t>4. PRIORITETAS: GYVENTOJAMS ATVIRA SAVIVALDYBĖ</a:t>
          </a:r>
          <a:endParaRPr lang="en-US" sz="900"/>
        </a:p>
      </dgm:t>
    </dgm:pt>
    <dgm:pt modelId="{073F5EEE-9343-4C77-9E90-D69D313757E3}" type="parTrans" cxnId="{A1939F18-73AF-4963-9A47-84415DB729C5}">
      <dgm:prSet/>
      <dgm:spPr/>
      <dgm:t>
        <a:bodyPr/>
        <a:lstStyle/>
        <a:p>
          <a:endParaRPr lang="en-US" sz="2000"/>
        </a:p>
      </dgm:t>
    </dgm:pt>
    <dgm:pt modelId="{87DC5BFE-83B2-4596-80D7-33F577175880}" type="sibTrans" cxnId="{A1939F18-73AF-4963-9A47-84415DB729C5}">
      <dgm:prSet/>
      <dgm:spPr/>
      <dgm:t>
        <a:bodyPr/>
        <a:lstStyle/>
        <a:p>
          <a:endParaRPr lang="en-US" sz="2000"/>
        </a:p>
      </dgm:t>
    </dgm:pt>
    <dgm:pt modelId="{AF3F9D67-39DB-421A-BF76-B4F98CA3034E}" type="pres">
      <dgm:prSet presAssocID="{72574460-A86F-4DB1-9511-8B6EE359120D}" presName="linear" presStyleCnt="0">
        <dgm:presLayoutVars>
          <dgm:dir/>
          <dgm:animLvl val="lvl"/>
          <dgm:resizeHandles val="exact"/>
        </dgm:presLayoutVars>
      </dgm:prSet>
      <dgm:spPr/>
      <dgm:t>
        <a:bodyPr/>
        <a:lstStyle/>
        <a:p>
          <a:endParaRPr lang="en-US"/>
        </a:p>
      </dgm:t>
    </dgm:pt>
    <dgm:pt modelId="{27B7FDF3-115E-40EC-84DD-E34F34475ADC}" type="pres">
      <dgm:prSet presAssocID="{D59B928F-AA71-4F1D-AB66-59698359CB78}" presName="parentLin" presStyleCnt="0"/>
      <dgm:spPr/>
    </dgm:pt>
    <dgm:pt modelId="{527C05C5-1A47-4044-B39A-1AFD4748028D}" type="pres">
      <dgm:prSet presAssocID="{D59B928F-AA71-4F1D-AB66-59698359CB78}" presName="parentLeftMargin" presStyleLbl="node1" presStyleIdx="0" presStyleCnt="4"/>
      <dgm:spPr/>
      <dgm:t>
        <a:bodyPr/>
        <a:lstStyle/>
        <a:p>
          <a:endParaRPr lang="en-US"/>
        </a:p>
      </dgm:t>
    </dgm:pt>
    <dgm:pt modelId="{4AB4F022-99BA-4B58-867F-0C8DA25E0C86}" type="pres">
      <dgm:prSet presAssocID="{D59B928F-AA71-4F1D-AB66-59698359CB78}" presName="parentText" presStyleLbl="node1" presStyleIdx="0" presStyleCnt="4">
        <dgm:presLayoutVars>
          <dgm:chMax val="0"/>
          <dgm:bulletEnabled val="1"/>
        </dgm:presLayoutVars>
      </dgm:prSet>
      <dgm:spPr/>
      <dgm:t>
        <a:bodyPr/>
        <a:lstStyle/>
        <a:p>
          <a:endParaRPr lang="en-US"/>
        </a:p>
      </dgm:t>
    </dgm:pt>
    <dgm:pt modelId="{4D86E2FB-01E9-45DD-B9AA-AC0FA5CB52C9}" type="pres">
      <dgm:prSet presAssocID="{D59B928F-AA71-4F1D-AB66-59698359CB78}" presName="negativeSpace" presStyleCnt="0"/>
      <dgm:spPr/>
    </dgm:pt>
    <dgm:pt modelId="{E89C39D8-7FD5-4542-9073-C546073EAD5B}" type="pres">
      <dgm:prSet presAssocID="{D59B928F-AA71-4F1D-AB66-59698359CB78}" presName="childText" presStyleLbl="conFgAcc1" presStyleIdx="0" presStyleCnt="4">
        <dgm:presLayoutVars>
          <dgm:bulletEnabled val="1"/>
        </dgm:presLayoutVars>
      </dgm:prSet>
      <dgm:spPr/>
    </dgm:pt>
    <dgm:pt modelId="{B029DC45-B3AF-43F0-896E-E75BFC87845D}" type="pres">
      <dgm:prSet presAssocID="{655CD23D-9F2F-481D-9D94-9801789187E3}" presName="spaceBetweenRectangles" presStyleCnt="0"/>
      <dgm:spPr/>
    </dgm:pt>
    <dgm:pt modelId="{E67D1003-FEA0-4DFA-B5D3-6E5517C740FE}" type="pres">
      <dgm:prSet presAssocID="{9927E93D-DA59-4D8E-BF5E-17B92ED247EB}" presName="parentLin" presStyleCnt="0"/>
      <dgm:spPr/>
    </dgm:pt>
    <dgm:pt modelId="{7B979399-EAEA-45A5-AFC7-6AD35BE86B61}" type="pres">
      <dgm:prSet presAssocID="{9927E93D-DA59-4D8E-BF5E-17B92ED247EB}" presName="parentLeftMargin" presStyleLbl="node1" presStyleIdx="0" presStyleCnt="4"/>
      <dgm:spPr/>
      <dgm:t>
        <a:bodyPr/>
        <a:lstStyle/>
        <a:p>
          <a:endParaRPr lang="en-US"/>
        </a:p>
      </dgm:t>
    </dgm:pt>
    <dgm:pt modelId="{9C0622DB-30B4-4A5D-9AA1-07C99FC84839}" type="pres">
      <dgm:prSet presAssocID="{9927E93D-DA59-4D8E-BF5E-17B92ED247EB}" presName="parentText" presStyleLbl="node1" presStyleIdx="1" presStyleCnt="4">
        <dgm:presLayoutVars>
          <dgm:chMax val="0"/>
          <dgm:bulletEnabled val="1"/>
        </dgm:presLayoutVars>
      </dgm:prSet>
      <dgm:spPr/>
      <dgm:t>
        <a:bodyPr/>
        <a:lstStyle/>
        <a:p>
          <a:endParaRPr lang="en-US"/>
        </a:p>
      </dgm:t>
    </dgm:pt>
    <dgm:pt modelId="{B1038F96-1A15-48E8-B903-4A606463E969}" type="pres">
      <dgm:prSet presAssocID="{9927E93D-DA59-4D8E-BF5E-17B92ED247EB}" presName="negativeSpace" presStyleCnt="0"/>
      <dgm:spPr/>
    </dgm:pt>
    <dgm:pt modelId="{4EBBFDFD-F1E6-4F8A-85BF-DA7237D366CB}" type="pres">
      <dgm:prSet presAssocID="{9927E93D-DA59-4D8E-BF5E-17B92ED247EB}" presName="childText" presStyleLbl="conFgAcc1" presStyleIdx="1" presStyleCnt="4">
        <dgm:presLayoutVars>
          <dgm:bulletEnabled val="1"/>
        </dgm:presLayoutVars>
      </dgm:prSet>
      <dgm:spPr>
        <a:ln>
          <a:solidFill>
            <a:srgbClr val="FFC000"/>
          </a:solidFill>
        </a:ln>
      </dgm:spPr>
    </dgm:pt>
    <dgm:pt modelId="{10B5605A-BDCC-4D75-9FC4-571A6D8C3C79}" type="pres">
      <dgm:prSet presAssocID="{F58C72CC-1AA8-48C7-8436-061B5387D4FD}" presName="spaceBetweenRectangles" presStyleCnt="0"/>
      <dgm:spPr/>
    </dgm:pt>
    <dgm:pt modelId="{190B2E8F-BE5C-4AC7-A134-A214CE7F431C}" type="pres">
      <dgm:prSet presAssocID="{68A08401-56A1-497A-8AD8-EFC6F14F3362}" presName="parentLin" presStyleCnt="0"/>
      <dgm:spPr/>
    </dgm:pt>
    <dgm:pt modelId="{5B22AC28-E8D1-4856-9FC2-7EB5060FAA33}" type="pres">
      <dgm:prSet presAssocID="{68A08401-56A1-497A-8AD8-EFC6F14F3362}" presName="parentLeftMargin" presStyleLbl="node1" presStyleIdx="1" presStyleCnt="4"/>
      <dgm:spPr/>
      <dgm:t>
        <a:bodyPr/>
        <a:lstStyle/>
        <a:p>
          <a:endParaRPr lang="en-US"/>
        </a:p>
      </dgm:t>
    </dgm:pt>
    <dgm:pt modelId="{88485C0A-9FB6-4FF1-9FC8-B1C23D4D4ADA}" type="pres">
      <dgm:prSet presAssocID="{68A08401-56A1-497A-8AD8-EFC6F14F3362}" presName="parentText" presStyleLbl="node1" presStyleIdx="2" presStyleCnt="4">
        <dgm:presLayoutVars>
          <dgm:chMax val="0"/>
          <dgm:bulletEnabled val="1"/>
        </dgm:presLayoutVars>
      </dgm:prSet>
      <dgm:spPr/>
      <dgm:t>
        <a:bodyPr/>
        <a:lstStyle/>
        <a:p>
          <a:endParaRPr lang="en-US"/>
        </a:p>
      </dgm:t>
    </dgm:pt>
    <dgm:pt modelId="{F73C8EA9-047F-41E8-966E-B94F64B524C8}" type="pres">
      <dgm:prSet presAssocID="{68A08401-56A1-497A-8AD8-EFC6F14F3362}" presName="negativeSpace" presStyleCnt="0"/>
      <dgm:spPr/>
    </dgm:pt>
    <dgm:pt modelId="{64B43999-A635-48A3-9F81-7E3A3B7FA58B}" type="pres">
      <dgm:prSet presAssocID="{68A08401-56A1-497A-8AD8-EFC6F14F3362}" presName="childText" presStyleLbl="conFgAcc1" presStyleIdx="2" presStyleCnt="4">
        <dgm:presLayoutVars>
          <dgm:bulletEnabled val="1"/>
        </dgm:presLayoutVars>
      </dgm:prSet>
      <dgm:spPr/>
    </dgm:pt>
    <dgm:pt modelId="{366D4A5A-BAEB-4E93-9A0C-6C57377350CE}" type="pres">
      <dgm:prSet presAssocID="{6E29DD3A-BE24-4AAC-AF69-AC144048FD50}" presName="spaceBetweenRectangles" presStyleCnt="0"/>
      <dgm:spPr/>
    </dgm:pt>
    <dgm:pt modelId="{10A1B683-5644-40CC-B9FE-574A9022A330}" type="pres">
      <dgm:prSet presAssocID="{40ED1DB5-D338-4828-83A3-A58374027E6C}" presName="parentLin" presStyleCnt="0"/>
      <dgm:spPr/>
    </dgm:pt>
    <dgm:pt modelId="{06FA1165-6B46-4AB3-BB02-B63FC82FF63F}" type="pres">
      <dgm:prSet presAssocID="{40ED1DB5-D338-4828-83A3-A58374027E6C}" presName="parentLeftMargin" presStyleLbl="node1" presStyleIdx="2" presStyleCnt="4"/>
      <dgm:spPr/>
      <dgm:t>
        <a:bodyPr/>
        <a:lstStyle/>
        <a:p>
          <a:endParaRPr lang="en-US"/>
        </a:p>
      </dgm:t>
    </dgm:pt>
    <dgm:pt modelId="{A01B0393-B0A7-4657-800D-A8A3C932F9CF}" type="pres">
      <dgm:prSet presAssocID="{40ED1DB5-D338-4828-83A3-A58374027E6C}" presName="parentText" presStyleLbl="node1" presStyleIdx="3" presStyleCnt="4">
        <dgm:presLayoutVars>
          <dgm:chMax val="0"/>
          <dgm:bulletEnabled val="1"/>
        </dgm:presLayoutVars>
      </dgm:prSet>
      <dgm:spPr/>
      <dgm:t>
        <a:bodyPr/>
        <a:lstStyle/>
        <a:p>
          <a:endParaRPr lang="en-US"/>
        </a:p>
      </dgm:t>
    </dgm:pt>
    <dgm:pt modelId="{B6A33555-6772-4C1B-B4CF-2424B24735AF}" type="pres">
      <dgm:prSet presAssocID="{40ED1DB5-D338-4828-83A3-A58374027E6C}" presName="negativeSpace" presStyleCnt="0"/>
      <dgm:spPr/>
    </dgm:pt>
    <dgm:pt modelId="{91B7EEEA-3927-455A-8B3E-5556274435D4}" type="pres">
      <dgm:prSet presAssocID="{40ED1DB5-D338-4828-83A3-A58374027E6C}" presName="childText" presStyleLbl="conFgAcc1" presStyleIdx="3" presStyleCnt="4">
        <dgm:presLayoutVars>
          <dgm:bulletEnabled val="1"/>
        </dgm:presLayoutVars>
      </dgm:prSet>
      <dgm:spPr/>
    </dgm:pt>
  </dgm:ptLst>
  <dgm:cxnLst>
    <dgm:cxn modelId="{8469AAD7-13C3-49FC-8039-CBAD13A9DF2A}" type="presOf" srcId="{68A08401-56A1-497A-8AD8-EFC6F14F3362}" destId="{88485C0A-9FB6-4FF1-9FC8-B1C23D4D4ADA}" srcOrd="1" destOrd="0" presId="urn:microsoft.com/office/officeart/2005/8/layout/list1"/>
    <dgm:cxn modelId="{E1FDAC84-7DF7-4711-861E-7451D3A32D24}" type="presOf" srcId="{9927E93D-DA59-4D8E-BF5E-17B92ED247EB}" destId="{7B979399-EAEA-45A5-AFC7-6AD35BE86B61}" srcOrd="0" destOrd="0" presId="urn:microsoft.com/office/officeart/2005/8/layout/list1"/>
    <dgm:cxn modelId="{B430B5B4-2E43-467B-9C20-73C3AB0D168D}" srcId="{72574460-A86F-4DB1-9511-8B6EE359120D}" destId="{9927E93D-DA59-4D8E-BF5E-17B92ED247EB}" srcOrd="1" destOrd="0" parTransId="{AFFB2FDC-95F4-4863-BA5B-EE20A1B16E50}" sibTransId="{F58C72CC-1AA8-48C7-8436-061B5387D4FD}"/>
    <dgm:cxn modelId="{7875A8B7-1921-43A2-BB6A-055D302B8E68}" type="presOf" srcId="{D59B928F-AA71-4F1D-AB66-59698359CB78}" destId="{4AB4F022-99BA-4B58-867F-0C8DA25E0C86}" srcOrd="1" destOrd="0" presId="urn:microsoft.com/office/officeart/2005/8/layout/list1"/>
    <dgm:cxn modelId="{CBB0D76E-9BFB-4D59-B7E9-809B69CF0C56}" type="presOf" srcId="{68A08401-56A1-497A-8AD8-EFC6F14F3362}" destId="{5B22AC28-E8D1-4856-9FC2-7EB5060FAA33}" srcOrd="0" destOrd="0" presId="urn:microsoft.com/office/officeart/2005/8/layout/list1"/>
    <dgm:cxn modelId="{61EAAB09-B585-4A11-B9A3-488161CDD5DE}" type="presOf" srcId="{40ED1DB5-D338-4828-83A3-A58374027E6C}" destId="{06FA1165-6B46-4AB3-BB02-B63FC82FF63F}" srcOrd="0" destOrd="0" presId="urn:microsoft.com/office/officeart/2005/8/layout/list1"/>
    <dgm:cxn modelId="{54FB3475-E341-4138-96CF-CAA6D9F29771}" type="presOf" srcId="{9927E93D-DA59-4D8E-BF5E-17B92ED247EB}" destId="{9C0622DB-30B4-4A5D-9AA1-07C99FC84839}" srcOrd="1" destOrd="0" presId="urn:microsoft.com/office/officeart/2005/8/layout/list1"/>
    <dgm:cxn modelId="{A1939F18-73AF-4963-9A47-84415DB729C5}" srcId="{72574460-A86F-4DB1-9511-8B6EE359120D}" destId="{40ED1DB5-D338-4828-83A3-A58374027E6C}" srcOrd="3" destOrd="0" parTransId="{073F5EEE-9343-4C77-9E90-D69D313757E3}" sibTransId="{87DC5BFE-83B2-4596-80D7-33F577175880}"/>
    <dgm:cxn modelId="{02FF1EBA-48F2-4489-8856-425658248B30}" type="presOf" srcId="{72574460-A86F-4DB1-9511-8B6EE359120D}" destId="{AF3F9D67-39DB-421A-BF76-B4F98CA3034E}" srcOrd="0" destOrd="0" presId="urn:microsoft.com/office/officeart/2005/8/layout/list1"/>
    <dgm:cxn modelId="{8A8D7D88-3C61-4B2A-A339-959F3163552D}" srcId="{72574460-A86F-4DB1-9511-8B6EE359120D}" destId="{68A08401-56A1-497A-8AD8-EFC6F14F3362}" srcOrd="2" destOrd="0" parTransId="{3405028B-A9BB-401F-A652-1834A0DAFBFE}" sibTransId="{6E29DD3A-BE24-4AAC-AF69-AC144048FD50}"/>
    <dgm:cxn modelId="{F11D23AD-1586-4DFD-B9C1-12D793DF8C5B}" type="presOf" srcId="{D59B928F-AA71-4F1D-AB66-59698359CB78}" destId="{527C05C5-1A47-4044-B39A-1AFD4748028D}" srcOrd="0" destOrd="0" presId="urn:microsoft.com/office/officeart/2005/8/layout/list1"/>
    <dgm:cxn modelId="{795B93D4-425F-4ECC-BBF6-5F939E28263D}" type="presOf" srcId="{40ED1DB5-D338-4828-83A3-A58374027E6C}" destId="{A01B0393-B0A7-4657-800D-A8A3C932F9CF}" srcOrd="1" destOrd="0" presId="urn:microsoft.com/office/officeart/2005/8/layout/list1"/>
    <dgm:cxn modelId="{D9302913-D6D3-46AD-98DF-683F6149CDD3}" srcId="{72574460-A86F-4DB1-9511-8B6EE359120D}" destId="{D59B928F-AA71-4F1D-AB66-59698359CB78}" srcOrd="0" destOrd="0" parTransId="{3404434C-2C1C-4B73-8580-2B6EA1DEB754}" sibTransId="{655CD23D-9F2F-481D-9D94-9801789187E3}"/>
    <dgm:cxn modelId="{A492B966-0A39-4C9C-81DE-DAF028CC6A0C}" type="presParOf" srcId="{AF3F9D67-39DB-421A-BF76-B4F98CA3034E}" destId="{27B7FDF3-115E-40EC-84DD-E34F34475ADC}" srcOrd="0" destOrd="0" presId="urn:microsoft.com/office/officeart/2005/8/layout/list1"/>
    <dgm:cxn modelId="{94EE423F-E2FF-4750-8434-82269F590408}" type="presParOf" srcId="{27B7FDF3-115E-40EC-84DD-E34F34475ADC}" destId="{527C05C5-1A47-4044-B39A-1AFD4748028D}" srcOrd="0" destOrd="0" presId="urn:microsoft.com/office/officeart/2005/8/layout/list1"/>
    <dgm:cxn modelId="{07B7D4CF-BAC2-43C3-8486-254769F7B0CE}" type="presParOf" srcId="{27B7FDF3-115E-40EC-84DD-E34F34475ADC}" destId="{4AB4F022-99BA-4B58-867F-0C8DA25E0C86}" srcOrd="1" destOrd="0" presId="urn:microsoft.com/office/officeart/2005/8/layout/list1"/>
    <dgm:cxn modelId="{6B7C4912-A2D4-4523-AAF8-43E1AC23C28E}" type="presParOf" srcId="{AF3F9D67-39DB-421A-BF76-B4F98CA3034E}" destId="{4D86E2FB-01E9-45DD-B9AA-AC0FA5CB52C9}" srcOrd="1" destOrd="0" presId="urn:microsoft.com/office/officeart/2005/8/layout/list1"/>
    <dgm:cxn modelId="{D218DF41-85C2-4FDC-8022-64A7FD1B0823}" type="presParOf" srcId="{AF3F9D67-39DB-421A-BF76-B4F98CA3034E}" destId="{E89C39D8-7FD5-4542-9073-C546073EAD5B}" srcOrd="2" destOrd="0" presId="urn:microsoft.com/office/officeart/2005/8/layout/list1"/>
    <dgm:cxn modelId="{E6F36B8E-FBC9-4242-8493-DA1B3B852653}" type="presParOf" srcId="{AF3F9D67-39DB-421A-BF76-B4F98CA3034E}" destId="{B029DC45-B3AF-43F0-896E-E75BFC87845D}" srcOrd="3" destOrd="0" presId="urn:microsoft.com/office/officeart/2005/8/layout/list1"/>
    <dgm:cxn modelId="{7351120A-8E42-4D9B-AB6B-CBE8B4489154}" type="presParOf" srcId="{AF3F9D67-39DB-421A-BF76-B4F98CA3034E}" destId="{E67D1003-FEA0-4DFA-B5D3-6E5517C740FE}" srcOrd="4" destOrd="0" presId="urn:microsoft.com/office/officeart/2005/8/layout/list1"/>
    <dgm:cxn modelId="{66728F5D-6B4E-4187-A31B-804F88A543E5}" type="presParOf" srcId="{E67D1003-FEA0-4DFA-B5D3-6E5517C740FE}" destId="{7B979399-EAEA-45A5-AFC7-6AD35BE86B61}" srcOrd="0" destOrd="0" presId="urn:microsoft.com/office/officeart/2005/8/layout/list1"/>
    <dgm:cxn modelId="{EA2BF3FC-2EAC-4C48-AB06-A6C59EC3FB8F}" type="presParOf" srcId="{E67D1003-FEA0-4DFA-B5D3-6E5517C740FE}" destId="{9C0622DB-30B4-4A5D-9AA1-07C99FC84839}" srcOrd="1" destOrd="0" presId="urn:microsoft.com/office/officeart/2005/8/layout/list1"/>
    <dgm:cxn modelId="{C1B11B5A-97E3-4405-9593-6A7211E675A4}" type="presParOf" srcId="{AF3F9D67-39DB-421A-BF76-B4F98CA3034E}" destId="{B1038F96-1A15-48E8-B903-4A606463E969}" srcOrd="5" destOrd="0" presId="urn:microsoft.com/office/officeart/2005/8/layout/list1"/>
    <dgm:cxn modelId="{238BFCB5-2416-4E8D-83FA-88511CB3ADA0}" type="presParOf" srcId="{AF3F9D67-39DB-421A-BF76-B4F98CA3034E}" destId="{4EBBFDFD-F1E6-4F8A-85BF-DA7237D366CB}" srcOrd="6" destOrd="0" presId="urn:microsoft.com/office/officeart/2005/8/layout/list1"/>
    <dgm:cxn modelId="{4E035184-61F1-4285-9728-EEF6B30CC5FD}" type="presParOf" srcId="{AF3F9D67-39DB-421A-BF76-B4F98CA3034E}" destId="{10B5605A-BDCC-4D75-9FC4-571A6D8C3C79}" srcOrd="7" destOrd="0" presId="urn:microsoft.com/office/officeart/2005/8/layout/list1"/>
    <dgm:cxn modelId="{F7651550-D6A8-4FA1-853B-F98F2A7E8171}" type="presParOf" srcId="{AF3F9D67-39DB-421A-BF76-B4F98CA3034E}" destId="{190B2E8F-BE5C-4AC7-A134-A214CE7F431C}" srcOrd="8" destOrd="0" presId="urn:microsoft.com/office/officeart/2005/8/layout/list1"/>
    <dgm:cxn modelId="{68C1BB44-7762-4084-B13B-0D5280B58B5E}" type="presParOf" srcId="{190B2E8F-BE5C-4AC7-A134-A214CE7F431C}" destId="{5B22AC28-E8D1-4856-9FC2-7EB5060FAA33}" srcOrd="0" destOrd="0" presId="urn:microsoft.com/office/officeart/2005/8/layout/list1"/>
    <dgm:cxn modelId="{C4BFE0A9-0453-4C34-A9BA-178FE6CF7864}" type="presParOf" srcId="{190B2E8F-BE5C-4AC7-A134-A214CE7F431C}" destId="{88485C0A-9FB6-4FF1-9FC8-B1C23D4D4ADA}" srcOrd="1" destOrd="0" presId="urn:microsoft.com/office/officeart/2005/8/layout/list1"/>
    <dgm:cxn modelId="{7F681ACD-3BC3-401E-AB7D-C6098AB58296}" type="presParOf" srcId="{AF3F9D67-39DB-421A-BF76-B4F98CA3034E}" destId="{F73C8EA9-047F-41E8-966E-B94F64B524C8}" srcOrd="9" destOrd="0" presId="urn:microsoft.com/office/officeart/2005/8/layout/list1"/>
    <dgm:cxn modelId="{298F84D6-0E3B-4189-A07F-09067C68C631}" type="presParOf" srcId="{AF3F9D67-39DB-421A-BF76-B4F98CA3034E}" destId="{64B43999-A635-48A3-9F81-7E3A3B7FA58B}" srcOrd="10" destOrd="0" presId="urn:microsoft.com/office/officeart/2005/8/layout/list1"/>
    <dgm:cxn modelId="{61FB13CD-6735-40FD-BF67-74B8262933B6}" type="presParOf" srcId="{AF3F9D67-39DB-421A-BF76-B4F98CA3034E}" destId="{366D4A5A-BAEB-4E93-9A0C-6C57377350CE}" srcOrd="11" destOrd="0" presId="urn:microsoft.com/office/officeart/2005/8/layout/list1"/>
    <dgm:cxn modelId="{9F34B4E0-26C0-458C-947A-1E9B922A8C42}" type="presParOf" srcId="{AF3F9D67-39DB-421A-BF76-B4F98CA3034E}" destId="{10A1B683-5644-40CC-B9FE-574A9022A330}" srcOrd="12" destOrd="0" presId="urn:microsoft.com/office/officeart/2005/8/layout/list1"/>
    <dgm:cxn modelId="{2078406F-1D6C-4E0A-884E-4438E178C88B}" type="presParOf" srcId="{10A1B683-5644-40CC-B9FE-574A9022A330}" destId="{06FA1165-6B46-4AB3-BB02-B63FC82FF63F}" srcOrd="0" destOrd="0" presId="urn:microsoft.com/office/officeart/2005/8/layout/list1"/>
    <dgm:cxn modelId="{DE22C2F7-9C5D-49A9-82D0-1E53D7DBFAA3}" type="presParOf" srcId="{10A1B683-5644-40CC-B9FE-574A9022A330}" destId="{A01B0393-B0A7-4657-800D-A8A3C932F9CF}" srcOrd="1" destOrd="0" presId="urn:microsoft.com/office/officeart/2005/8/layout/list1"/>
    <dgm:cxn modelId="{998A6537-A495-4D9E-B8DC-181700021D60}" type="presParOf" srcId="{AF3F9D67-39DB-421A-BF76-B4F98CA3034E}" destId="{B6A33555-6772-4C1B-B4CF-2424B24735AF}" srcOrd="13" destOrd="0" presId="urn:microsoft.com/office/officeart/2005/8/layout/list1"/>
    <dgm:cxn modelId="{74C76E20-ADCC-4A3B-B7A4-E5BF427B75CE}" type="presParOf" srcId="{AF3F9D67-39DB-421A-BF76-B4F98CA3034E}" destId="{91B7EEEA-3927-455A-8B3E-5556274435D4}" srcOrd="14" destOrd="0" presId="urn:microsoft.com/office/officeart/2005/8/layout/list1"/>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060310" y="103547"/>
          <a:ext cx="4404003" cy="931198"/>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 </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Radviliškio rajono savivaldybės švietimo paslaugų prieinamumo ir kokybės užtikrinimo programa   </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100964" y="1287975"/>
          <a:ext cx="4322695" cy="518053"/>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Gerinti švietimo paslaugų kokybę pakankamumą ir pasiekiamumą    </a:t>
          </a:r>
        </a:p>
      </dgm:t>
    </dgm:pt>
    <dgm:pt modelId="{54F15E63-7360-486C-8292-161DE48DC16C}" type="parTrans" cxnId="{2CDB50B2-2C38-43E0-BA0C-005F9EE890D7}">
      <dgm:prSet/>
      <dgm:spPr>
        <a:xfrm>
          <a:off x="3216592" y="1034745"/>
          <a:ext cx="91440" cy="25322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55633" custLinFactNeighborY="-12806"/>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020AA365-AFFF-409B-87BC-60EAB0D2E317}" type="pres">
      <dgm:prSet presAssocID="{28403435-214C-4F97-8828-80AD252D4008}" presName="bgShapesFlow" presStyleCnt="0"/>
      <dgm:spPr/>
    </dgm:pt>
  </dgm:ptLst>
  <dgm:cxnLst>
    <dgm:cxn modelId="{09566AEA-DC33-4223-AC2D-20C1C3D16A6F}" type="presOf" srcId="{85CFB2EA-96BE-47C5-ADB1-9C20CE151E1B}" destId="{6A9DD03D-7AEF-4163-9296-AD87FDBDC3B6}" srcOrd="0" destOrd="0" presId="urn:microsoft.com/office/officeart/2005/8/layout/hierarchy6"/>
    <dgm:cxn modelId="{1B5DB310-7DE7-4055-900D-43D2D3265C27}" type="presOf" srcId="{250EB5D4-8F6C-4B93-AC7E-CE1EB01102D4}" destId="{64E17BAB-BF4E-47B9-AF08-42A0178ABD8D}"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E7F10DCB-2EF7-4DB0-888C-2DA7C5307D37}" type="presOf" srcId="{54F15E63-7360-486C-8292-161DE48DC16C}" destId="{97FAFB0D-147E-4DF7-B3CC-F7EC615FFE66}"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rgbClr val="FFC000"/>
      </a:solidFill>
    </a:ln>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447116" y="36392"/>
          <a:ext cx="3373217" cy="713245"/>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b="0">
              <a:solidFill>
                <a:sysClr val="windowText" lastClr="000000">
                  <a:hueOff val="0"/>
                  <a:satOff val="0"/>
                  <a:lumOff val="0"/>
                  <a:alphaOff val="0"/>
                </a:sysClr>
              </a:solidFill>
              <a:latin typeface="Calibri" panose="020F0502020204030204"/>
              <a:ea typeface="+mn-ea"/>
              <a:cs typeface="+mn-cs"/>
            </a:rPr>
            <a:t>Socialinių paslaugų ir socialinės paramos teikimo programa</a:t>
          </a:r>
          <a:r>
            <a:rPr lang="lt-LT"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478254" y="1034935"/>
          <a:ext cx="3310940" cy="655978"/>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Gerinti socialinių paslaugų kokybę, pakankamumą ir pasiekiamumą</a:t>
          </a:r>
        </a:p>
      </dgm:t>
    </dgm:pt>
    <dgm:pt modelId="{54F15E63-7360-486C-8292-161DE48DC16C}" type="parTrans" cxnId="{2CDB50B2-2C38-43E0-BA0C-005F9EE890D7}">
      <dgm:prSet/>
      <dgm:spPr>
        <a:xfrm>
          <a:off x="3088005" y="749637"/>
          <a:ext cx="91440" cy="28529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494960" y="1966690"/>
          <a:ext cx="3277528" cy="413760"/>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Didinti socialinę integraciją, mažinti atskirtį </a:t>
          </a:r>
        </a:p>
      </dgm:t>
    </dgm:pt>
    <dgm:pt modelId="{FFF57444-FBE2-43CC-AACF-1BC05443C1B6}" type="parTrans" cxnId="{83625DF2-8F7A-424A-ACA9-98C92EC77314}">
      <dgm:prSet/>
      <dgm:spPr>
        <a:xfrm>
          <a:off x="3088005" y="1690914"/>
          <a:ext cx="91440" cy="275776"/>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320F6230-2D07-4A07-A7A6-8AD0B9C2998E}">
      <dgm:prSet custT="1"/>
      <dgm:spPr>
        <a:xfrm>
          <a:off x="1502187" y="2675271"/>
          <a:ext cx="3263074" cy="429423"/>
        </a:xfrm>
        <a:prstGeom prst="roundRect">
          <a:avLst>
            <a:gd name="adj" fmla="val 10000"/>
          </a:avLst>
        </a:prstGeom>
        <a:solidFill>
          <a:srgbClr val="FFE8CB"/>
        </a:solidFill>
        <a:ln w="12700" cap="flat" cmpd="sng" algn="ctr">
          <a:solidFill>
            <a:srgbClr val="4472C4">
              <a:shade val="80000"/>
              <a:hueOff val="0"/>
              <a:satOff val="0"/>
              <a:lumOff val="0"/>
              <a:alphaOff val="0"/>
            </a:srgbClr>
          </a:solidFill>
          <a:prstDash val="solid"/>
          <a:miter lim="800000"/>
        </a:ln>
        <a:effectLst/>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03-01-03 Kurti vaikui ir šeimai palankią aplinką</a:t>
          </a:r>
        </a:p>
      </dgm:t>
    </dgm:pt>
    <dgm:pt modelId="{E861022A-0DD8-44B9-A1DA-53A8F1B7427C}" type="parTrans" cxnId="{26F80203-A014-4608-AF85-020F11FCF7B0}">
      <dgm:prSet/>
      <dgm:spPr>
        <a:xfrm>
          <a:off x="3088005" y="2380451"/>
          <a:ext cx="91440" cy="294819"/>
        </a:xfrm>
        <a:custGeom>
          <a:avLst/>
          <a:gdLst/>
          <a:ahLst/>
          <a:cxnLst/>
          <a:rect l="0" t="0" r="0" b="0"/>
          <a:pathLst>
            <a:path>
              <a:moveTo>
                <a:pt x="45720" y="0"/>
              </a:moveTo>
              <a:lnTo>
                <a:pt x="45720" y="294819"/>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endParaRPr lang="lt-LT"/>
        </a:p>
      </dgm:t>
    </dgm:pt>
    <dgm:pt modelId="{53375903-102F-4854-907F-FE39E48A0129}" type="sibTrans" cxnId="{26F80203-A014-4608-AF85-020F11FCF7B0}">
      <dgm:prSet/>
      <dgm:spPr/>
      <dgm:t>
        <a:bodyPr/>
        <a:lstStyle/>
        <a:p>
          <a:endParaRPr lang="lt-LT"/>
        </a:p>
      </dgm:t>
    </dgm:pt>
    <dgm:pt modelId="{89E667E9-937E-42C8-A5B0-4271DFBFC003}">
      <dgm:prSet custT="1"/>
      <dgm:spPr>
        <a:xfrm>
          <a:off x="1479565" y="3389992"/>
          <a:ext cx="3308319" cy="631264"/>
        </a:xfrm>
        <a:prstGeom prst="roundRect">
          <a:avLst>
            <a:gd name="adj" fmla="val 10000"/>
          </a:avLst>
        </a:prstGeom>
        <a:solidFill>
          <a:srgbClr val="FFE8CB"/>
        </a:solidFill>
        <a:ln w="12700" cap="flat" cmpd="sng" algn="ctr">
          <a:solidFill>
            <a:srgbClr val="4472C4">
              <a:shade val="80000"/>
              <a:hueOff val="0"/>
              <a:satOff val="0"/>
              <a:lumOff val="0"/>
              <a:alphaOff val="0"/>
            </a:srgbClr>
          </a:solidFill>
          <a:prstDash val="solid"/>
          <a:miter lim="800000"/>
        </a:ln>
        <a:effectLst/>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03-02-01 Gerinti švietimo paslaugų kokybę, pakankamumą ir pasiekiamumą </a:t>
          </a:r>
        </a:p>
      </dgm:t>
    </dgm:pt>
    <dgm:pt modelId="{EF4E315F-D40D-4B93-891B-A2006D228EEA}" type="parTrans" cxnId="{9CFDC550-A15C-42A5-B146-81537B8A0B98}">
      <dgm:prSet/>
      <dgm:spPr>
        <a:xfrm>
          <a:off x="3088005" y="3104694"/>
          <a:ext cx="91440" cy="285298"/>
        </a:xfrm>
        <a:custGeom>
          <a:avLst/>
          <a:gdLst/>
          <a:ahLst/>
          <a:cxnLst/>
          <a:rect l="0" t="0" r="0" b="0"/>
          <a:pathLst>
            <a:path>
              <a:moveTo>
                <a:pt x="45720" y="0"/>
              </a:moveTo>
              <a:lnTo>
                <a:pt x="45720" y="285298"/>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endParaRPr lang="lt-LT"/>
        </a:p>
      </dgm:t>
    </dgm:pt>
    <dgm:pt modelId="{C63707C3-8321-41F6-8986-A46BF94BF30D}" type="sibTrans" cxnId="{9CFDC550-A15C-42A5-B146-81537B8A0B98}">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91971"/>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custLinFactNeighborY="-1335"/>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AB3B6DBA-86A3-4F52-B2C4-3C7955C9888E}" type="pres">
      <dgm:prSet presAssocID="{E861022A-0DD8-44B9-A1DA-53A8F1B7427C}" presName="Name19" presStyleLbl="parChTrans1D4" presStyleIdx="0" presStyleCnt="2"/>
      <dgm:spPr/>
      <dgm:t>
        <a:bodyPr/>
        <a:lstStyle/>
        <a:p>
          <a:endParaRPr lang="en-US"/>
        </a:p>
      </dgm:t>
    </dgm:pt>
    <dgm:pt modelId="{47BEECB8-5EB3-4721-B9BD-75804C14C2AA}" type="pres">
      <dgm:prSet presAssocID="{320F6230-2D07-4A07-A7A6-8AD0B9C2998E}" presName="Name21" presStyleCnt="0"/>
      <dgm:spPr/>
    </dgm:pt>
    <dgm:pt modelId="{44C3CEB0-E6E6-4228-A88D-4D5D1FDCA370}" type="pres">
      <dgm:prSet presAssocID="{320F6230-2D07-4A07-A7A6-8AD0B9C2998E}" presName="level2Shape" presStyleLbl="node4" presStyleIdx="0" presStyleCnt="2" custScaleX="304998" custScaleY="60207"/>
      <dgm:spPr/>
      <dgm:t>
        <a:bodyPr/>
        <a:lstStyle/>
        <a:p>
          <a:endParaRPr lang="en-US"/>
        </a:p>
      </dgm:t>
    </dgm:pt>
    <dgm:pt modelId="{4C74AEAE-55BC-4268-8293-3E5C41E056AE}" type="pres">
      <dgm:prSet presAssocID="{320F6230-2D07-4A07-A7A6-8AD0B9C2998E}" presName="hierChild3" presStyleCnt="0"/>
      <dgm:spPr/>
    </dgm:pt>
    <dgm:pt modelId="{DBC373F6-4E96-4306-82E4-013452A600CA}" type="pres">
      <dgm:prSet presAssocID="{EF4E315F-D40D-4B93-891B-A2006D228EEA}" presName="Name19" presStyleLbl="parChTrans1D4" presStyleIdx="1" presStyleCnt="2"/>
      <dgm:spPr/>
      <dgm:t>
        <a:bodyPr/>
        <a:lstStyle/>
        <a:p>
          <a:endParaRPr lang="en-US"/>
        </a:p>
      </dgm:t>
    </dgm:pt>
    <dgm:pt modelId="{0822BF86-F6E4-4887-9480-A2904BB11C3E}" type="pres">
      <dgm:prSet presAssocID="{89E667E9-937E-42C8-A5B0-4271DFBFC003}" presName="Name21" presStyleCnt="0"/>
      <dgm:spPr/>
    </dgm:pt>
    <dgm:pt modelId="{BCC7BD09-FF59-499D-9135-12823388CF92}" type="pres">
      <dgm:prSet presAssocID="{89E667E9-937E-42C8-A5B0-4271DFBFC003}" presName="level2Shape" presStyleLbl="node4" presStyleIdx="1" presStyleCnt="2" custScaleX="309227" custScaleY="88506"/>
      <dgm:spPr/>
      <dgm:t>
        <a:bodyPr/>
        <a:lstStyle/>
        <a:p>
          <a:endParaRPr lang="en-US"/>
        </a:p>
      </dgm:t>
    </dgm:pt>
    <dgm:pt modelId="{5C6EC13D-B1BC-486F-8BE8-9B23F251444B}" type="pres">
      <dgm:prSet presAssocID="{89E667E9-937E-42C8-A5B0-4271DFBFC003}" presName="hierChild3" presStyleCnt="0"/>
      <dgm:spPr/>
    </dgm:pt>
    <dgm:pt modelId="{020AA365-AFFF-409B-87BC-60EAB0D2E317}" type="pres">
      <dgm:prSet presAssocID="{28403435-214C-4F97-8828-80AD252D4008}" presName="bgShapesFlow" presStyleCnt="0"/>
      <dgm:spPr/>
    </dgm:pt>
  </dgm:ptLst>
  <dgm:cxnLst>
    <dgm:cxn modelId="{E7F10DCB-2EF7-4DB0-888C-2DA7C5307D37}" type="presOf" srcId="{54F15E63-7360-486C-8292-161DE48DC16C}" destId="{97FAFB0D-147E-4DF7-B3CC-F7EC615FFE66}"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6F80203-A014-4608-AF85-020F11FCF7B0}" srcId="{B44235B9-A951-48B9-9A26-8BE7B25B3475}" destId="{320F6230-2D07-4A07-A7A6-8AD0B9C2998E}" srcOrd="0" destOrd="0" parTransId="{E861022A-0DD8-44B9-A1DA-53A8F1B7427C}" sibTransId="{53375903-102F-4854-907F-FE39E48A0129}"/>
    <dgm:cxn modelId="{9D96091D-947A-49F6-ABE0-A9891E23FF56}" type="presOf" srcId="{320F6230-2D07-4A07-A7A6-8AD0B9C2998E}" destId="{44C3CEB0-E6E6-4228-A88D-4D5D1FDCA370}"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1B5DB310-7DE7-4055-900D-43D2D3265C27}" type="presOf" srcId="{250EB5D4-8F6C-4B93-AC7E-CE1EB01102D4}" destId="{64E17BAB-BF4E-47B9-AF08-42A0178ABD8D}" srcOrd="0" destOrd="0" presId="urn:microsoft.com/office/officeart/2005/8/layout/hierarchy6"/>
    <dgm:cxn modelId="{85386903-17DD-4BE0-971D-2965C1126168}" type="presOf" srcId="{EF4E315F-D40D-4B93-891B-A2006D228EEA}" destId="{DBC373F6-4E96-4306-82E4-013452A600CA}"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2B682878-4117-413F-AE0F-853D1DF3F6B0}" type="presOf" srcId="{B44235B9-A951-48B9-9A26-8BE7B25B3475}" destId="{AF2056C7-3053-4223-B15A-8F4EB886DCD7}" srcOrd="0" destOrd="0" presId="urn:microsoft.com/office/officeart/2005/8/layout/hierarchy6"/>
    <dgm:cxn modelId="{09566AEA-DC33-4223-AC2D-20C1C3D16A6F}" type="presOf" srcId="{85CFB2EA-96BE-47C5-ADB1-9C20CE151E1B}" destId="{6A9DD03D-7AEF-4163-9296-AD87FDBDC3B6}" srcOrd="0" destOrd="0" presId="urn:microsoft.com/office/officeart/2005/8/layout/hierarchy6"/>
    <dgm:cxn modelId="{9CFDC550-A15C-42A5-B146-81537B8A0B98}" srcId="{320F6230-2D07-4A07-A7A6-8AD0B9C2998E}" destId="{89E667E9-937E-42C8-A5B0-4271DFBFC003}" srcOrd="0" destOrd="0" parTransId="{EF4E315F-D40D-4B93-891B-A2006D228EEA}" sibTransId="{C63707C3-8321-41F6-8986-A46BF94BF30D}"/>
    <dgm:cxn modelId="{EAB700FD-D945-43CB-820D-53CD1A229A4B}" type="presOf" srcId="{89E667E9-937E-42C8-A5B0-4271DFBFC003}" destId="{BCC7BD09-FF59-499D-9135-12823388CF92}" srcOrd="0" destOrd="0" presId="urn:microsoft.com/office/officeart/2005/8/layout/hierarchy6"/>
    <dgm:cxn modelId="{44281A9D-1232-4285-A5A9-BD375506559D}" type="presOf" srcId="{E861022A-0DD8-44B9-A1DA-53A8F1B7427C}" destId="{AB3B6DBA-86A3-4F52-B2C4-3C7955C9888E}"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F71815F1-06FD-4276-BAAF-D4FD4F7460AA}" type="presParOf" srcId="{94213339-49CB-4392-8B02-EA023DE1F363}" destId="{AB3B6DBA-86A3-4F52-B2C4-3C7955C9888E}" srcOrd="0" destOrd="0" presId="urn:microsoft.com/office/officeart/2005/8/layout/hierarchy6"/>
    <dgm:cxn modelId="{BF8D79FF-F3EB-44CF-B8C2-3D8C892527ED}" type="presParOf" srcId="{94213339-49CB-4392-8B02-EA023DE1F363}" destId="{47BEECB8-5EB3-4721-B9BD-75804C14C2AA}" srcOrd="1" destOrd="0" presId="urn:microsoft.com/office/officeart/2005/8/layout/hierarchy6"/>
    <dgm:cxn modelId="{AD592F2A-7299-466C-9833-302ED801FF31}" type="presParOf" srcId="{47BEECB8-5EB3-4721-B9BD-75804C14C2AA}" destId="{44C3CEB0-E6E6-4228-A88D-4D5D1FDCA370}" srcOrd="0" destOrd="0" presId="urn:microsoft.com/office/officeart/2005/8/layout/hierarchy6"/>
    <dgm:cxn modelId="{3A23EE6D-6D37-4433-AEE2-126284F8FA22}" type="presParOf" srcId="{47BEECB8-5EB3-4721-B9BD-75804C14C2AA}" destId="{4C74AEAE-55BC-4268-8293-3E5C41E056AE}" srcOrd="1" destOrd="0" presId="urn:microsoft.com/office/officeart/2005/8/layout/hierarchy6"/>
    <dgm:cxn modelId="{02BC0D1B-E570-4167-ABCE-BFBB12902060}" type="presParOf" srcId="{4C74AEAE-55BC-4268-8293-3E5C41E056AE}" destId="{DBC373F6-4E96-4306-82E4-013452A600CA}" srcOrd="0" destOrd="0" presId="urn:microsoft.com/office/officeart/2005/8/layout/hierarchy6"/>
    <dgm:cxn modelId="{B272548F-2FC0-462C-BC2F-B23C53A263FC}" type="presParOf" srcId="{4C74AEAE-55BC-4268-8293-3E5C41E056AE}" destId="{0822BF86-F6E4-4887-9480-A2904BB11C3E}" srcOrd="1" destOrd="0" presId="urn:microsoft.com/office/officeart/2005/8/layout/hierarchy6"/>
    <dgm:cxn modelId="{BB0160E3-929F-4A3B-8BCE-34521BDA2354}" type="presParOf" srcId="{0822BF86-F6E4-4887-9480-A2904BB11C3E}" destId="{BCC7BD09-FF59-499D-9135-12823388CF92}" srcOrd="0" destOrd="0" presId="urn:microsoft.com/office/officeart/2005/8/layout/hierarchy6"/>
    <dgm:cxn modelId="{7925A2BC-513A-4A27-BAD8-FBD5B17AE7BD}" type="presParOf" srcId="{0822BF86-F6E4-4887-9480-A2904BB11C3E}" destId="{5C6EC13D-B1BC-486F-8BE8-9B23F251444B}"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prstGeom prst="roundRect">
          <a:avLst>
            <a:gd name="adj" fmla="val 10000"/>
          </a:avLst>
        </a:prstGeom>
        <a:solidFill>
          <a:srgbClr val="F4B183"/>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b="0"/>
            <a:t>05 Gyventojų turiningo laisvalaikio užtikrinimo, bendruomeniškumo ir veiklumo skatinimo programa </a:t>
          </a:r>
          <a:endParaRPr lang="lt-LT"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200" b="0"/>
            <a:t>Gerinti kultūros, turizmo, laisvalaikio paslaugų kokybę, pakankamumą ir pasiekiamumą</a:t>
          </a:r>
          <a:endPar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4F15E63-7360-486C-8292-161DE48DC16C}" type="parTrans" cxnId="{2CDB50B2-2C38-43E0-BA0C-005F9EE890D7}">
      <dgm:prSet/>
      <dgm:spPr>
        <a:xfrm>
          <a:off x="2924175" y="63963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Skatinti gyventojų fizinj aktyvumą, ugdyti sportuojančią visuomenę</a:t>
          </a:r>
        </a:p>
      </dgm:t>
    </dgm:pt>
    <dgm:pt modelId="{FFF57444-FBE2-43CC-AACF-1BC05443C1B6}" type="parTrans" cxnId="{83625DF2-8F7A-424A-ACA9-98C92EC77314}">
      <dgm:prSet/>
      <dgm:spPr>
        <a:xfrm>
          <a:off x="2924175" y="119175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320F6230-2D07-4A07-A7A6-8AD0B9C2998E}">
      <dgm:prSet custT="1"/>
      <dgm:spPr>
        <a:solidFill>
          <a:srgbClr val="FFE8CB"/>
        </a:solidFill>
      </dgm:spPr>
      <dgm:t>
        <a:bodyPr/>
        <a:lstStyle/>
        <a:p>
          <a:r>
            <a:rPr lang="lt-LT" sz="1200">
              <a:latin typeface="Times New Roman" panose="02020603050405020304" pitchFamily="18" charset="0"/>
              <a:cs typeface="Times New Roman" panose="02020603050405020304" pitchFamily="18" charset="0"/>
            </a:rPr>
            <a:t>05-01-03 Pritaikyti gamtos, kultūros paveldo ir kitus objektus lankytojams, švietimui, kultūrai, edukacijai bei kitų paslaugų teikimui</a:t>
          </a:r>
        </a:p>
      </dgm:t>
    </dgm:pt>
    <dgm:pt modelId="{E861022A-0DD8-44B9-A1DA-53A8F1B7427C}" type="parTrans" cxnId="{26F80203-A014-4608-AF85-020F11FCF7B0}">
      <dgm:prSet/>
      <dgm:spPr/>
      <dgm:t>
        <a:bodyPr/>
        <a:lstStyle/>
        <a:p>
          <a:endParaRPr lang="lt-LT"/>
        </a:p>
      </dgm:t>
    </dgm:pt>
    <dgm:pt modelId="{53375903-102F-4854-907F-FE39E48A0129}" type="sibTrans" cxnId="{26F80203-A014-4608-AF85-020F11FCF7B0}">
      <dgm:prSet/>
      <dgm:spPr/>
      <dgm:t>
        <a:bodyPr/>
        <a:lstStyle/>
        <a:p>
          <a:endParaRPr lang="lt-LT"/>
        </a:p>
      </dgm:t>
    </dgm:pt>
    <dgm:pt modelId="{89E667E9-937E-42C8-A5B0-4271DFBFC003}">
      <dgm:prSet custT="1"/>
      <dgm:spPr>
        <a:solidFill>
          <a:srgbClr val="FFE8CB"/>
        </a:solidFill>
      </dgm:spPr>
      <dgm:t>
        <a:bodyPr/>
        <a:lstStyle/>
        <a:p>
          <a:r>
            <a:rPr lang="lt-LT" sz="1200">
              <a:latin typeface="Times New Roman" panose="02020603050405020304" pitchFamily="18" charset="0"/>
              <a:cs typeface="Times New Roman" panose="02020603050405020304" pitchFamily="18" charset="0"/>
            </a:rPr>
            <a:t>05-01-04 Skatinti rajono gyventojų kompetencijų plėtojimą, bendruomeniškumą ir veiklumą.</a:t>
          </a:r>
        </a:p>
      </dgm:t>
    </dgm:pt>
    <dgm:pt modelId="{EF4E315F-D40D-4B93-891B-A2006D228EEA}" type="parTrans" cxnId="{9CFDC550-A15C-42A5-B146-81537B8A0B98}">
      <dgm:prSet/>
      <dgm:spPr/>
      <dgm:t>
        <a:bodyPr/>
        <a:lstStyle/>
        <a:p>
          <a:endParaRPr lang="lt-LT"/>
        </a:p>
      </dgm:t>
    </dgm:pt>
    <dgm:pt modelId="{C63707C3-8321-41F6-8986-A46BF94BF30D}" type="sibTrans" cxnId="{9CFDC550-A15C-42A5-B146-81537B8A0B98}">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91971"/>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AB3B6DBA-86A3-4F52-B2C4-3C7955C9888E}" type="pres">
      <dgm:prSet presAssocID="{E861022A-0DD8-44B9-A1DA-53A8F1B7427C}" presName="Name19" presStyleLbl="parChTrans1D4" presStyleIdx="0" presStyleCnt="2"/>
      <dgm:spPr/>
      <dgm:t>
        <a:bodyPr/>
        <a:lstStyle/>
        <a:p>
          <a:endParaRPr lang="en-US"/>
        </a:p>
      </dgm:t>
    </dgm:pt>
    <dgm:pt modelId="{47BEECB8-5EB3-4721-B9BD-75804C14C2AA}" type="pres">
      <dgm:prSet presAssocID="{320F6230-2D07-4A07-A7A6-8AD0B9C2998E}" presName="Name21" presStyleCnt="0"/>
      <dgm:spPr/>
    </dgm:pt>
    <dgm:pt modelId="{44C3CEB0-E6E6-4228-A88D-4D5D1FDCA370}" type="pres">
      <dgm:prSet presAssocID="{320F6230-2D07-4A07-A7A6-8AD0B9C2998E}" presName="level2Shape" presStyleLbl="node4" presStyleIdx="0" presStyleCnt="2" custScaleX="304998" custScaleY="111891"/>
      <dgm:spPr/>
      <dgm:t>
        <a:bodyPr/>
        <a:lstStyle/>
        <a:p>
          <a:endParaRPr lang="en-US"/>
        </a:p>
      </dgm:t>
    </dgm:pt>
    <dgm:pt modelId="{4C74AEAE-55BC-4268-8293-3E5C41E056AE}" type="pres">
      <dgm:prSet presAssocID="{320F6230-2D07-4A07-A7A6-8AD0B9C2998E}" presName="hierChild3" presStyleCnt="0"/>
      <dgm:spPr/>
    </dgm:pt>
    <dgm:pt modelId="{DBC373F6-4E96-4306-82E4-013452A600CA}" type="pres">
      <dgm:prSet presAssocID="{EF4E315F-D40D-4B93-891B-A2006D228EEA}" presName="Name19" presStyleLbl="parChTrans1D4" presStyleIdx="1" presStyleCnt="2"/>
      <dgm:spPr/>
      <dgm:t>
        <a:bodyPr/>
        <a:lstStyle/>
        <a:p>
          <a:endParaRPr lang="en-US"/>
        </a:p>
      </dgm:t>
    </dgm:pt>
    <dgm:pt modelId="{0822BF86-F6E4-4887-9480-A2904BB11C3E}" type="pres">
      <dgm:prSet presAssocID="{89E667E9-937E-42C8-A5B0-4271DFBFC003}" presName="Name21" presStyleCnt="0"/>
      <dgm:spPr/>
    </dgm:pt>
    <dgm:pt modelId="{BCC7BD09-FF59-499D-9135-12823388CF92}" type="pres">
      <dgm:prSet presAssocID="{89E667E9-937E-42C8-A5B0-4271DFBFC003}" presName="level2Shape" presStyleLbl="node4" presStyleIdx="1" presStyleCnt="2" custScaleX="309227" custScaleY="88506"/>
      <dgm:spPr/>
      <dgm:t>
        <a:bodyPr/>
        <a:lstStyle/>
        <a:p>
          <a:endParaRPr lang="en-US"/>
        </a:p>
      </dgm:t>
    </dgm:pt>
    <dgm:pt modelId="{5C6EC13D-B1BC-486F-8BE8-9B23F251444B}" type="pres">
      <dgm:prSet presAssocID="{89E667E9-937E-42C8-A5B0-4271DFBFC003}" presName="hierChild3" presStyleCnt="0"/>
      <dgm:spPr/>
    </dgm:pt>
    <dgm:pt modelId="{020AA365-AFFF-409B-87BC-60EAB0D2E317}" type="pres">
      <dgm:prSet presAssocID="{28403435-214C-4F97-8828-80AD252D4008}" presName="bgShapesFlow" presStyleCnt="0"/>
      <dgm:spPr/>
    </dgm:pt>
  </dgm:ptLst>
  <dgm:cxnLst>
    <dgm:cxn modelId="{E7F10DCB-2EF7-4DB0-888C-2DA7C5307D37}" type="presOf" srcId="{54F15E63-7360-486C-8292-161DE48DC16C}" destId="{97FAFB0D-147E-4DF7-B3CC-F7EC615FFE66}"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6F80203-A014-4608-AF85-020F11FCF7B0}" srcId="{B44235B9-A951-48B9-9A26-8BE7B25B3475}" destId="{320F6230-2D07-4A07-A7A6-8AD0B9C2998E}" srcOrd="0" destOrd="0" parTransId="{E861022A-0DD8-44B9-A1DA-53A8F1B7427C}" sibTransId="{53375903-102F-4854-907F-FE39E48A0129}"/>
    <dgm:cxn modelId="{9D96091D-947A-49F6-ABE0-A9891E23FF56}" type="presOf" srcId="{320F6230-2D07-4A07-A7A6-8AD0B9C2998E}" destId="{44C3CEB0-E6E6-4228-A88D-4D5D1FDCA370}"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1B5DB310-7DE7-4055-900D-43D2D3265C27}" type="presOf" srcId="{250EB5D4-8F6C-4B93-AC7E-CE1EB01102D4}" destId="{64E17BAB-BF4E-47B9-AF08-42A0178ABD8D}" srcOrd="0" destOrd="0" presId="urn:microsoft.com/office/officeart/2005/8/layout/hierarchy6"/>
    <dgm:cxn modelId="{85386903-17DD-4BE0-971D-2965C1126168}" type="presOf" srcId="{EF4E315F-D40D-4B93-891B-A2006D228EEA}" destId="{DBC373F6-4E96-4306-82E4-013452A600CA}"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2B682878-4117-413F-AE0F-853D1DF3F6B0}" type="presOf" srcId="{B44235B9-A951-48B9-9A26-8BE7B25B3475}" destId="{AF2056C7-3053-4223-B15A-8F4EB886DCD7}" srcOrd="0" destOrd="0" presId="urn:microsoft.com/office/officeart/2005/8/layout/hierarchy6"/>
    <dgm:cxn modelId="{09566AEA-DC33-4223-AC2D-20C1C3D16A6F}" type="presOf" srcId="{85CFB2EA-96BE-47C5-ADB1-9C20CE151E1B}" destId="{6A9DD03D-7AEF-4163-9296-AD87FDBDC3B6}" srcOrd="0" destOrd="0" presId="urn:microsoft.com/office/officeart/2005/8/layout/hierarchy6"/>
    <dgm:cxn modelId="{9CFDC550-A15C-42A5-B146-81537B8A0B98}" srcId="{320F6230-2D07-4A07-A7A6-8AD0B9C2998E}" destId="{89E667E9-937E-42C8-A5B0-4271DFBFC003}" srcOrd="0" destOrd="0" parTransId="{EF4E315F-D40D-4B93-891B-A2006D228EEA}" sibTransId="{C63707C3-8321-41F6-8986-A46BF94BF30D}"/>
    <dgm:cxn modelId="{EAB700FD-D945-43CB-820D-53CD1A229A4B}" type="presOf" srcId="{89E667E9-937E-42C8-A5B0-4271DFBFC003}" destId="{BCC7BD09-FF59-499D-9135-12823388CF92}" srcOrd="0" destOrd="0" presId="urn:microsoft.com/office/officeart/2005/8/layout/hierarchy6"/>
    <dgm:cxn modelId="{44281A9D-1232-4285-A5A9-BD375506559D}" type="presOf" srcId="{E861022A-0DD8-44B9-A1DA-53A8F1B7427C}" destId="{AB3B6DBA-86A3-4F52-B2C4-3C7955C9888E}"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F71815F1-06FD-4276-BAAF-D4FD4F7460AA}" type="presParOf" srcId="{94213339-49CB-4392-8B02-EA023DE1F363}" destId="{AB3B6DBA-86A3-4F52-B2C4-3C7955C9888E}" srcOrd="0" destOrd="0" presId="urn:microsoft.com/office/officeart/2005/8/layout/hierarchy6"/>
    <dgm:cxn modelId="{BF8D79FF-F3EB-44CF-B8C2-3D8C892527ED}" type="presParOf" srcId="{94213339-49CB-4392-8B02-EA023DE1F363}" destId="{47BEECB8-5EB3-4721-B9BD-75804C14C2AA}" srcOrd="1" destOrd="0" presId="urn:microsoft.com/office/officeart/2005/8/layout/hierarchy6"/>
    <dgm:cxn modelId="{AD592F2A-7299-466C-9833-302ED801FF31}" type="presParOf" srcId="{47BEECB8-5EB3-4721-B9BD-75804C14C2AA}" destId="{44C3CEB0-E6E6-4228-A88D-4D5D1FDCA370}" srcOrd="0" destOrd="0" presId="urn:microsoft.com/office/officeart/2005/8/layout/hierarchy6"/>
    <dgm:cxn modelId="{3A23EE6D-6D37-4433-AEE2-126284F8FA22}" type="presParOf" srcId="{47BEECB8-5EB3-4721-B9BD-75804C14C2AA}" destId="{4C74AEAE-55BC-4268-8293-3E5C41E056AE}" srcOrd="1" destOrd="0" presId="urn:microsoft.com/office/officeart/2005/8/layout/hierarchy6"/>
    <dgm:cxn modelId="{02BC0D1B-E570-4167-ABCE-BFBB12902060}" type="presParOf" srcId="{4C74AEAE-55BC-4268-8293-3E5C41E056AE}" destId="{DBC373F6-4E96-4306-82E4-013452A600CA}" srcOrd="0" destOrd="0" presId="urn:microsoft.com/office/officeart/2005/8/layout/hierarchy6"/>
    <dgm:cxn modelId="{B272548F-2FC0-462C-BC2F-B23C53A263FC}" type="presParOf" srcId="{4C74AEAE-55BC-4268-8293-3E5C41E056AE}" destId="{0822BF86-F6E4-4887-9480-A2904BB11C3E}" srcOrd="1" destOrd="0" presId="urn:microsoft.com/office/officeart/2005/8/layout/hierarchy6"/>
    <dgm:cxn modelId="{BB0160E3-929F-4A3B-8BCE-34521BDA2354}" type="presParOf" srcId="{0822BF86-F6E4-4887-9480-A2904BB11C3E}" destId="{BCC7BD09-FF59-499D-9135-12823388CF92}" srcOrd="0" destOrd="0" presId="urn:microsoft.com/office/officeart/2005/8/layout/hierarchy6"/>
    <dgm:cxn modelId="{7925A2BC-513A-4A27-BAD8-FBD5B17AE7BD}" type="presParOf" srcId="{0822BF86-F6E4-4887-9480-A2904BB11C3E}" destId="{5C6EC13D-B1BC-486F-8BE8-9B23F251444B}"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29"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prstGeom prst="roundRect">
          <a:avLst>
            <a:gd name="adj" fmla="val 10000"/>
          </a:avLst>
        </a:prstGeom>
        <a:solidFill>
          <a:srgbClr val="F4B183"/>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b="0"/>
            <a:t>06 Saugios, švarios ir patogios gyvenamosios aplinkos užtikrinimo programa</a:t>
          </a:r>
          <a:endParaRPr lang="lt-LT"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200" b="0"/>
            <a:t>Pašalinti rizikos veiksnius, keliančius grėsmę gamtinei aplinkai</a:t>
          </a:r>
          <a:endPar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4F15E63-7360-486C-8292-161DE48DC16C}" type="parTrans" cxnId="{2CDB50B2-2C38-43E0-BA0C-005F9EE890D7}">
      <dgm:prSet/>
      <dgm:spPr>
        <a:xfrm>
          <a:off x="2924175" y="63963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Išsaugoti natūralų rajono kraštovaizdį, augaliją ir gyvūniją</a:t>
          </a:r>
        </a:p>
      </dgm:t>
    </dgm:pt>
    <dgm:pt modelId="{FFF57444-FBE2-43CC-AACF-1BC05443C1B6}" type="parTrans" cxnId="{83625DF2-8F7A-424A-ACA9-98C92EC77314}">
      <dgm:prSet/>
      <dgm:spPr>
        <a:xfrm>
          <a:off x="2924175" y="119175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320F6230-2D07-4A07-A7A6-8AD0B9C2998E}">
      <dgm:prSet custT="1"/>
      <dgm:spPr>
        <a:solidFill>
          <a:srgbClr val="FFE8CB"/>
        </a:solidFill>
      </dgm:spPr>
      <dgm:t>
        <a:bodyPr/>
        <a:lstStyle/>
        <a:p>
          <a:r>
            <a:rPr lang="lt-LT" sz="1200">
              <a:latin typeface="Times New Roman" panose="02020603050405020304" pitchFamily="18" charset="0"/>
              <a:cs typeface="Times New Roman" panose="02020603050405020304" pitchFamily="18" charset="0"/>
            </a:rPr>
            <a:t>06-01-03 Vykdyti kryptingą visuomenės sveikatinimo veiklą</a:t>
          </a:r>
        </a:p>
      </dgm:t>
    </dgm:pt>
    <dgm:pt modelId="{E861022A-0DD8-44B9-A1DA-53A8F1B7427C}" type="parTrans" cxnId="{26F80203-A014-4608-AF85-020F11FCF7B0}">
      <dgm:prSet/>
      <dgm:spPr/>
      <dgm:t>
        <a:bodyPr/>
        <a:lstStyle/>
        <a:p>
          <a:endParaRPr lang="lt-LT"/>
        </a:p>
      </dgm:t>
    </dgm:pt>
    <dgm:pt modelId="{53375903-102F-4854-907F-FE39E48A0129}" type="sibTrans" cxnId="{26F80203-A014-4608-AF85-020F11FCF7B0}">
      <dgm:prSet/>
      <dgm:spPr/>
      <dgm:t>
        <a:bodyPr/>
        <a:lstStyle/>
        <a:p>
          <a:endParaRPr lang="lt-LT"/>
        </a:p>
      </dgm:t>
    </dgm:pt>
    <dgm:pt modelId="{89E667E9-937E-42C8-A5B0-4271DFBFC003}">
      <dgm:prSet custT="1"/>
      <dgm:spPr>
        <a:solidFill>
          <a:srgbClr val="FFE8CB"/>
        </a:solidFill>
      </dgm:spPr>
      <dgm:t>
        <a:bodyPr/>
        <a:lstStyle/>
        <a:p>
          <a:r>
            <a:rPr lang="lt-LT" sz="1200">
              <a:latin typeface="Times New Roman" panose="02020603050405020304" pitchFamily="18" charset="0"/>
              <a:cs typeface="Times New Roman" panose="02020603050405020304" pitchFamily="18" charset="0"/>
            </a:rPr>
            <a:t>06-01-04 Didinti asmens sveikatos priežiūros paslaugų prieinamumą ir gerinti kokybę</a:t>
          </a:r>
        </a:p>
      </dgm:t>
    </dgm:pt>
    <dgm:pt modelId="{EF4E315F-D40D-4B93-891B-A2006D228EEA}" type="parTrans" cxnId="{9CFDC550-A15C-42A5-B146-81537B8A0B98}">
      <dgm:prSet/>
      <dgm:spPr/>
      <dgm:t>
        <a:bodyPr/>
        <a:lstStyle/>
        <a:p>
          <a:endParaRPr lang="lt-LT"/>
        </a:p>
      </dgm:t>
    </dgm:pt>
    <dgm:pt modelId="{C63707C3-8321-41F6-8986-A46BF94BF30D}" type="sibTrans" cxnId="{9CFDC550-A15C-42A5-B146-81537B8A0B98}">
      <dgm:prSet/>
      <dgm:spPr/>
      <dgm:t>
        <a:bodyPr/>
        <a:lstStyle/>
        <a:p>
          <a:endParaRPr lang="lt-LT"/>
        </a:p>
      </dgm:t>
    </dgm:pt>
    <dgm:pt modelId="{89DBA117-AEC6-43A8-A9FD-91B697CB6437}">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06-01-05 Prižiūrėti rajono infrastruktūros objektus ir užtikrinti nepertraukiamą komunalinių paslaugų teikimą</a:t>
          </a:r>
          <a:endParaRPr lang="lt-LT" sz="1100">
            <a:solidFill>
              <a:srgbClr val="99CCFF"/>
            </a:solidFill>
          </a:endParaRPr>
        </a:p>
      </dgm:t>
    </dgm:pt>
    <dgm:pt modelId="{BC16A056-8C41-41AB-81D0-D57BB4944BD0}" type="parTrans" cxnId="{621985A2-E619-4FA2-BC8B-E9D1A6C819BC}">
      <dgm:prSet/>
      <dgm:spPr/>
      <dgm:t>
        <a:bodyPr/>
        <a:lstStyle/>
        <a:p>
          <a:endParaRPr lang="lt-LT"/>
        </a:p>
      </dgm:t>
    </dgm:pt>
    <dgm:pt modelId="{95297CE6-1927-478A-9E0A-7301E815AC52}" type="sibTrans" cxnId="{621985A2-E619-4FA2-BC8B-E9D1A6C819BC}">
      <dgm:prSet/>
      <dgm:spPr/>
      <dgm:t>
        <a:bodyPr/>
        <a:lstStyle/>
        <a:p>
          <a:endParaRPr lang="lt-LT"/>
        </a:p>
      </dgm:t>
    </dgm:pt>
    <dgm:pt modelId="{89982471-C316-4BD4-AE7C-D05DF3D15F46}">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06-01-06 Užtikrinti viešąją tvarką ir viešąjį saugumą</a:t>
          </a:r>
          <a:endParaRPr lang="lt-LT" sz="1100"/>
        </a:p>
      </dgm:t>
    </dgm:pt>
    <dgm:pt modelId="{9AE17191-2123-40D0-AF02-AA6314F5A125}" type="parTrans" cxnId="{EAA42F82-3BA7-4E05-AAE7-0BB015563538}">
      <dgm:prSet/>
      <dgm:spPr/>
      <dgm:t>
        <a:bodyPr/>
        <a:lstStyle/>
        <a:p>
          <a:endParaRPr lang="lt-LT"/>
        </a:p>
      </dgm:t>
    </dgm:pt>
    <dgm:pt modelId="{7CF86FC4-1F2C-4A8B-8410-CA39CFE5E13D}" type="sibTrans" cxnId="{EAA42F82-3BA7-4E05-AAE7-0BB015563538}">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91971"/>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120736"/>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AB3B6DBA-86A3-4F52-B2C4-3C7955C9888E}" type="pres">
      <dgm:prSet presAssocID="{E861022A-0DD8-44B9-A1DA-53A8F1B7427C}" presName="Name19" presStyleLbl="parChTrans1D4" presStyleIdx="0" presStyleCnt="4"/>
      <dgm:spPr/>
      <dgm:t>
        <a:bodyPr/>
        <a:lstStyle/>
        <a:p>
          <a:endParaRPr lang="en-US"/>
        </a:p>
      </dgm:t>
    </dgm:pt>
    <dgm:pt modelId="{47BEECB8-5EB3-4721-B9BD-75804C14C2AA}" type="pres">
      <dgm:prSet presAssocID="{320F6230-2D07-4A07-A7A6-8AD0B9C2998E}" presName="Name21" presStyleCnt="0"/>
      <dgm:spPr/>
    </dgm:pt>
    <dgm:pt modelId="{44C3CEB0-E6E6-4228-A88D-4D5D1FDCA370}" type="pres">
      <dgm:prSet presAssocID="{320F6230-2D07-4A07-A7A6-8AD0B9C2998E}" presName="level2Shape" presStyleLbl="node4" presStyleIdx="0" presStyleCnt="4" custScaleX="304998" custScaleY="111891"/>
      <dgm:spPr/>
      <dgm:t>
        <a:bodyPr/>
        <a:lstStyle/>
        <a:p>
          <a:endParaRPr lang="en-US"/>
        </a:p>
      </dgm:t>
    </dgm:pt>
    <dgm:pt modelId="{4C74AEAE-55BC-4268-8293-3E5C41E056AE}" type="pres">
      <dgm:prSet presAssocID="{320F6230-2D07-4A07-A7A6-8AD0B9C2998E}" presName="hierChild3" presStyleCnt="0"/>
      <dgm:spPr/>
    </dgm:pt>
    <dgm:pt modelId="{DBC373F6-4E96-4306-82E4-013452A600CA}" type="pres">
      <dgm:prSet presAssocID="{EF4E315F-D40D-4B93-891B-A2006D228EEA}" presName="Name19" presStyleLbl="parChTrans1D4" presStyleIdx="1" presStyleCnt="4"/>
      <dgm:spPr/>
      <dgm:t>
        <a:bodyPr/>
        <a:lstStyle/>
        <a:p>
          <a:endParaRPr lang="en-US"/>
        </a:p>
      </dgm:t>
    </dgm:pt>
    <dgm:pt modelId="{0822BF86-F6E4-4887-9480-A2904BB11C3E}" type="pres">
      <dgm:prSet presAssocID="{89E667E9-937E-42C8-A5B0-4271DFBFC003}" presName="Name21" presStyleCnt="0"/>
      <dgm:spPr/>
    </dgm:pt>
    <dgm:pt modelId="{BCC7BD09-FF59-499D-9135-12823388CF92}" type="pres">
      <dgm:prSet presAssocID="{89E667E9-937E-42C8-A5B0-4271DFBFC003}" presName="level2Shape" presStyleLbl="node4" presStyleIdx="1" presStyleCnt="4" custScaleX="309227" custScaleY="88506"/>
      <dgm:spPr/>
      <dgm:t>
        <a:bodyPr/>
        <a:lstStyle/>
        <a:p>
          <a:endParaRPr lang="en-US"/>
        </a:p>
      </dgm:t>
    </dgm:pt>
    <dgm:pt modelId="{5C6EC13D-B1BC-486F-8BE8-9B23F251444B}" type="pres">
      <dgm:prSet presAssocID="{89E667E9-937E-42C8-A5B0-4271DFBFC003}" presName="hierChild3" presStyleCnt="0"/>
      <dgm:spPr/>
    </dgm:pt>
    <dgm:pt modelId="{ADC2FF43-8183-459C-8128-4484AB7801B1}" type="pres">
      <dgm:prSet presAssocID="{BC16A056-8C41-41AB-81D0-D57BB4944BD0}" presName="Name19" presStyleLbl="parChTrans1D4" presStyleIdx="2" presStyleCnt="4"/>
      <dgm:spPr/>
      <dgm:t>
        <a:bodyPr/>
        <a:lstStyle/>
        <a:p>
          <a:endParaRPr lang="en-US"/>
        </a:p>
      </dgm:t>
    </dgm:pt>
    <dgm:pt modelId="{D34F4DAF-DDCB-46BE-A36C-4702A061F93A}" type="pres">
      <dgm:prSet presAssocID="{89DBA117-AEC6-43A8-A9FD-91B697CB6437}" presName="Name21" presStyleCnt="0"/>
      <dgm:spPr/>
    </dgm:pt>
    <dgm:pt modelId="{820C992D-7A87-4929-ADCE-13AFA731DF92}" type="pres">
      <dgm:prSet presAssocID="{89DBA117-AEC6-43A8-A9FD-91B697CB6437}" presName="level2Shape" presStyleLbl="node4" presStyleIdx="2" presStyleCnt="4" custScaleX="308385"/>
      <dgm:spPr/>
      <dgm:t>
        <a:bodyPr/>
        <a:lstStyle/>
        <a:p>
          <a:endParaRPr lang="en-US"/>
        </a:p>
      </dgm:t>
    </dgm:pt>
    <dgm:pt modelId="{C8313462-6EAF-4C1E-A6DE-0BD3C824BF69}" type="pres">
      <dgm:prSet presAssocID="{89DBA117-AEC6-43A8-A9FD-91B697CB6437}" presName="hierChild3" presStyleCnt="0"/>
      <dgm:spPr/>
    </dgm:pt>
    <dgm:pt modelId="{5F74BCE3-2ED0-4712-9C6D-536E69CD2DFC}" type="pres">
      <dgm:prSet presAssocID="{9AE17191-2123-40D0-AF02-AA6314F5A125}" presName="Name19" presStyleLbl="parChTrans1D4" presStyleIdx="3" presStyleCnt="4"/>
      <dgm:spPr/>
      <dgm:t>
        <a:bodyPr/>
        <a:lstStyle/>
        <a:p>
          <a:endParaRPr lang="en-US"/>
        </a:p>
      </dgm:t>
    </dgm:pt>
    <dgm:pt modelId="{FD766BA8-D05E-4EB5-9822-1CDE4927C88D}" type="pres">
      <dgm:prSet presAssocID="{89982471-C316-4BD4-AE7C-D05DF3D15F46}" presName="Name21" presStyleCnt="0"/>
      <dgm:spPr/>
    </dgm:pt>
    <dgm:pt modelId="{0D77FD30-A6D5-4467-8A81-1A59354B1363}" type="pres">
      <dgm:prSet presAssocID="{89982471-C316-4BD4-AE7C-D05DF3D15F46}" presName="level2Shape" presStyleLbl="node4" presStyleIdx="3" presStyleCnt="4" custScaleX="323587"/>
      <dgm:spPr/>
      <dgm:t>
        <a:bodyPr/>
        <a:lstStyle/>
        <a:p>
          <a:endParaRPr lang="en-US"/>
        </a:p>
      </dgm:t>
    </dgm:pt>
    <dgm:pt modelId="{621FE5F5-9B26-4336-ABFB-05F3341CD998}" type="pres">
      <dgm:prSet presAssocID="{89982471-C316-4BD4-AE7C-D05DF3D15F46}" presName="hierChild3" presStyleCnt="0"/>
      <dgm:spPr/>
    </dgm:pt>
    <dgm:pt modelId="{020AA365-AFFF-409B-87BC-60EAB0D2E317}" type="pres">
      <dgm:prSet presAssocID="{28403435-214C-4F97-8828-80AD252D4008}" presName="bgShapesFlow" presStyleCnt="0"/>
      <dgm:spPr/>
    </dgm:pt>
  </dgm:ptLst>
  <dgm:cxnLst>
    <dgm:cxn modelId="{E7F10DCB-2EF7-4DB0-888C-2DA7C5307D37}" type="presOf" srcId="{54F15E63-7360-486C-8292-161DE48DC16C}" destId="{97FAFB0D-147E-4DF7-B3CC-F7EC615FFE66}"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6F80203-A014-4608-AF85-020F11FCF7B0}" srcId="{B44235B9-A951-48B9-9A26-8BE7B25B3475}" destId="{320F6230-2D07-4A07-A7A6-8AD0B9C2998E}" srcOrd="0" destOrd="0" parTransId="{E861022A-0DD8-44B9-A1DA-53A8F1B7427C}" sibTransId="{53375903-102F-4854-907F-FE39E48A0129}"/>
    <dgm:cxn modelId="{603E1941-4DA4-45D3-BE8D-8EA7A0A828C8}" type="presOf" srcId="{BC16A056-8C41-41AB-81D0-D57BB4944BD0}" destId="{ADC2FF43-8183-459C-8128-4484AB7801B1}" srcOrd="0" destOrd="0" presId="urn:microsoft.com/office/officeart/2005/8/layout/hierarchy6"/>
    <dgm:cxn modelId="{9D96091D-947A-49F6-ABE0-A9891E23FF56}" type="presOf" srcId="{320F6230-2D07-4A07-A7A6-8AD0B9C2998E}" destId="{44C3CEB0-E6E6-4228-A88D-4D5D1FDCA370}" srcOrd="0" destOrd="0" presId="urn:microsoft.com/office/officeart/2005/8/layout/hierarchy6"/>
    <dgm:cxn modelId="{82E2029E-775D-48DC-9DF3-96D38D1AA294}" type="presOf" srcId="{9AE17191-2123-40D0-AF02-AA6314F5A125}" destId="{5F74BCE3-2ED0-4712-9C6D-536E69CD2DFC}" srcOrd="0" destOrd="0" presId="urn:microsoft.com/office/officeart/2005/8/layout/hierarchy6"/>
    <dgm:cxn modelId="{C09047FC-4FE1-42EB-92B7-66EF22161A47}" type="presOf" srcId="{89982471-C316-4BD4-AE7C-D05DF3D15F46}" destId="{0D77FD30-A6D5-4467-8A81-1A59354B1363}"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1B5DB310-7DE7-4055-900D-43D2D3265C27}" type="presOf" srcId="{250EB5D4-8F6C-4B93-AC7E-CE1EB01102D4}" destId="{64E17BAB-BF4E-47B9-AF08-42A0178ABD8D}" srcOrd="0" destOrd="0" presId="urn:microsoft.com/office/officeart/2005/8/layout/hierarchy6"/>
    <dgm:cxn modelId="{5CE8CAAC-5823-4931-AE24-C652ABE94A59}" type="presOf" srcId="{89DBA117-AEC6-43A8-A9FD-91B697CB6437}" destId="{820C992D-7A87-4929-ADCE-13AFA731DF92}" srcOrd="0" destOrd="0" presId="urn:microsoft.com/office/officeart/2005/8/layout/hierarchy6"/>
    <dgm:cxn modelId="{85386903-17DD-4BE0-971D-2965C1126168}" type="presOf" srcId="{EF4E315F-D40D-4B93-891B-A2006D228EEA}" destId="{DBC373F6-4E96-4306-82E4-013452A600CA}"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2B682878-4117-413F-AE0F-853D1DF3F6B0}" type="presOf" srcId="{B44235B9-A951-48B9-9A26-8BE7B25B3475}" destId="{AF2056C7-3053-4223-B15A-8F4EB886DCD7}" srcOrd="0" destOrd="0" presId="urn:microsoft.com/office/officeart/2005/8/layout/hierarchy6"/>
    <dgm:cxn modelId="{09566AEA-DC33-4223-AC2D-20C1C3D16A6F}" type="presOf" srcId="{85CFB2EA-96BE-47C5-ADB1-9C20CE151E1B}" destId="{6A9DD03D-7AEF-4163-9296-AD87FDBDC3B6}" srcOrd="0" destOrd="0" presId="urn:microsoft.com/office/officeart/2005/8/layout/hierarchy6"/>
    <dgm:cxn modelId="{9CFDC550-A15C-42A5-B146-81537B8A0B98}" srcId="{320F6230-2D07-4A07-A7A6-8AD0B9C2998E}" destId="{89E667E9-937E-42C8-A5B0-4271DFBFC003}" srcOrd="0" destOrd="0" parTransId="{EF4E315F-D40D-4B93-891B-A2006D228EEA}" sibTransId="{C63707C3-8321-41F6-8986-A46BF94BF30D}"/>
    <dgm:cxn modelId="{EAA42F82-3BA7-4E05-AAE7-0BB015563538}" srcId="{89DBA117-AEC6-43A8-A9FD-91B697CB6437}" destId="{89982471-C316-4BD4-AE7C-D05DF3D15F46}" srcOrd="0" destOrd="0" parTransId="{9AE17191-2123-40D0-AF02-AA6314F5A125}" sibTransId="{7CF86FC4-1F2C-4A8B-8410-CA39CFE5E13D}"/>
    <dgm:cxn modelId="{621985A2-E619-4FA2-BC8B-E9D1A6C819BC}" srcId="{89E667E9-937E-42C8-A5B0-4271DFBFC003}" destId="{89DBA117-AEC6-43A8-A9FD-91B697CB6437}" srcOrd="0" destOrd="0" parTransId="{BC16A056-8C41-41AB-81D0-D57BB4944BD0}" sibTransId="{95297CE6-1927-478A-9E0A-7301E815AC52}"/>
    <dgm:cxn modelId="{EAB700FD-D945-43CB-820D-53CD1A229A4B}" type="presOf" srcId="{89E667E9-937E-42C8-A5B0-4271DFBFC003}" destId="{BCC7BD09-FF59-499D-9135-12823388CF92}" srcOrd="0" destOrd="0" presId="urn:microsoft.com/office/officeart/2005/8/layout/hierarchy6"/>
    <dgm:cxn modelId="{44281A9D-1232-4285-A5A9-BD375506559D}" type="presOf" srcId="{E861022A-0DD8-44B9-A1DA-53A8F1B7427C}" destId="{AB3B6DBA-86A3-4F52-B2C4-3C7955C9888E}"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F71815F1-06FD-4276-BAAF-D4FD4F7460AA}" type="presParOf" srcId="{94213339-49CB-4392-8B02-EA023DE1F363}" destId="{AB3B6DBA-86A3-4F52-B2C4-3C7955C9888E}" srcOrd="0" destOrd="0" presId="urn:microsoft.com/office/officeart/2005/8/layout/hierarchy6"/>
    <dgm:cxn modelId="{BF8D79FF-F3EB-44CF-B8C2-3D8C892527ED}" type="presParOf" srcId="{94213339-49CB-4392-8B02-EA023DE1F363}" destId="{47BEECB8-5EB3-4721-B9BD-75804C14C2AA}" srcOrd="1" destOrd="0" presId="urn:microsoft.com/office/officeart/2005/8/layout/hierarchy6"/>
    <dgm:cxn modelId="{AD592F2A-7299-466C-9833-302ED801FF31}" type="presParOf" srcId="{47BEECB8-5EB3-4721-B9BD-75804C14C2AA}" destId="{44C3CEB0-E6E6-4228-A88D-4D5D1FDCA370}" srcOrd="0" destOrd="0" presId="urn:microsoft.com/office/officeart/2005/8/layout/hierarchy6"/>
    <dgm:cxn modelId="{3A23EE6D-6D37-4433-AEE2-126284F8FA22}" type="presParOf" srcId="{47BEECB8-5EB3-4721-B9BD-75804C14C2AA}" destId="{4C74AEAE-55BC-4268-8293-3E5C41E056AE}" srcOrd="1" destOrd="0" presId="urn:microsoft.com/office/officeart/2005/8/layout/hierarchy6"/>
    <dgm:cxn modelId="{02BC0D1B-E570-4167-ABCE-BFBB12902060}" type="presParOf" srcId="{4C74AEAE-55BC-4268-8293-3E5C41E056AE}" destId="{DBC373F6-4E96-4306-82E4-013452A600CA}" srcOrd="0" destOrd="0" presId="urn:microsoft.com/office/officeart/2005/8/layout/hierarchy6"/>
    <dgm:cxn modelId="{B272548F-2FC0-462C-BC2F-B23C53A263FC}" type="presParOf" srcId="{4C74AEAE-55BC-4268-8293-3E5C41E056AE}" destId="{0822BF86-F6E4-4887-9480-A2904BB11C3E}" srcOrd="1" destOrd="0" presId="urn:microsoft.com/office/officeart/2005/8/layout/hierarchy6"/>
    <dgm:cxn modelId="{BB0160E3-929F-4A3B-8BCE-34521BDA2354}" type="presParOf" srcId="{0822BF86-F6E4-4887-9480-A2904BB11C3E}" destId="{BCC7BD09-FF59-499D-9135-12823388CF92}" srcOrd="0" destOrd="0" presId="urn:microsoft.com/office/officeart/2005/8/layout/hierarchy6"/>
    <dgm:cxn modelId="{7925A2BC-513A-4A27-BAD8-FBD5B17AE7BD}" type="presParOf" srcId="{0822BF86-F6E4-4887-9480-A2904BB11C3E}" destId="{5C6EC13D-B1BC-486F-8BE8-9B23F251444B}" srcOrd="1" destOrd="0" presId="urn:microsoft.com/office/officeart/2005/8/layout/hierarchy6"/>
    <dgm:cxn modelId="{3701AA23-18F2-4E6F-98CD-85F16E0F9CB0}" type="presParOf" srcId="{5C6EC13D-B1BC-486F-8BE8-9B23F251444B}" destId="{ADC2FF43-8183-459C-8128-4484AB7801B1}" srcOrd="0" destOrd="0" presId="urn:microsoft.com/office/officeart/2005/8/layout/hierarchy6"/>
    <dgm:cxn modelId="{4D6FC8C6-BF89-4F1B-A6F2-A7526F3CBC91}" type="presParOf" srcId="{5C6EC13D-B1BC-486F-8BE8-9B23F251444B}" destId="{D34F4DAF-DDCB-46BE-A36C-4702A061F93A}" srcOrd="1" destOrd="0" presId="urn:microsoft.com/office/officeart/2005/8/layout/hierarchy6"/>
    <dgm:cxn modelId="{752E3524-0CD0-470A-BF28-685107D4D4FC}" type="presParOf" srcId="{D34F4DAF-DDCB-46BE-A36C-4702A061F93A}" destId="{820C992D-7A87-4929-ADCE-13AFA731DF92}" srcOrd="0" destOrd="0" presId="urn:microsoft.com/office/officeart/2005/8/layout/hierarchy6"/>
    <dgm:cxn modelId="{BAD54F00-E38E-4EE2-80B2-8F172BACB4FB}" type="presParOf" srcId="{D34F4DAF-DDCB-46BE-A36C-4702A061F93A}" destId="{C8313462-6EAF-4C1E-A6DE-0BD3C824BF69}" srcOrd="1" destOrd="0" presId="urn:microsoft.com/office/officeart/2005/8/layout/hierarchy6"/>
    <dgm:cxn modelId="{13D35D11-A995-4238-A8B0-F1741F7B63DC}" type="presParOf" srcId="{C8313462-6EAF-4C1E-A6DE-0BD3C824BF69}" destId="{5F74BCE3-2ED0-4712-9C6D-536E69CD2DFC}" srcOrd="0" destOrd="0" presId="urn:microsoft.com/office/officeart/2005/8/layout/hierarchy6"/>
    <dgm:cxn modelId="{0C63DC07-F9CF-42CF-8040-DC3DB401DB3B}" type="presParOf" srcId="{C8313462-6EAF-4C1E-A6DE-0BD3C824BF69}" destId="{FD766BA8-D05E-4EB5-9822-1CDE4927C88D}" srcOrd="1" destOrd="0" presId="urn:microsoft.com/office/officeart/2005/8/layout/hierarchy6"/>
    <dgm:cxn modelId="{7AEA117E-229F-4FC6-B740-D45E1006ADEF}" type="presParOf" srcId="{FD766BA8-D05E-4EB5-9822-1CDE4927C88D}" destId="{0D77FD30-A6D5-4467-8A81-1A59354B1363}" srcOrd="0" destOrd="0" presId="urn:microsoft.com/office/officeart/2005/8/layout/hierarchy6"/>
    <dgm:cxn modelId="{531F8530-BAF3-4A0E-A1AA-B912CF87C60D}" type="presParOf" srcId="{FD766BA8-D05E-4EB5-9822-1CDE4927C88D}" destId="{621FE5F5-9B26-4336-ABFB-05F3341CD998}"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rgbClr val="FFC000"/>
      </a:solidFill>
    </a:ln>
  </dgm:whole>
  <dgm:extLst>
    <a:ext uri="http://schemas.microsoft.com/office/drawing/2008/diagram">
      <dsp:dataModelExt xmlns:dsp="http://schemas.microsoft.com/office/drawing/2008/diagram" relId="rId34"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prstGeom prst="roundRect">
          <a:avLst>
            <a:gd name="adj" fmla="val 10000"/>
          </a:avLst>
        </a:prstGeom>
        <a:solidFill>
          <a:srgbClr val="F4B183"/>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b="0"/>
            <a:t>01. Radviliškio rajono savivaldybės valdymo programa</a:t>
          </a:r>
          <a:endParaRPr lang="lt-LT"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100" b="0">
              <a:latin typeface="Times New Roman" panose="02020603050405020304" pitchFamily="18" charset="0"/>
              <a:cs typeface="Times New Roman" panose="02020603050405020304" pitchFamily="18" charset="0"/>
            </a:rPr>
            <a:t>Užtikrinti efektyvų viešąjj valdymą, gerinti paslaugų kokybę ir prieinamumą</a:t>
          </a:r>
          <a:endPar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4F15E63-7360-486C-8292-161DE48DC16C}" type="parTrans" cxnId="{2CDB50B2-2C38-43E0-BA0C-005F9EE890D7}">
      <dgm:prSet/>
      <dgm:spPr>
        <a:xfrm>
          <a:off x="2924175" y="63963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Tobulinti vidaus administravimą ir gyventojų aptarnavimą</a:t>
          </a:r>
        </a:p>
      </dgm:t>
    </dgm:pt>
    <dgm:pt modelId="{FFF57444-FBE2-43CC-AACF-1BC05443C1B6}" type="parTrans" cxnId="{83625DF2-8F7A-424A-ACA9-98C92EC77314}">
      <dgm:prSet/>
      <dgm:spPr>
        <a:xfrm>
          <a:off x="2924175" y="119175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320F6230-2D07-4A07-A7A6-8AD0B9C2998E}">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01-01-03 Užtikrinti efektyvų savivaldybei nuosavybės teise priklausančio turto valdymą bei naudojimą</a:t>
          </a:r>
        </a:p>
      </dgm:t>
    </dgm:pt>
    <dgm:pt modelId="{E861022A-0DD8-44B9-A1DA-53A8F1B7427C}" type="parTrans" cxnId="{26F80203-A014-4608-AF85-020F11FCF7B0}">
      <dgm:prSet/>
      <dgm:spPr/>
      <dgm:t>
        <a:bodyPr/>
        <a:lstStyle/>
        <a:p>
          <a:endParaRPr lang="lt-LT"/>
        </a:p>
      </dgm:t>
    </dgm:pt>
    <dgm:pt modelId="{53375903-102F-4854-907F-FE39E48A0129}" type="sibTrans" cxnId="{26F80203-A014-4608-AF85-020F11FCF7B0}">
      <dgm:prSet/>
      <dgm:spPr/>
      <dgm:t>
        <a:bodyPr/>
        <a:lstStyle/>
        <a:p>
          <a:endParaRPr lang="lt-LT"/>
        </a:p>
      </dgm:t>
    </dgm:pt>
    <dgm:pt modelId="{89E667E9-937E-42C8-A5B0-4271DFBFC003}">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01-01-04 Įvykdyti prisiimtus įsipareigojimus bei sudaryti galimybę finansuoti iš anksto negalimas suplanuoti išlaidas</a:t>
          </a:r>
        </a:p>
      </dgm:t>
    </dgm:pt>
    <dgm:pt modelId="{EF4E315F-D40D-4B93-891B-A2006D228EEA}" type="parTrans" cxnId="{9CFDC550-A15C-42A5-B146-81537B8A0B98}">
      <dgm:prSet/>
      <dgm:spPr/>
      <dgm:t>
        <a:bodyPr/>
        <a:lstStyle/>
        <a:p>
          <a:endParaRPr lang="lt-LT"/>
        </a:p>
      </dgm:t>
    </dgm:pt>
    <dgm:pt modelId="{C63707C3-8321-41F6-8986-A46BF94BF30D}" type="sibTrans" cxnId="{9CFDC550-A15C-42A5-B146-81537B8A0B98}">
      <dgm:prSet/>
      <dgm:spPr/>
      <dgm:t>
        <a:bodyPr/>
        <a:lstStyle/>
        <a:p>
          <a:endParaRPr lang="lt-LT"/>
        </a:p>
      </dgm:t>
    </dgm:pt>
    <dgm:pt modelId="{89DBA117-AEC6-43A8-A9FD-91B697CB6437}">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01-01-05 Užtikrinti administracinės naštos mažinimo priemonių įgyvendinimą.</a:t>
          </a:r>
          <a:endParaRPr lang="lt-LT" sz="1100">
            <a:solidFill>
              <a:srgbClr val="99CCFF"/>
            </a:solidFill>
          </a:endParaRPr>
        </a:p>
      </dgm:t>
    </dgm:pt>
    <dgm:pt modelId="{BC16A056-8C41-41AB-81D0-D57BB4944BD0}" type="parTrans" cxnId="{621985A2-E619-4FA2-BC8B-E9D1A6C819BC}">
      <dgm:prSet/>
      <dgm:spPr/>
      <dgm:t>
        <a:bodyPr/>
        <a:lstStyle/>
        <a:p>
          <a:endParaRPr lang="lt-LT"/>
        </a:p>
      </dgm:t>
    </dgm:pt>
    <dgm:pt modelId="{95297CE6-1927-478A-9E0A-7301E815AC52}" type="sibTrans" cxnId="{621985A2-E619-4FA2-BC8B-E9D1A6C819BC}">
      <dgm:prSet/>
      <dgm:spPr/>
      <dgm:t>
        <a:bodyPr/>
        <a:lstStyle/>
        <a:p>
          <a:endParaRPr lang="lt-LT"/>
        </a:p>
      </dgm:t>
    </dgm:pt>
    <dgm:pt modelId="{89982471-C316-4BD4-AE7C-D05DF3D15F46}">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01-02-01 Gerinti socialinių paslaugų kokybę, pakankamumą ir pasiekiamumą</a:t>
          </a:r>
          <a:endParaRPr lang="lt-LT" sz="1100"/>
        </a:p>
      </dgm:t>
    </dgm:pt>
    <dgm:pt modelId="{9AE17191-2123-40D0-AF02-AA6314F5A125}" type="parTrans" cxnId="{EAA42F82-3BA7-4E05-AAE7-0BB015563538}">
      <dgm:prSet/>
      <dgm:spPr/>
      <dgm:t>
        <a:bodyPr/>
        <a:lstStyle/>
        <a:p>
          <a:endParaRPr lang="lt-LT"/>
        </a:p>
      </dgm:t>
    </dgm:pt>
    <dgm:pt modelId="{7CF86FC4-1F2C-4A8B-8410-CA39CFE5E13D}" type="sibTrans" cxnId="{EAA42F82-3BA7-4E05-AAE7-0BB015563538}">
      <dgm:prSet/>
      <dgm:spPr/>
      <dgm:t>
        <a:bodyPr/>
        <a:lstStyle/>
        <a:p>
          <a:endParaRPr lang="lt-LT"/>
        </a:p>
      </dgm:t>
    </dgm:pt>
    <dgm:pt modelId="{C7A1524B-C8B3-40C5-843B-931624E4FCA6}">
      <dgm:prSet custT="1"/>
      <dgm:spPr>
        <a:solidFill>
          <a:srgbClr val="FFE8CB"/>
        </a:solidFill>
      </dgm:spPr>
      <dgm:t>
        <a:bodyPr/>
        <a:lstStyle/>
        <a:p>
          <a:pPr>
            <a:buFont typeface="+mj-lt"/>
            <a:buAutoNum type="arabicPeriod"/>
          </a:pPr>
          <a:r>
            <a:rPr lang="lt-LT" sz="1100">
              <a:latin typeface="Times New Roman" panose="02020603050405020304" pitchFamily="18" charset="0"/>
              <a:cs typeface="Times New Roman" panose="02020603050405020304" pitchFamily="18" charset="0"/>
            </a:rPr>
            <a:t>01-02-02 Didinti socialinę integraciją, mažinti atskirtį</a:t>
          </a:r>
          <a:endParaRPr lang="lt-LT" sz="1100"/>
        </a:p>
      </dgm:t>
    </dgm:pt>
    <dgm:pt modelId="{8C106B3F-920B-43D8-8F24-4377E16DB370}" type="parTrans" cxnId="{DAE7139A-033B-4225-A31D-336ED7F83153}">
      <dgm:prSet/>
      <dgm:spPr/>
      <dgm:t>
        <a:bodyPr/>
        <a:lstStyle/>
        <a:p>
          <a:endParaRPr lang="lt-LT"/>
        </a:p>
      </dgm:t>
    </dgm:pt>
    <dgm:pt modelId="{ED547A81-D7BD-4532-B862-BC7762DE54A7}" type="sibTrans" cxnId="{DAE7139A-033B-4225-A31D-336ED7F83153}">
      <dgm:prSet/>
      <dgm:spPr/>
      <dgm:t>
        <a:bodyPr/>
        <a:lstStyle/>
        <a:p>
          <a:endParaRPr lang="lt-LT"/>
        </a:p>
      </dgm:t>
    </dgm:pt>
    <dgm:pt modelId="{7B1E3BD2-A0FF-4025-8D2E-0CD0F5ACF929}">
      <dgm:prSet custT="1"/>
      <dgm:spPr>
        <a:solidFill>
          <a:srgbClr val="FFE8CB"/>
        </a:solidFill>
      </dgm:spPr>
      <dgm:t>
        <a:bodyPr/>
        <a:lstStyle/>
        <a:p>
          <a:pPr>
            <a:buFont typeface="+mj-lt"/>
            <a:buAutoNum type="arabicPeriod"/>
          </a:pPr>
          <a:r>
            <a:rPr lang="lt-LT" sz="1100">
              <a:latin typeface="Times New Roman" panose="02020603050405020304" pitchFamily="18" charset="0"/>
              <a:cs typeface="Times New Roman" panose="02020603050405020304" pitchFamily="18" charset="0"/>
            </a:rPr>
            <a:t>01-03-01 Įgyvendinti jaunimo politiką</a:t>
          </a:r>
          <a:endParaRPr lang="lt-LT" sz="1100"/>
        </a:p>
      </dgm:t>
    </dgm:pt>
    <dgm:pt modelId="{A39F876A-6D5C-4591-B3D0-B77E74CB0D0E}" type="parTrans" cxnId="{D39B62B3-BEF4-4713-AEBB-973439E4DED0}">
      <dgm:prSet/>
      <dgm:spPr/>
      <dgm:t>
        <a:bodyPr/>
        <a:lstStyle/>
        <a:p>
          <a:endParaRPr lang="lt-LT"/>
        </a:p>
      </dgm:t>
    </dgm:pt>
    <dgm:pt modelId="{0BBDD63D-6030-473B-8865-165A126C68E0}" type="sibTrans" cxnId="{D39B62B3-BEF4-4713-AEBB-973439E4DED0}">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91971"/>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120736"/>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AB3B6DBA-86A3-4F52-B2C4-3C7955C9888E}" type="pres">
      <dgm:prSet presAssocID="{E861022A-0DD8-44B9-A1DA-53A8F1B7427C}" presName="Name19" presStyleLbl="parChTrans1D4" presStyleIdx="0" presStyleCnt="6"/>
      <dgm:spPr/>
      <dgm:t>
        <a:bodyPr/>
        <a:lstStyle/>
        <a:p>
          <a:endParaRPr lang="en-US"/>
        </a:p>
      </dgm:t>
    </dgm:pt>
    <dgm:pt modelId="{47BEECB8-5EB3-4721-B9BD-75804C14C2AA}" type="pres">
      <dgm:prSet presAssocID="{320F6230-2D07-4A07-A7A6-8AD0B9C2998E}" presName="Name21" presStyleCnt="0"/>
      <dgm:spPr/>
    </dgm:pt>
    <dgm:pt modelId="{44C3CEB0-E6E6-4228-A88D-4D5D1FDCA370}" type="pres">
      <dgm:prSet presAssocID="{320F6230-2D07-4A07-A7A6-8AD0B9C2998E}" presName="level2Shape" presStyleLbl="node4" presStyleIdx="0" presStyleCnt="6" custScaleX="304998" custScaleY="111891"/>
      <dgm:spPr/>
      <dgm:t>
        <a:bodyPr/>
        <a:lstStyle/>
        <a:p>
          <a:endParaRPr lang="en-US"/>
        </a:p>
      </dgm:t>
    </dgm:pt>
    <dgm:pt modelId="{4C74AEAE-55BC-4268-8293-3E5C41E056AE}" type="pres">
      <dgm:prSet presAssocID="{320F6230-2D07-4A07-A7A6-8AD0B9C2998E}" presName="hierChild3" presStyleCnt="0"/>
      <dgm:spPr/>
    </dgm:pt>
    <dgm:pt modelId="{DBC373F6-4E96-4306-82E4-013452A600CA}" type="pres">
      <dgm:prSet presAssocID="{EF4E315F-D40D-4B93-891B-A2006D228EEA}" presName="Name19" presStyleLbl="parChTrans1D4" presStyleIdx="1" presStyleCnt="6"/>
      <dgm:spPr/>
      <dgm:t>
        <a:bodyPr/>
        <a:lstStyle/>
        <a:p>
          <a:endParaRPr lang="en-US"/>
        </a:p>
      </dgm:t>
    </dgm:pt>
    <dgm:pt modelId="{0822BF86-F6E4-4887-9480-A2904BB11C3E}" type="pres">
      <dgm:prSet presAssocID="{89E667E9-937E-42C8-A5B0-4271DFBFC003}" presName="Name21" presStyleCnt="0"/>
      <dgm:spPr/>
    </dgm:pt>
    <dgm:pt modelId="{BCC7BD09-FF59-499D-9135-12823388CF92}" type="pres">
      <dgm:prSet presAssocID="{89E667E9-937E-42C8-A5B0-4271DFBFC003}" presName="level2Shape" presStyleLbl="node4" presStyleIdx="1" presStyleCnt="6" custScaleX="309227" custScaleY="88506"/>
      <dgm:spPr/>
      <dgm:t>
        <a:bodyPr/>
        <a:lstStyle/>
        <a:p>
          <a:endParaRPr lang="en-US"/>
        </a:p>
      </dgm:t>
    </dgm:pt>
    <dgm:pt modelId="{5C6EC13D-B1BC-486F-8BE8-9B23F251444B}" type="pres">
      <dgm:prSet presAssocID="{89E667E9-937E-42C8-A5B0-4271DFBFC003}" presName="hierChild3" presStyleCnt="0"/>
      <dgm:spPr/>
    </dgm:pt>
    <dgm:pt modelId="{ADC2FF43-8183-459C-8128-4484AB7801B1}" type="pres">
      <dgm:prSet presAssocID="{BC16A056-8C41-41AB-81D0-D57BB4944BD0}" presName="Name19" presStyleLbl="parChTrans1D4" presStyleIdx="2" presStyleCnt="6"/>
      <dgm:spPr/>
      <dgm:t>
        <a:bodyPr/>
        <a:lstStyle/>
        <a:p>
          <a:endParaRPr lang="en-US"/>
        </a:p>
      </dgm:t>
    </dgm:pt>
    <dgm:pt modelId="{D34F4DAF-DDCB-46BE-A36C-4702A061F93A}" type="pres">
      <dgm:prSet presAssocID="{89DBA117-AEC6-43A8-A9FD-91B697CB6437}" presName="Name21" presStyleCnt="0"/>
      <dgm:spPr/>
    </dgm:pt>
    <dgm:pt modelId="{820C992D-7A87-4929-ADCE-13AFA731DF92}" type="pres">
      <dgm:prSet presAssocID="{89DBA117-AEC6-43A8-A9FD-91B697CB6437}" presName="level2Shape" presStyleLbl="node4" presStyleIdx="2" presStyleCnt="6" custScaleX="308385"/>
      <dgm:spPr/>
      <dgm:t>
        <a:bodyPr/>
        <a:lstStyle/>
        <a:p>
          <a:endParaRPr lang="en-US"/>
        </a:p>
      </dgm:t>
    </dgm:pt>
    <dgm:pt modelId="{C8313462-6EAF-4C1E-A6DE-0BD3C824BF69}" type="pres">
      <dgm:prSet presAssocID="{89DBA117-AEC6-43A8-A9FD-91B697CB6437}" presName="hierChild3" presStyleCnt="0"/>
      <dgm:spPr/>
    </dgm:pt>
    <dgm:pt modelId="{5F74BCE3-2ED0-4712-9C6D-536E69CD2DFC}" type="pres">
      <dgm:prSet presAssocID="{9AE17191-2123-40D0-AF02-AA6314F5A125}" presName="Name19" presStyleLbl="parChTrans1D4" presStyleIdx="3" presStyleCnt="6"/>
      <dgm:spPr/>
      <dgm:t>
        <a:bodyPr/>
        <a:lstStyle/>
        <a:p>
          <a:endParaRPr lang="en-US"/>
        </a:p>
      </dgm:t>
    </dgm:pt>
    <dgm:pt modelId="{FD766BA8-D05E-4EB5-9822-1CDE4927C88D}" type="pres">
      <dgm:prSet presAssocID="{89982471-C316-4BD4-AE7C-D05DF3D15F46}" presName="Name21" presStyleCnt="0"/>
      <dgm:spPr/>
    </dgm:pt>
    <dgm:pt modelId="{0D77FD30-A6D5-4467-8A81-1A59354B1363}" type="pres">
      <dgm:prSet presAssocID="{89982471-C316-4BD4-AE7C-D05DF3D15F46}" presName="level2Shape" presStyleLbl="node4" presStyleIdx="3" presStyleCnt="6" custScaleX="323587"/>
      <dgm:spPr/>
      <dgm:t>
        <a:bodyPr/>
        <a:lstStyle/>
        <a:p>
          <a:endParaRPr lang="en-US"/>
        </a:p>
      </dgm:t>
    </dgm:pt>
    <dgm:pt modelId="{621FE5F5-9B26-4336-ABFB-05F3341CD998}" type="pres">
      <dgm:prSet presAssocID="{89982471-C316-4BD4-AE7C-D05DF3D15F46}" presName="hierChild3" presStyleCnt="0"/>
      <dgm:spPr/>
    </dgm:pt>
    <dgm:pt modelId="{A108A033-3670-43C7-94B2-53A0185D0A1B}" type="pres">
      <dgm:prSet presAssocID="{8C106B3F-920B-43D8-8F24-4377E16DB370}" presName="Name19" presStyleLbl="parChTrans1D4" presStyleIdx="4" presStyleCnt="6"/>
      <dgm:spPr/>
      <dgm:t>
        <a:bodyPr/>
        <a:lstStyle/>
        <a:p>
          <a:endParaRPr lang="en-US"/>
        </a:p>
      </dgm:t>
    </dgm:pt>
    <dgm:pt modelId="{D2C07A08-802A-44D4-88F6-EABB925E934B}" type="pres">
      <dgm:prSet presAssocID="{C7A1524B-C8B3-40C5-843B-931624E4FCA6}" presName="Name21" presStyleCnt="0"/>
      <dgm:spPr/>
    </dgm:pt>
    <dgm:pt modelId="{3D1402AE-14DB-4FB4-9245-3BCF081442C2}" type="pres">
      <dgm:prSet presAssocID="{C7A1524B-C8B3-40C5-843B-931624E4FCA6}" presName="level2Shape" presStyleLbl="node4" presStyleIdx="4" presStyleCnt="6" custScaleX="323023"/>
      <dgm:spPr/>
      <dgm:t>
        <a:bodyPr/>
        <a:lstStyle/>
        <a:p>
          <a:endParaRPr lang="en-US"/>
        </a:p>
      </dgm:t>
    </dgm:pt>
    <dgm:pt modelId="{77F3BB2A-ACD3-4BB3-9E79-2F785EABA3D9}" type="pres">
      <dgm:prSet presAssocID="{C7A1524B-C8B3-40C5-843B-931624E4FCA6}" presName="hierChild3" presStyleCnt="0"/>
      <dgm:spPr/>
    </dgm:pt>
    <dgm:pt modelId="{DCE3DD2E-3665-4539-8FAB-C8E20CD4F1AA}" type="pres">
      <dgm:prSet presAssocID="{A39F876A-6D5C-4591-B3D0-B77E74CB0D0E}" presName="Name19" presStyleLbl="parChTrans1D4" presStyleIdx="5" presStyleCnt="6"/>
      <dgm:spPr/>
      <dgm:t>
        <a:bodyPr/>
        <a:lstStyle/>
        <a:p>
          <a:endParaRPr lang="en-US"/>
        </a:p>
      </dgm:t>
    </dgm:pt>
    <dgm:pt modelId="{40147A4C-BBCE-40F6-8E2E-FA17FEADAA1C}" type="pres">
      <dgm:prSet presAssocID="{7B1E3BD2-A0FF-4025-8D2E-0CD0F5ACF929}" presName="Name21" presStyleCnt="0"/>
      <dgm:spPr/>
    </dgm:pt>
    <dgm:pt modelId="{50AA9340-6268-4777-A321-E1CAA0157A93}" type="pres">
      <dgm:prSet presAssocID="{7B1E3BD2-A0FF-4025-8D2E-0CD0F5ACF929}" presName="level2Shape" presStyleLbl="node4" presStyleIdx="5" presStyleCnt="6" custScaleX="321419"/>
      <dgm:spPr/>
      <dgm:t>
        <a:bodyPr/>
        <a:lstStyle/>
        <a:p>
          <a:endParaRPr lang="en-US"/>
        </a:p>
      </dgm:t>
    </dgm:pt>
    <dgm:pt modelId="{01541AA2-2FF0-4161-B946-A2698CF8C179}" type="pres">
      <dgm:prSet presAssocID="{7B1E3BD2-A0FF-4025-8D2E-0CD0F5ACF929}" presName="hierChild3" presStyleCnt="0"/>
      <dgm:spPr/>
    </dgm:pt>
    <dgm:pt modelId="{020AA365-AFFF-409B-87BC-60EAB0D2E317}" type="pres">
      <dgm:prSet presAssocID="{28403435-214C-4F97-8828-80AD252D4008}" presName="bgShapesFlow" presStyleCnt="0"/>
      <dgm:spPr/>
    </dgm:pt>
  </dgm:ptLst>
  <dgm:cxnLst>
    <dgm:cxn modelId="{5E7A9E0D-E42A-41C1-B1CE-58246A4B3954}" type="presOf" srcId="{7B1E3BD2-A0FF-4025-8D2E-0CD0F5ACF929}" destId="{50AA9340-6268-4777-A321-E1CAA0157A93}" srcOrd="0" destOrd="0" presId="urn:microsoft.com/office/officeart/2005/8/layout/hierarchy6"/>
    <dgm:cxn modelId="{E7F10DCB-2EF7-4DB0-888C-2DA7C5307D37}" type="presOf" srcId="{54F15E63-7360-486C-8292-161DE48DC16C}" destId="{97FAFB0D-147E-4DF7-B3CC-F7EC615FFE66}"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6F80203-A014-4608-AF85-020F11FCF7B0}" srcId="{B44235B9-A951-48B9-9A26-8BE7B25B3475}" destId="{320F6230-2D07-4A07-A7A6-8AD0B9C2998E}" srcOrd="0" destOrd="0" parTransId="{E861022A-0DD8-44B9-A1DA-53A8F1B7427C}" sibTransId="{53375903-102F-4854-907F-FE39E48A0129}"/>
    <dgm:cxn modelId="{EA939A8B-2190-4AA3-A33E-159057C76E66}" type="presOf" srcId="{A39F876A-6D5C-4591-B3D0-B77E74CB0D0E}" destId="{DCE3DD2E-3665-4539-8FAB-C8E20CD4F1AA}" srcOrd="0" destOrd="0" presId="urn:microsoft.com/office/officeart/2005/8/layout/hierarchy6"/>
    <dgm:cxn modelId="{603E1941-4DA4-45D3-BE8D-8EA7A0A828C8}" type="presOf" srcId="{BC16A056-8C41-41AB-81D0-D57BB4944BD0}" destId="{ADC2FF43-8183-459C-8128-4484AB7801B1}" srcOrd="0" destOrd="0" presId="urn:microsoft.com/office/officeart/2005/8/layout/hierarchy6"/>
    <dgm:cxn modelId="{9D96091D-947A-49F6-ABE0-A9891E23FF56}" type="presOf" srcId="{320F6230-2D07-4A07-A7A6-8AD0B9C2998E}" destId="{44C3CEB0-E6E6-4228-A88D-4D5D1FDCA370}" srcOrd="0" destOrd="0" presId="urn:microsoft.com/office/officeart/2005/8/layout/hierarchy6"/>
    <dgm:cxn modelId="{82E2029E-775D-48DC-9DF3-96D38D1AA294}" type="presOf" srcId="{9AE17191-2123-40D0-AF02-AA6314F5A125}" destId="{5F74BCE3-2ED0-4712-9C6D-536E69CD2DFC}" srcOrd="0" destOrd="0" presId="urn:microsoft.com/office/officeart/2005/8/layout/hierarchy6"/>
    <dgm:cxn modelId="{C09047FC-4FE1-42EB-92B7-66EF22161A47}" type="presOf" srcId="{89982471-C316-4BD4-AE7C-D05DF3D15F46}" destId="{0D77FD30-A6D5-4467-8A81-1A59354B1363}"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1B5DB310-7DE7-4055-900D-43D2D3265C27}" type="presOf" srcId="{250EB5D4-8F6C-4B93-AC7E-CE1EB01102D4}" destId="{64E17BAB-BF4E-47B9-AF08-42A0178ABD8D}" srcOrd="0" destOrd="0" presId="urn:microsoft.com/office/officeart/2005/8/layout/hierarchy6"/>
    <dgm:cxn modelId="{DAE7139A-033B-4225-A31D-336ED7F83153}" srcId="{89982471-C316-4BD4-AE7C-D05DF3D15F46}" destId="{C7A1524B-C8B3-40C5-843B-931624E4FCA6}" srcOrd="0" destOrd="0" parTransId="{8C106B3F-920B-43D8-8F24-4377E16DB370}" sibTransId="{ED547A81-D7BD-4532-B862-BC7762DE54A7}"/>
    <dgm:cxn modelId="{FC9077C8-DAB4-414B-B9A3-66701AC0605B}" type="presOf" srcId="{8C106B3F-920B-43D8-8F24-4377E16DB370}" destId="{A108A033-3670-43C7-94B2-53A0185D0A1B}" srcOrd="0" destOrd="0" presId="urn:microsoft.com/office/officeart/2005/8/layout/hierarchy6"/>
    <dgm:cxn modelId="{5CE8CAAC-5823-4931-AE24-C652ABE94A59}" type="presOf" srcId="{89DBA117-AEC6-43A8-A9FD-91B697CB6437}" destId="{820C992D-7A87-4929-ADCE-13AFA731DF92}" srcOrd="0" destOrd="0" presId="urn:microsoft.com/office/officeart/2005/8/layout/hierarchy6"/>
    <dgm:cxn modelId="{85386903-17DD-4BE0-971D-2965C1126168}" type="presOf" srcId="{EF4E315F-D40D-4B93-891B-A2006D228EEA}" destId="{DBC373F6-4E96-4306-82E4-013452A600CA}"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D39B62B3-BEF4-4713-AEBB-973439E4DED0}" srcId="{C7A1524B-C8B3-40C5-843B-931624E4FCA6}" destId="{7B1E3BD2-A0FF-4025-8D2E-0CD0F5ACF929}" srcOrd="0" destOrd="0" parTransId="{A39F876A-6D5C-4591-B3D0-B77E74CB0D0E}" sibTransId="{0BBDD63D-6030-473B-8865-165A126C68E0}"/>
    <dgm:cxn modelId="{2B682878-4117-413F-AE0F-853D1DF3F6B0}" type="presOf" srcId="{B44235B9-A951-48B9-9A26-8BE7B25B3475}" destId="{AF2056C7-3053-4223-B15A-8F4EB886DCD7}" srcOrd="0" destOrd="0" presId="urn:microsoft.com/office/officeart/2005/8/layout/hierarchy6"/>
    <dgm:cxn modelId="{09566AEA-DC33-4223-AC2D-20C1C3D16A6F}" type="presOf" srcId="{85CFB2EA-96BE-47C5-ADB1-9C20CE151E1B}" destId="{6A9DD03D-7AEF-4163-9296-AD87FDBDC3B6}" srcOrd="0" destOrd="0" presId="urn:microsoft.com/office/officeart/2005/8/layout/hierarchy6"/>
    <dgm:cxn modelId="{5F627223-1B46-4A9F-BD5E-AD834830823C}" type="presOf" srcId="{C7A1524B-C8B3-40C5-843B-931624E4FCA6}" destId="{3D1402AE-14DB-4FB4-9245-3BCF081442C2}" srcOrd="0" destOrd="0" presId="urn:microsoft.com/office/officeart/2005/8/layout/hierarchy6"/>
    <dgm:cxn modelId="{9CFDC550-A15C-42A5-B146-81537B8A0B98}" srcId="{320F6230-2D07-4A07-A7A6-8AD0B9C2998E}" destId="{89E667E9-937E-42C8-A5B0-4271DFBFC003}" srcOrd="0" destOrd="0" parTransId="{EF4E315F-D40D-4B93-891B-A2006D228EEA}" sibTransId="{C63707C3-8321-41F6-8986-A46BF94BF30D}"/>
    <dgm:cxn modelId="{EAA42F82-3BA7-4E05-AAE7-0BB015563538}" srcId="{89DBA117-AEC6-43A8-A9FD-91B697CB6437}" destId="{89982471-C316-4BD4-AE7C-D05DF3D15F46}" srcOrd="0" destOrd="0" parTransId="{9AE17191-2123-40D0-AF02-AA6314F5A125}" sibTransId="{7CF86FC4-1F2C-4A8B-8410-CA39CFE5E13D}"/>
    <dgm:cxn modelId="{621985A2-E619-4FA2-BC8B-E9D1A6C819BC}" srcId="{89E667E9-937E-42C8-A5B0-4271DFBFC003}" destId="{89DBA117-AEC6-43A8-A9FD-91B697CB6437}" srcOrd="0" destOrd="0" parTransId="{BC16A056-8C41-41AB-81D0-D57BB4944BD0}" sibTransId="{95297CE6-1927-478A-9E0A-7301E815AC52}"/>
    <dgm:cxn modelId="{44281A9D-1232-4285-A5A9-BD375506559D}" type="presOf" srcId="{E861022A-0DD8-44B9-A1DA-53A8F1B7427C}" destId="{AB3B6DBA-86A3-4F52-B2C4-3C7955C9888E}" srcOrd="0" destOrd="0" presId="urn:microsoft.com/office/officeart/2005/8/layout/hierarchy6"/>
    <dgm:cxn modelId="{EAB700FD-D945-43CB-820D-53CD1A229A4B}" type="presOf" srcId="{89E667E9-937E-42C8-A5B0-4271DFBFC003}" destId="{BCC7BD09-FF59-499D-9135-12823388CF92}"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F71815F1-06FD-4276-BAAF-D4FD4F7460AA}" type="presParOf" srcId="{94213339-49CB-4392-8B02-EA023DE1F363}" destId="{AB3B6DBA-86A3-4F52-B2C4-3C7955C9888E}" srcOrd="0" destOrd="0" presId="urn:microsoft.com/office/officeart/2005/8/layout/hierarchy6"/>
    <dgm:cxn modelId="{BF8D79FF-F3EB-44CF-B8C2-3D8C892527ED}" type="presParOf" srcId="{94213339-49CB-4392-8B02-EA023DE1F363}" destId="{47BEECB8-5EB3-4721-B9BD-75804C14C2AA}" srcOrd="1" destOrd="0" presId="urn:microsoft.com/office/officeart/2005/8/layout/hierarchy6"/>
    <dgm:cxn modelId="{AD592F2A-7299-466C-9833-302ED801FF31}" type="presParOf" srcId="{47BEECB8-5EB3-4721-B9BD-75804C14C2AA}" destId="{44C3CEB0-E6E6-4228-A88D-4D5D1FDCA370}" srcOrd="0" destOrd="0" presId="urn:microsoft.com/office/officeart/2005/8/layout/hierarchy6"/>
    <dgm:cxn modelId="{3A23EE6D-6D37-4433-AEE2-126284F8FA22}" type="presParOf" srcId="{47BEECB8-5EB3-4721-B9BD-75804C14C2AA}" destId="{4C74AEAE-55BC-4268-8293-3E5C41E056AE}" srcOrd="1" destOrd="0" presId="urn:microsoft.com/office/officeart/2005/8/layout/hierarchy6"/>
    <dgm:cxn modelId="{02BC0D1B-E570-4167-ABCE-BFBB12902060}" type="presParOf" srcId="{4C74AEAE-55BC-4268-8293-3E5C41E056AE}" destId="{DBC373F6-4E96-4306-82E4-013452A600CA}" srcOrd="0" destOrd="0" presId="urn:microsoft.com/office/officeart/2005/8/layout/hierarchy6"/>
    <dgm:cxn modelId="{B272548F-2FC0-462C-BC2F-B23C53A263FC}" type="presParOf" srcId="{4C74AEAE-55BC-4268-8293-3E5C41E056AE}" destId="{0822BF86-F6E4-4887-9480-A2904BB11C3E}" srcOrd="1" destOrd="0" presId="urn:microsoft.com/office/officeart/2005/8/layout/hierarchy6"/>
    <dgm:cxn modelId="{BB0160E3-929F-4A3B-8BCE-34521BDA2354}" type="presParOf" srcId="{0822BF86-F6E4-4887-9480-A2904BB11C3E}" destId="{BCC7BD09-FF59-499D-9135-12823388CF92}" srcOrd="0" destOrd="0" presId="urn:microsoft.com/office/officeart/2005/8/layout/hierarchy6"/>
    <dgm:cxn modelId="{7925A2BC-513A-4A27-BAD8-FBD5B17AE7BD}" type="presParOf" srcId="{0822BF86-F6E4-4887-9480-A2904BB11C3E}" destId="{5C6EC13D-B1BC-486F-8BE8-9B23F251444B}" srcOrd="1" destOrd="0" presId="urn:microsoft.com/office/officeart/2005/8/layout/hierarchy6"/>
    <dgm:cxn modelId="{3701AA23-18F2-4E6F-98CD-85F16E0F9CB0}" type="presParOf" srcId="{5C6EC13D-B1BC-486F-8BE8-9B23F251444B}" destId="{ADC2FF43-8183-459C-8128-4484AB7801B1}" srcOrd="0" destOrd="0" presId="urn:microsoft.com/office/officeart/2005/8/layout/hierarchy6"/>
    <dgm:cxn modelId="{4D6FC8C6-BF89-4F1B-A6F2-A7526F3CBC91}" type="presParOf" srcId="{5C6EC13D-B1BC-486F-8BE8-9B23F251444B}" destId="{D34F4DAF-DDCB-46BE-A36C-4702A061F93A}" srcOrd="1" destOrd="0" presId="urn:microsoft.com/office/officeart/2005/8/layout/hierarchy6"/>
    <dgm:cxn modelId="{752E3524-0CD0-470A-BF28-685107D4D4FC}" type="presParOf" srcId="{D34F4DAF-DDCB-46BE-A36C-4702A061F93A}" destId="{820C992D-7A87-4929-ADCE-13AFA731DF92}" srcOrd="0" destOrd="0" presId="urn:microsoft.com/office/officeart/2005/8/layout/hierarchy6"/>
    <dgm:cxn modelId="{BAD54F00-E38E-4EE2-80B2-8F172BACB4FB}" type="presParOf" srcId="{D34F4DAF-DDCB-46BE-A36C-4702A061F93A}" destId="{C8313462-6EAF-4C1E-A6DE-0BD3C824BF69}" srcOrd="1" destOrd="0" presId="urn:microsoft.com/office/officeart/2005/8/layout/hierarchy6"/>
    <dgm:cxn modelId="{13D35D11-A995-4238-A8B0-F1741F7B63DC}" type="presParOf" srcId="{C8313462-6EAF-4C1E-A6DE-0BD3C824BF69}" destId="{5F74BCE3-2ED0-4712-9C6D-536E69CD2DFC}" srcOrd="0" destOrd="0" presId="urn:microsoft.com/office/officeart/2005/8/layout/hierarchy6"/>
    <dgm:cxn modelId="{0C63DC07-F9CF-42CF-8040-DC3DB401DB3B}" type="presParOf" srcId="{C8313462-6EAF-4C1E-A6DE-0BD3C824BF69}" destId="{FD766BA8-D05E-4EB5-9822-1CDE4927C88D}" srcOrd="1" destOrd="0" presId="urn:microsoft.com/office/officeart/2005/8/layout/hierarchy6"/>
    <dgm:cxn modelId="{7AEA117E-229F-4FC6-B740-D45E1006ADEF}" type="presParOf" srcId="{FD766BA8-D05E-4EB5-9822-1CDE4927C88D}" destId="{0D77FD30-A6D5-4467-8A81-1A59354B1363}" srcOrd="0" destOrd="0" presId="urn:microsoft.com/office/officeart/2005/8/layout/hierarchy6"/>
    <dgm:cxn modelId="{531F8530-BAF3-4A0E-A1AA-B912CF87C60D}" type="presParOf" srcId="{FD766BA8-D05E-4EB5-9822-1CDE4927C88D}" destId="{621FE5F5-9B26-4336-ABFB-05F3341CD998}" srcOrd="1" destOrd="0" presId="urn:microsoft.com/office/officeart/2005/8/layout/hierarchy6"/>
    <dgm:cxn modelId="{4684529B-190D-4539-90CA-3949014407AC}" type="presParOf" srcId="{621FE5F5-9B26-4336-ABFB-05F3341CD998}" destId="{A108A033-3670-43C7-94B2-53A0185D0A1B}" srcOrd="0" destOrd="0" presId="urn:microsoft.com/office/officeart/2005/8/layout/hierarchy6"/>
    <dgm:cxn modelId="{57A5F976-C8EF-4E6C-9E6B-7359AB024E24}" type="presParOf" srcId="{621FE5F5-9B26-4336-ABFB-05F3341CD998}" destId="{D2C07A08-802A-44D4-88F6-EABB925E934B}" srcOrd="1" destOrd="0" presId="urn:microsoft.com/office/officeart/2005/8/layout/hierarchy6"/>
    <dgm:cxn modelId="{340F374F-0C4F-40F7-ABA6-00DECA18C432}" type="presParOf" srcId="{D2C07A08-802A-44D4-88F6-EABB925E934B}" destId="{3D1402AE-14DB-4FB4-9245-3BCF081442C2}" srcOrd="0" destOrd="0" presId="urn:microsoft.com/office/officeart/2005/8/layout/hierarchy6"/>
    <dgm:cxn modelId="{0D1EAFFA-230D-4C98-A095-AD2AF989DD7C}" type="presParOf" srcId="{D2C07A08-802A-44D4-88F6-EABB925E934B}" destId="{77F3BB2A-ACD3-4BB3-9E79-2F785EABA3D9}" srcOrd="1" destOrd="0" presId="urn:microsoft.com/office/officeart/2005/8/layout/hierarchy6"/>
    <dgm:cxn modelId="{13208661-75BD-4341-AD1C-DD927ED778C7}" type="presParOf" srcId="{77F3BB2A-ACD3-4BB3-9E79-2F785EABA3D9}" destId="{DCE3DD2E-3665-4539-8FAB-C8E20CD4F1AA}" srcOrd="0" destOrd="0" presId="urn:microsoft.com/office/officeart/2005/8/layout/hierarchy6"/>
    <dgm:cxn modelId="{2F7682B5-D790-4462-AB1B-AA4BE26994DA}" type="presParOf" srcId="{77F3BB2A-ACD3-4BB3-9E79-2F785EABA3D9}" destId="{40147A4C-BBCE-40F6-8E2E-FA17FEADAA1C}" srcOrd="1" destOrd="0" presId="urn:microsoft.com/office/officeart/2005/8/layout/hierarchy6"/>
    <dgm:cxn modelId="{4CF65E27-C65F-4C09-8007-E69B36C7BD21}" type="presParOf" srcId="{40147A4C-BBCE-40F6-8E2E-FA17FEADAA1C}" destId="{50AA9340-6268-4777-A321-E1CAA0157A93}" srcOrd="0" destOrd="0" presId="urn:microsoft.com/office/officeart/2005/8/layout/hierarchy6"/>
    <dgm:cxn modelId="{DC55AEC1-9619-451F-8707-1176C5CEE0F3}" type="presParOf" srcId="{40147A4C-BBCE-40F6-8E2E-FA17FEADAA1C}" destId="{01541AA2-2FF0-4161-B946-A2698CF8C179}"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rgbClr val="FFC000"/>
      </a:solidFill>
    </a:ln>
  </dgm:whole>
  <dgm:extLst>
    <a:ext uri="http://schemas.microsoft.com/office/drawing/2008/diagram">
      <dsp:dataModelExt xmlns:dsp="http://schemas.microsoft.com/office/drawing/2008/diagram" relId="rId39" minVer="http://schemas.openxmlformats.org/drawingml/2006/diagram"/>
    </a:ext>
  </dgm:extLst>
</dgm:dataModel>
</file>

<file path=word/diagrams/drawing1.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E89C39D8-7FD5-4542-9073-C546073EAD5B}">
      <dsp:nvSpPr>
        <dsp:cNvPr id="0" name=""/>
        <dsp:cNvSpPr/>
      </dsp:nvSpPr>
      <dsp:spPr>
        <a:xfrm>
          <a:off x="0" y="223792"/>
          <a:ext cx="6581774" cy="277200"/>
        </a:xfrm>
        <a:prstGeom prst="rect">
          <a:avLst/>
        </a:prstGeom>
        <a:solidFill>
          <a:schemeClr val="accent4">
            <a:alpha val="90000"/>
            <a:tint val="40000"/>
            <a:hueOff val="0"/>
            <a:satOff val="0"/>
            <a:lumOff val="0"/>
            <a:alphaOff val="0"/>
          </a:schemeClr>
        </a:solidFill>
        <a:ln w="6350" cap="flat" cmpd="sng" algn="ctr">
          <a:solidFill>
            <a:schemeClr val="accent4">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4AB4F022-99BA-4B58-867F-0C8DA25E0C86}">
      <dsp:nvSpPr>
        <dsp:cNvPr id="0" name=""/>
        <dsp:cNvSpPr/>
      </dsp:nvSpPr>
      <dsp:spPr>
        <a:xfrm>
          <a:off x="329088" y="61432"/>
          <a:ext cx="4607242" cy="32472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4143" tIns="0" rIns="174143" bIns="0" numCol="1" spcCol="1270" anchor="ctr" anchorCtr="0">
          <a:noAutofit/>
        </a:bodyPr>
        <a:lstStyle/>
        <a:p>
          <a:pPr lvl="0" algn="l" defTabSz="400050">
            <a:lnSpc>
              <a:spcPct val="90000"/>
            </a:lnSpc>
            <a:spcBef>
              <a:spcPct val="0"/>
            </a:spcBef>
            <a:spcAft>
              <a:spcPct val="35000"/>
            </a:spcAft>
          </a:pPr>
          <a:r>
            <a:rPr lang="lt-LT" sz="900" kern="1200"/>
            <a:t>1. PRIORITETAS: PAŽANGI EKONOMIKA</a:t>
          </a:r>
          <a:endParaRPr lang="en-US" sz="900" kern="1200"/>
        </a:p>
      </dsp:txBody>
      <dsp:txXfrm>
        <a:off x="344940" y="77284"/>
        <a:ext cx="4575538" cy="293016"/>
      </dsp:txXfrm>
    </dsp:sp>
    <dsp:sp modelId="{4EBBFDFD-F1E6-4F8A-85BF-DA7237D366CB}">
      <dsp:nvSpPr>
        <dsp:cNvPr id="0" name=""/>
        <dsp:cNvSpPr/>
      </dsp:nvSpPr>
      <dsp:spPr>
        <a:xfrm>
          <a:off x="0" y="722752"/>
          <a:ext cx="6581774" cy="277200"/>
        </a:xfrm>
        <a:prstGeom prst="rect">
          <a:avLst/>
        </a:prstGeom>
        <a:solidFill>
          <a:schemeClr val="accent4">
            <a:alpha val="90000"/>
            <a:tint val="40000"/>
            <a:hueOff val="0"/>
            <a:satOff val="0"/>
            <a:lumOff val="0"/>
            <a:alphaOff val="0"/>
          </a:schemeClr>
        </a:solidFill>
        <a:ln w="6350" cap="flat" cmpd="sng" algn="ctr">
          <a:solidFill>
            <a:srgbClr val="FFC000"/>
          </a:solidFill>
          <a:prstDash val="solid"/>
          <a:miter lim="800000"/>
        </a:ln>
        <a:effectLst/>
      </dsp:spPr>
      <dsp:style>
        <a:lnRef idx="1">
          <a:scrgbClr r="0" g="0" b="0"/>
        </a:lnRef>
        <a:fillRef idx="1">
          <a:scrgbClr r="0" g="0" b="0"/>
        </a:fillRef>
        <a:effectRef idx="0">
          <a:scrgbClr r="0" g="0" b="0"/>
        </a:effectRef>
        <a:fontRef idx="minor"/>
      </dsp:style>
    </dsp:sp>
    <dsp:sp modelId="{9C0622DB-30B4-4A5D-9AA1-07C99FC84839}">
      <dsp:nvSpPr>
        <dsp:cNvPr id="0" name=""/>
        <dsp:cNvSpPr/>
      </dsp:nvSpPr>
      <dsp:spPr>
        <a:xfrm>
          <a:off x="329088" y="560392"/>
          <a:ext cx="4607242" cy="32472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4143" tIns="0" rIns="174143" bIns="0" numCol="1" spcCol="1270" anchor="ctr" anchorCtr="0">
          <a:noAutofit/>
        </a:bodyPr>
        <a:lstStyle/>
        <a:p>
          <a:pPr lvl="0" algn="l" defTabSz="400050">
            <a:lnSpc>
              <a:spcPct val="90000"/>
            </a:lnSpc>
            <a:spcBef>
              <a:spcPct val="0"/>
            </a:spcBef>
            <a:spcAft>
              <a:spcPct val="35000"/>
            </a:spcAft>
          </a:pPr>
          <a:r>
            <a:rPr lang="lt-LT" sz="900" kern="1200"/>
            <a:t>2. PRIORITETAS: SOCIALIAI ATSAKINGA, IŠSILAVINUSI, SVEIKA IR SAUGI VISUOMENĖ</a:t>
          </a:r>
          <a:endParaRPr lang="en-US" sz="900" kern="1200"/>
        </a:p>
      </dsp:txBody>
      <dsp:txXfrm>
        <a:off x="344940" y="576244"/>
        <a:ext cx="4575538" cy="293016"/>
      </dsp:txXfrm>
    </dsp:sp>
    <dsp:sp modelId="{64B43999-A635-48A3-9F81-7E3A3B7FA58B}">
      <dsp:nvSpPr>
        <dsp:cNvPr id="0" name=""/>
        <dsp:cNvSpPr/>
      </dsp:nvSpPr>
      <dsp:spPr>
        <a:xfrm>
          <a:off x="0" y="1221712"/>
          <a:ext cx="6581774" cy="277200"/>
        </a:xfrm>
        <a:prstGeom prst="rect">
          <a:avLst/>
        </a:prstGeom>
        <a:solidFill>
          <a:schemeClr val="accent4">
            <a:alpha val="90000"/>
            <a:tint val="40000"/>
            <a:hueOff val="0"/>
            <a:satOff val="0"/>
            <a:lumOff val="0"/>
            <a:alphaOff val="0"/>
          </a:schemeClr>
        </a:solidFill>
        <a:ln w="6350" cap="flat" cmpd="sng" algn="ctr">
          <a:solidFill>
            <a:schemeClr val="accent4">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88485C0A-9FB6-4FF1-9FC8-B1C23D4D4ADA}">
      <dsp:nvSpPr>
        <dsp:cNvPr id="0" name=""/>
        <dsp:cNvSpPr/>
      </dsp:nvSpPr>
      <dsp:spPr>
        <a:xfrm>
          <a:off x="329088" y="1059352"/>
          <a:ext cx="4607242" cy="32472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4143" tIns="0" rIns="174143" bIns="0" numCol="1" spcCol="1270" anchor="ctr" anchorCtr="0">
          <a:noAutofit/>
        </a:bodyPr>
        <a:lstStyle/>
        <a:p>
          <a:pPr lvl="0" algn="l" defTabSz="400050">
            <a:lnSpc>
              <a:spcPct val="90000"/>
            </a:lnSpc>
            <a:spcBef>
              <a:spcPct val="0"/>
            </a:spcBef>
            <a:spcAft>
              <a:spcPct val="35000"/>
            </a:spcAft>
          </a:pPr>
          <a:r>
            <a:rPr lang="lt-LT" sz="900" kern="1200"/>
            <a:t>3. PRIORITETAS: PASIEKIAMA, MODERNIOS INFRASTRUKTŪROS ŽALIOJI SAVIVALDYBĖ</a:t>
          </a:r>
          <a:endParaRPr lang="en-US" sz="900" kern="1200"/>
        </a:p>
      </dsp:txBody>
      <dsp:txXfrm>
        <a:off x="344940" y="1075204"/>
        <a:ext cx="4575538" cy="293016"/>
      </dsp:txXfrm>
    </dsp:sp>
    <dsp:sp modelId="{91B7EEEA-3927-455A-8B3E-5556274435D4}">
      <dsp:nvSpPr>
        <dsp:cNvPr id="0" name=""/>
        <dsp:cNvSpPr/>
      </dsp:nvSpPr>
      <dsp:spPr>
        <a:xfrm>
          <a:off x="0" y="1720672"/>
          <a:ext cx="6581774" cy="277200"/>
        </a:xfrm>
        <a:prstGeom prst="rect">
          <a:avLst/>
        </a:prstGeom>
        <a:solidFill>
          <a:schemeClr val="accent4">
            <a:alpha val="90000"/>
            <a:tint val="40000"/>
            <a:hueOff val="0"/>
            <a:satOff val="0"/>
            <a:lumOff val="0"/>
            <a:alphaOff val="0"/>
          </a:schemeClr>
        </a:solidFill>
        <a:ln w="6350" cap="flat" cmpd="sng" algn="ctr">
          <a:solidFill>
            <a:schemeClr val="accent4">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A01B0393-B0A7-4657-800D-A8A3C932F9CF}">
      <dsp:nvSpPr>
        <dsp:cNvPr id="0" name=""/>
        <dsp:cNvSpPr/>
      </dsp:nvSpPr>
      <dsp:spPr>
        <a:xfrm>
          <a:off x="329088" y="1558312"/>
          <a:ext cx="4607242" cy="32472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4143" tIns="0" rIns="174143" bIns="0" numCol="1" spcCol="1270" anchor="ctr" anchorCtr="0">
          <a:noAutofit/>
        </a:bodyPr>
        <a:lstStyle/>
        <a:p>
          <a:pPr lvl="0" algn="l" defTabSz="400050">
            <a:lnSpc>
              <a:spcPct val="90000"/>
            </a:lnSpc>
            <a:spcBef>
              <a:spcPct val="0"/>
            </a:spcBef>
            <a:spcAft>
              <a:spcPct val="35000"/>
            </a:spcAft>
          </a:pPr>
          <a:r>
            <a:rPr lang="lt-LT" sz="900" kern="1200"/>
            <a:t>4. PRIORITETAS: GYVENTOJAMS ATVIRA SAVIVALDYBĖ</a:t>
          </a:r>
          <a:endParaRPr lang="en-US" sz="900" kern="1200"/>
        </a:p>
      </dsp:txBody>
      <dsp:txXfrm>
        <a:off x="344940" y="1574164"/>
        <a:ext cx="4575538" cy="293016"/>
      </dsp:txXfrm>
    </dsp:sp>
  </dsp:spTree>
</dsp:drawing>
</file>

<file path=word/diagrams/drawing2.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060310" y="103547"/>
          <a:ext cx="4404003" cy="931198"/>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 </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Radviliškio rajono savivaldybės švietimo paslaugų prieinamumo ir kokybės užtikrinimo programa   </a:t>
          </a:r>
        </a:p>
      </dsp:txBody>
      <dsp:txXfrm>
        <a:off x="1087584" y="130821"/>
        <a:ext cx="4349455" cy="876650"/>
      </dsp:txXfrm>
    </dsp:sp>
    <dsp:sp modelId="{97FAFB0D-147E-4DF7-B3CC-F7EC615FFE66}">
      <dsp:nvSpPr>
        <dsp:cNvPr id="0" name=""/>
        <dsp:cNvSpPr/>
      </dsp:nvSpPr>
      <dsp:spPr>
        <a:xfrm>
          <a:off x="3216592" y="1034745"/>
          <a:ext cx="91440" cy="25322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100964" y="1287975"/>
          <a:ext cx="4322695" cy="518053"/>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Gerinti švietimo paslaugų kokybę pakankamumą ir pasiekiamumą    </a:t>
          </a:r>
        </a:p>
      </dsp:txBody>
      <dsp:txXfrm>
        <a:off x="1116137" y="1303148"/>
        <a:ext cx="4292349" cy="487707"/>
      </dsp:txXfrm>
    </dsp:sp>
  </dsp:spTree>
</dsp:drawing>
</file>

<file path=word/diagrams/drawing3.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447116" y="36392"/>
          <a:ext cx="3373217" cy="713245"/>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b="0" kern="1200">
              <a:solidFill>
                <a:sysClr val="windowText" lastClr="000000">
                  <a:hueOff val="0"/>
                  <a:satOff val="0"/>
                  <a:lumOff val="0"/>
                  <a:alphaOff val="0"/>
                </a:sysClr>
              </a:solidFill>
              <a:latin typeface="Calibri" panose="020F0502020204030204"/>
              <a:ea typeface="+mn-ea"/>
              <a:cs typeface="+mn-cs"/>
            </a:rPr>
            <a:t>Socialinių paslaugų ir socialinės paramos teikimo programa</a:t>
          </a:r>
          <a:r>
            <a:rPr lang="lt-LT"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p>
      </dsp:txBody>
      <dsp:txXfrm>
        <a:off x="1468006" y="57282"/>
        <a:ext cx="3331437" cy="671465"/>
      </dsp:txXfrm>
    </dsp:sp>
    <dsp:sp modelId="{97FAFB0D-147E-4DF7-B3CC-F7EC615FFE66}">
      <dsp:nvSpPr>
        <dsp:cNvPr id="0" name=""/>
        <dsp:cNvSpPr/>
      </dsp:nvSpPr>
      <dsp:spPr>
        <a:xfrm>
          <a:off x="3088005" y="749637"/>
          <a:ext cx="91440" cy="28529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478254" y="1034935"/>
          <a:ext cx="3310940" cy="655978"/>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Gerinti socialinių paslaugų kokybę, pakankamumą ir pasiekiamumą</a:t>
          </a:r>
        </a:p>
      </dsp:txBody>
      <dsp:txXfrm>
        <a:off x="1497467" y="1054148"/>
        <a:ext cx="3272514" cy="617552"/>
      </dsp:txXfrm>
    </dsp:sp>
    <dsp:sp modelId="{52CF58CD-C886-418B-A813-E5A75317E1E5}">
      <dsp:nvSpPr>
        <dsp:cNvPr id="0" name=""/>
        <dsp:cNvSpPr/>
      </dsp:nvSpPr>
      <dsp:spPr>
        <a:xfrm>
          <a:off x="3088005" y="1690914"/>
          <a:ext cx="91440" cy="275776"/>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494960" y="1966690"/>
          <a:ext cx="3277528" cy="413760"/>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Didinti socialinę integraciją, mažinti atskirtį </a:t>
          </a:r>
        </a:p>
      </dsp:txBody>
      <dsp:txXfrm>
        <a:off x="1507079" y="1978809"/>
        <a:ext cx="3253290" cy="389522"/>
      </dsp:txXfrm>
    </dsp:sp>
    <dsp:sp modelId="{AB3B6DBA-86A3-4F52-B2C4-3C7955C9888E}">
      <dsp:nvSpPr>
        <dsp:cNvPr id="0" name=""/>
        <dsp:cNvSpPr/>
      </dsp:nvSpPr>
      <dsp:spPr>
        <a:xfrm>
          <a:off x="3088005" y="2380451"/>
          <a:ext cx="91440" cy="294819"/>
        </a:xfrm>
        <a:custGeom>
          <a:avLst/>
          <a:gdLst/>
          <a:ahLst/>
          <a:cxnLst/>
          <a:rect l="0" t="0" r="0" b="0"/>
          <a:pathLst>
            <a:path>
              <a:moveTo>
                <a:pt x="45720" y="0"/>
              </a:moveTo>
              <a:lnTo>
                <a:pt x="45720" y="294819"/>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4C3CEB0-E6E6-4228-A88D-4D5D1FDCA370}">
      <dsp:nvSpPr>
        <dsp:cNvPr id="0" name=""/>
        <dsp:cNvSpPr/>
      </dsp:nvSpPr>
      <dsp:spPr>
        <a:xfrm>
          <a:off x="1502187" y="2675271"/>
          <a:ext cx="3263074" cy="429423"/>
        </a:xfrm>
        <a:prstGeom prst="roundRect">
          <a:avLst>
            <a:gd name="adj" fmla="val 10000"/>
          </a:avLst>
        </a:prstGeom>
        <a:solidFill>
          <a:srgbClr val="FFE8CB"/>
        </a:solidFill>
        <a:ln w="12700" cap="flat" cmpd="sng" algn="ctr">
          <a:solidFill>
            <a:srgbClr val="4472C4">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03-01-03 Kurti vaikui ir šeimai palankią aplinką</a:t>
          </a:r>
        </a:p>
      </dsp:txBody>
      <dsp:txXfrm>
        <a:off x="1514764" y="2687848"/>
        <a:ext cx="3237920" cy="404269"/>
      </dsp:txXfrm>
    </dsp:sp>
    <dsp:sp modelId="{DBC373F6-4E96-4306-82E4-013452A600CA}">
      <dsp:nvSpPr>
        <dsp:cNvPr id="0" name=""/>
        <dsp:cNvSpPr/>
      </dsp:nvSpPr>
      <dsp:spPr>
        <a:xfrm>
          <a:off x="3088005" y="3104694"/>
          <a:ext cx="91440" cy="285298"/>
        </a:xfrm>
        <a:custGeom>
          <a:avLst/>
          <a:gdLst/>
          <a:ahLst/>
          <a:cxnLst/>
          <a:rect l="0" t="0" r="0" b="0"/>
          <a:pathLst>
            <a:path>
              <a:moveTo>
                <a:pt x="45720" y="0"/>
              </a:moveTo>
              <a:lnTo>
                <a:pt x="45720" y="285298"/>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CC7BD09-FF59-499D-9135-12823388CF92}">
      <dsp:nvSpPr>
        <dsp:cNvPr id="0" name=""/>
        <dsp:cNvSpPr/>
      </dsp:nvSpPr>
      <dsp:spPr>
        <a:xfrm>
          <a:off x="1479565" y="3389992"/>
          <a:ext cx="3308319" cy="631264"/>
        </a:xfrm>
        <a:prstGeom prst="roundRect">
          <a:avLst>
            <a:gd name="adj" fmla="val 10000"/>
          </a:avLst>
        </a:prstGeom>
        <a:solidFill>
          <a:srgbClr val="FFE8CB"/>
        </a:solidFill>
        <a:ln w="12700" cap="flat" cmpd="sng" algn="ctr">
          <a:solidFill>
            <a:srgbClr val="4472C4">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03-02-01 Gerinti švietimo paslaugų kokybę, pakankamumą ir pasiekiamumą </a:t>
          </a:r>
        </a:p>
      </dsp:txBody>
      <dsp:txXfrm>
        <a:off x="1498054" y="3408481"/>
        <a:ext cx="3271341" cy="594286"/>
      </dsp:txXfrm>
    </dsp:sp>
  </dsp:spTree>
</dsp:drawing>
</file>

<file path=word/diagrams/drawing4.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578711" y="21913"/>
          <a:ext cx="3110027" cy="657595"/>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b="0" kern="1200"/>
            <a:t>05 Gyventojų turiningo laisvalaikio užtikrinimo, bendruomeniškumo ir veiklumo skatinimo programa </a:t>
          </a:r>
          <a:endParaRPr lang="lt-LT"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597971" y="41173"/>
        <a:ext cx="3071507" cy="619075"/>
      </dsp:txXfrm>
    </dsp:sp>
    <dsp:sp modelId="{97FAFB0D-147E-4DF7-B3CC-F7EC615FFE66}">
      <dsp:nvSpPr>
        <dsp:cNvPr id="0" name=""/>
        <dsp:cNvSpPr/>
      </dsp:nvSpPr>
      <dsp:spPr>
        <a:xfrm>
          <a:off x="3088005" y="679508"/>
          <a:ext cx="91440" cy="26303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607420" y="942546"/>
          <a:ext cx="3052609" cy="604796"/>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200" b="0" kern="1200"/>
            <a:t>Gerinti kultūros, turizmo, laisvalaikio paslaugų kokybę, pakankamumą ir pasiekiamumą</a:t>
          </a:r>
          <a:endPar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625134" y="960260"/>
        <a:ext cx="3017181" cy="569368"/>
      </dsp:txXfrm>
    </dsp:sp>
    <dsp:sp modelId="{52CF58CD-C886-418B-A813-E5A75317E1E5}">
      <dsp:nvSpPr>
        <dsp:cNvPr id="0" name=""/>
        <dsp:cNvSpPr/>
      </dsp:nvSpPr>
      <dsp:spPr>
        <a:xfrm>
          <a:off x="3088005" y="1547343"/>
          <a:ext cx="91440" cy="26303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622822" y="1810381"/>
          <a:ext cx="3021804" cy="381477"/>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Skatinti gyventojų fizinj aktyvumą, ugdyti sportuojančią visuomenę</a:t>
          </a:r>
        </a:p>
      </dsp:txBody>
      <dsp:txXfrm>
        <a:off x="1633995" y="1821554"/>
        <a:ext cx="2999458" cy="359131"/>
      </dsp:txXfrm>
    </dsp:sp>
    <dsp:sp modelId="{AB3B6DBA-86A3-4F52-B2C4-3C7955C9888E}">
      <dsp:nvSpPr>
        <dsp:cNvPr id="0" name=""/>
        <dsp:cNvSpPr/>
      </dsp:nvSpPr>
      <dsp:spPr>
        <a:xfrm>
          <a:off x="3088005" y="2191859"/>
          <a:ext cx="91440" cy="263038"/>
        </a:xfrm>
        <a:custGeom>
          <a:avLst/>
          <a:gdLst/>
          <a:ahLst/>
          <a:cxnLst/>
          <a:rect l="0" t="0" r="0" b="0"/>
          <a:pathLst>
            <a:path>
              <a:moveTo>
                <a:pt x="45720" y="0"/>
              </a:moveTo>
              <a:lnTo>
                <a:pt x="45720" y="26303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4C3CEB0-E6E6-4228-A88D-4D5D1FDCA370}">
      <dsp:nvSpPr>
        <dsp:cNvPr id="0" name=""/>
        <dsp:cNvSpPr/>
      </dsp:nvSpPr>
      <dsp:spPr>
        <a:xfrm>
          <a:off x="1629485" y="2454897"/>
          <a:ext cx="3008478" cy="735789"/>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05-01-03 Pritaikyti gamtos, kultūros paveldo ir kitus objektus lankytojams, švietimui, kultūrai, edukacijai bei kitų paslaugų teikimui</a:t>
          </a:r>
        </a:p>
      </dsp:txBody>
      <dsp:txXfrm>
        <a:off x="1651036" y="2476448"/>
        <a:ext cx="2965376" cy="692687"/>
      </dsp:txXfrm>
    </dsp:sp>
    <dsp:sp modelId="{DBC373F6-4E96-4306-82E4-013452A600CA}">
      <dsp:nvSpPr>
        <dsp:cNvPr id="0" name=""/>
        <dsp:cNvSpPr/>
      </dsp:nvSpPr>
      <dsp:spPr>
        <a:xfrm>
          <a:off x="3088005" y="3190687"/>
          <a:ext cx="91440" cy="263038"/>
        </a:xfrm>
        <a:custGeom>
          <a:avLst/>
          <a:gdLst/>
          <a:ahLst/>
          <a:cxnLst/>
          <a:rect l="0" t="0" r="0" b="0"/>
          <a:pathLst>
            <a:path>
              <a:moveTo>
                <a:pt x="45720" y="0"/>
              </a:moveTo>
              <a:lnTo>
                <a:pt x="45720" y="26303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CC7BD09-FF59-499D-9135-12823388CF92}">
      <dsp:nvSpPr>
        <dsp:cNvPr id="0" name=""/>
        <dsp:cNvSpPr/>
      </dsp:nvSpPr>
      <dsp:spPr>
        <a:xfrm>
          <a:off x="1608628" y="3453725"/>
          <a:ext cx="3050193" cy="582011"/>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05-01-04 Skatinti rajono gyventojų kompetencijų plėtojimą, bendruomeniškumą ir veiklumą.</a:t>
          </a:r>
        </a:p>
      </dsp:txBody>
      <dsp:txXfrm>
        <a:off x="1625675" y="3470772"/>
        <a:ext cx="3016099" cy="547917"/>
      </dsp:txXfrm>
    </dsp:sp>
  </dsp:spTree>
</dsp:drawing>
</file>

<file path=word/diagrams/drawing5.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821482" y="3417"/>
          <a:ext cx="2624485" cy="554930"/>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b="0" kern="1200"/>
            <a:t>06 Saugios, švarios ir patogios gyvenamosios aplinkos užtikrinimo programa</a:t>
          </a:r>
          <a:endParaRPr lang="lt-LT"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37735" y="19670"/>
        <a:ext cx="2591979" cy="522424"/>
      </dsp:txXfrm>
    </dsp:sp>
    <dsp:sp modelId="{97FAFB0D-147E-4DF7-B3CC-F7EC615FFE66}">
      <dsp:nvSpPr>
        <dsp:cNvPr id="0" name=""/>
        <dsp:cNvSpPr/>
      </dsp:nvSpPr>
      <dsp:spPr>
        <a:xfrm>
          <a:off x="3088005" y="558348"/>
          <a:ext cx="91440" cy="22197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845709" y="780320"/>
          <a:ext cx="2576031" cy="510375"/>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200" b="0" kern="1200"/>
            <a:t>Pašalinti rizikos veiksnius, keliančius grėsmę gamtinei aplinkai</a:t>
          </a:r>
          <a:endPar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60657" y="795268"/>
        <a:ext cx="2546135" cy="480479"/>
      </dsp:txXfrm>
    </dsp:sp>
    <dsp:sp modelId="{52CF58CD-C886-418B-A813-E5A75317E1E5}">
      <dsp:nvSpPr>
        <dsp:cNvPr id="0" name=""/>
        <dsp:cNvSpPr/>
      </dsp:nvSpPr>
      <dsp:spPr>
        <a:xfrm>
          <a:off x="3088005" y="1290695"/>
          <a:ext cx="91440" cy="22197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858707" y="1512667"/>
          <a:ext cx="2550035" cy="670000"/>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Išsaugoti natūralų rajono kraštovaizdį, augaliją ir gyvūniją</a:t>
          </a:r>
        </a:p>
      </dsp:txBody>
      <dsp:txXfrm>
        <a:off x="1878331" y="1532291"/>
        <a:ext cx="2510787" cy="630752"/>
      </dsp:txXfrm>
    </dsp:sp>
    <dsp:sp modelId="{AB3B6DBA-86A3-4F52-B2C4-3C7955C9888E}">
      <dsp:nvSpPr>
        <dsp:cNvPr id="0" name=""/>
        <dsp:cNvSpPr/>
      </dsp:nvSpPr>
      <dsp:spPr>
        <a:xfrm>
          <a:off x="3088005" y="2182668"/>
          <a:ext cx="91440" cy="221972"/>
        </a:xfrm>
        <a:custGeom>
          <a:avLst/>
          <a:gdLst/>
          <a:ahLst/>
          <a:cxnLst/>
          <a:rect l="0" t="0" r="0" b="0"/>
          <a:pathLst>
            <a:path>
              <a:moveTo>
                <a:pt x="45720" y="0"/>
              </a:moveTo>
              <a:lnTo>
                <a:pt x="45720" y="2219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4C3CEB0-E6E6-4228-A88D-4D5D1FDCA370}">
      <dsp:nvSpPr>
        <dsp:cNvPr id="0" name=""/>
        <dsp:cNvSpPr/>
      </dsp:nvSpPr>
      <dsp:spPr>
        <a:xfrm>
          <a:off x="1864329" y="2404640"/>
          <a:ext cx="2538790" cy="62091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06-01-03 Vykdyti kryptingą visuomenės sveikatinimo veiklą</a:t>
          </a:r>
        </a:p>
      </dsp:txBody>
      <dsp:txXfrm>
        <a:off x="1882515" y="2422826"/>
        <a:ext cx="2502418" cy="584545"/>
      </dsp:txXfrm>
    </dsp:sp>
    <dsp:sp modelId="{DBC373F6-4E96-4306-82E4-013452A600CA}">
      <dsp:nvSpPr>
        <dsp:cNvPr id="0" name=""/>
        <dsp:cNvSpPr/>
      </dsp:nvSpPr>
      <dsp:spPr>
        <a:xfrm>
          <a:off x="3088005" y="3025557"/>
          <a:ext cx="91440" cy="221972"/>
        </a:xfrm>
        <a:custGeom>
          <a:avLst/>
          <a:gdLst/>
          <a:ahLst/>
          <a:cxnLst/>
          <a:rect l="0" t="0" r="0" b="0"/>
          <a:pathLst>
            <a:path>
              <a:moveTo>
                <a:pt x="45720" y="0"/>
              </a:moveTo>
              <a:lnTo>
                <a:pt x="45720" y="2219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CC7BD09-FF59-499D-9135-12823388CF92}">
      <dsp:nvSpPr>
        <dsp:cNvPr id="0" name=""/>
        <dsp:cNvSpPr/>
      </dsp:nvSpPr>
      <dsp:spPr>
        <a:xfrm>
          <a:off x="1846728" y="3247530"/>
          <a:ext cx="2573992" cy="491146"/>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06-01-04 Didinti asmens sveikatos priežiūros paslaugų prieinamumą ir gerinti kokybę</a:t>
          </a:r>
        </a:p>
      </dsp:txBody>
      <dsp:txXfrm>
        <a:off x="1861113" y="3261915"/>
        <a:ext cx="2545222" cy="462376"/>
      </dsp:txXfrm>
    </dsp:sp>
    <dsp:sp modelId="{ADC2FF43-8183-459C-8128-4484AB7801B1}">
      <dsp:nvSpPr>
        <dsp:cNvPr id="0" name=""/>
        <dsp:cNvSpPr/>
      </dsp:nvSpPr>
      <dsp:spPr>
        <a:xfrm>
          <a:off x="3088005" y="3738676"/>
          <a:ext cx="91440" cy="221972"/>
        </a:xfrm>
        <a:custGeom>
          <a:avLst/>
          <a:gdLst/>
          <a:ahLst/>
          <a:cxnLst/>
          <a:rect l="0" t="0" r="0" b="0"/>
          <a:pathLst>
            <a:path>
              <a:moveTo>
                <a:pt x="45720" y="0"/>
              </a:moveTo>
              <a:lnTo>
                <a:pt x="45720" y="2219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20C992D-7A87-4929-ADCE-13AFA731DF92}">
      <dsp:nvSpPr>
        <dsp:cNvPr id="0" name=""/>
        <dsp:cNvSpPr/>
      </dsp:nvSpPr>
      <dsp:spPr>
        <a:xfrm>
          <a:off x="1850233" y="3960649"/>
          <a:ext cx="2566983" cy="554930"/>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06-01-05 Prižiūrėti rajono infrastruktūros objektus ir užtikrinti nepertraukiamą komunalinių paslaugų teikimą</a:t>
          </a:r>
          <a:endParaRPr lang="lt-LT" sz="1100" kern="1200">
            <a:solidFill>
              <a:srgbClr val="99CCFF"/>
            </a:solidFill>
          </a:endParaRPr>
        </a:p>
      </dsp:txBody>
      <dsp:txXfrm>
        <a:off x="1866486" y="3976902"/>
        <a:ext cx="2534477" cy="522424"/>
      </dsp:txXfrm>
    </dsp:sp>
    <dsp:sp modelId="{5F74BCE3-2ED0-4712-9C6D-536E69CD2DFC}">
      <dsp:nvSpPr>
        <dsp:cNvPr id="0" name=""/>
        <dsp:cNvSpPr/>
      </dsp:nvSpPr>
      <dsp:spPr>
        <a:xfrm>
          <a:off x="3088005" y="4515579"/>
          <a:ext cx="91440" cy="221972"/>
        </a:xfrm>
        <a:custGeom>
          <a:avLst/>
          <a:gdLst/>
          <a:ahLst/>
          <a:cxnLst/>
          <a:rect l="0" t="0" r="0" b="0"/>
          <a:pathLst>
            <a:path>
              <a:moveTo>
                <a:pt x="45720" y="0"/>
              </a:moveTo>
              <a:lnTo>
                <a:pt x="45720" y="2219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D77FD30-A6D5-4467-8A81-1A59354B1363}">
      <dsp:nvSpPr>
        <dsp:cNvPr id="0" name=""/>
        <dsp:cNvSpPr/>
      </dsp:nvSpPr>
      <dsp:spPr>
        <a:xfrm>
          <a:off x="1786962" y="4737551"/>
          <a:ext cx="2693524" cy="554930"/>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06-01-06 Užtikrinti viešąją tvarką ir viešąjį saugumą</a:t>
          </a:r>
          <a:endParaRPr lang="lt-LT" sz="1100" kern="1200"/>
        </a:p>
      </dsp:txBody>
      <dsp:txXfrm>
        <a:off x="1803215" y="4753804"/>
        <a:ext cx="2661018" cy="522424"/>
      </dsp:txXfrm>
    </dsp:sp>
  </dsp:spTree>
</dsp:drawing>
</file>

<file path=word/diagrams/drawing6.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788871" y="6218"/>
          <a:ext cx="2727807" cy="576777"/>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b="0" kern="1200"/>
            <a:t>01. Radviliškio rajono savivaldybės valdymo programa</a:t>
          </a:r>
          <a:endParaRPr lang="lt-LT"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05764" y="23111"/>
        <a:ext cx="2694021" cy="542991"/>
      </dsp:txXfrm>
    </dsp:sp>
    <dsp:sp modelId="{97FAFB0D-147E-4DF7-B3CC-F7EC615FFE66}">
      <dsp:nvSpPr>
        <dsp:cNvPr id="0" name=""/>
        <dsp:cNvSpPr/>
      </dsp:nvSpPr>
      <dsp:spPr>
        <a:xfrm>
          <a:off x="3107055" y="582995"/>
          <a:ext cx="91440" cy="230710"/>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814052" y="813706"/>
          <a:ext cx="2677445" cy="530467"/>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100" b="0" kern="1200">
              <a:latin typeface="Times New Roman" panose="02020603050405020304" pitchFamily="18" charset="0"/>
              <a:cs typeface="Times New Roman" panose="02020603050405020304" pitchFamily="18" charset="0"/>
            </a:rPr>
            <a:t>Užtikrinti efektyvų viešąjj valdymą, gerinti paslaugų kokybę ir prieinamumą</a:t>
          </a:r>
          <a:endPar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29589" y="829243"/>
        <a:ext cx="2646371" cy="499393"/>
      </dsp:txXfrm>
    </dsp:sp>
    <dsp:sp modelId="{52CF58CD-C886-418B-A813-E5A75317E1E5}">
      <dsp:nvSpPr>
        <dsp:cNvPr id="0" name=""/>
        <dsp:cNvSpPr/>
      </dsp:nvSpPr>
      <dsp:spPr>
        <a:xfrm>
          <a:off x="3107055" y="1344174"/>
          <a:ext cx="91440" cy="230710"/>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827561" y="1574885"/>
          <a:ext cx="2650426" cy="696377"/>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Tobulinti vidaus administravimą ir gyventojų aptarnavimą</a:t>
          </a:r>
        </a:p>
      </dsp:txBody>
      <dsp:txXfrm>
        <a:off x="1847957" y="1595281"/>
        <a:ext cx="2609634" cy="655585"/>
      </dsp:txXfrm>
    </dsp:sp>
    <dsp:sp modelId="{AB3B6DBA-86A3-4F52-B2C4-3C7955C9888E}">
      <dsp:nvSpPr>
        <dsp:cNvPr id="0" name=""/>
        <dsp:cNvSpPr/>
      </dsp:nvSpPr>
      <dsp:spPr>
        <a:xfrm>
          <a:off x="3107055" y="2271263"/>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4C3CEB0-E6E6-4228-A88D-4D5D1FDCA370}">
      <dsp:nvSpPr>
        <dsp:cNvPr id="0" name=""/>
        <dsp:cNvSpPr/>
      </dsp:nvSpPr>
      <dsp:spPr>
        <a:xfrm>
          <a:off x="1833405" y="2501973"/>
          <a:ext cx="2638738" cy="645361"/>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01-01-03 Užtikrinti efektyvų savivaldybei nuosavybės teise priklausančio turto valdymą bei naudojimą</a:t>
          </a:r>
        </a:p>
      </dsp:txBody>
      <dsp:txXfrm>
        <a:off x="1852307" y="2520875"/>
        <a:ext cx="2600934" cy="607557"/>
      </dsp:txXfrm>
    </dsp:sp>
    <dsp:sp modelId="{DBC373F6-4E96-4306-82E4-013452A600CA}">
      <dsp:nvSpPr>
        <dsp:cNvPr id="0" name=""/>
        <dsp:cNvSpPr/>
      </dsp:nvSpPr>
      <dsp:spPr>
        <a:xfrm>
          <a:off x="3107055" y="3147335"/>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CC7BD09-FF59-499D-9135-12823388CF92}">
      <dsp:nvSpPr>
        <dsp:cNvPr id="0" name=""/>
        <dsp:cNvSpPr/>
      </dsp:nvSpPr>
      <dsp:spPr>
        <a:xfrm>
          <a:off x="1815111" y="3378046"/>
          <a:ext cx="2675326" cy="510482"/>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01-01-04 Įvykdyti prisiimtus įsipareigojimus bei sudaryti galimybę finansuoti iš anksto negalimas suplanuoti išlaidas</a:t>
          </a:r>
        </a:p>
      </dsp:txBody>
      <dsp:txXfrm>
        <a:off x="1830063" y="3392998"/>
        <a:ext cx="2645422" cy="480578"/>
      </dsp:txXfrm>
    </dsp:sp>
    <dsp:sp modelId="{ADC2FF43-8183-459C-8128-4484AB7801B1}">
      <dsp:nvSpPr>
        <dsp:cNvPr id="0" name=""/>
        <dsp:cNvSpPr/>
      </dsp:nvSpPr>
      <dsp:spPr>
        <a:xfrm>
          <a:off x="3107055" y="3888529"/>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20C992D-7A87-4929-ADCE-13AFA731DF92}">
      <dsp:nvSpPr>
        <dsp:cNvPr id="0" name=""/>
        <dsp:cNvSpPr/>
      </dsp:nvSpPr>
      <dsp:spPr>
        <a:xfrm>
          <a:off x="1818754" y="4119239"/>
          <a:ext cx="2668041" cy="57677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01-01-05 Užtikrinti administracinės naštos mažinimo priemonių įgyvendinimą.</a:t>
          </a:r>
          <a:endParaRPr lang="lt-LT" sz="1100" kern="1200">
            <a:solidFill>
              <a:srgbClr val="99CCFF"/>
            </a:solidFill>
          </a:endParaRPr>
        </a:p>
      </dsp:txBody>
      <dsp:txXfrm>
        <a:off x="1835647" y="4136132"/>
        <a:ext cx="2634255" cy="542991"/>
      </dsp:txXfrm>
    </dsp:sp>
    <dsp:sp modelId="{5F74BCE3-2ED0-4712-9C6D-536E69CD2DFC}">
      <dsp:nvSpPr>
        <dsp:cNvPr id="0" name=""/>
        <dsp:cNvSpPr/>
      </dsp:nvSpPr>
      <dsp:spPr>
        <a:xfrm>
          <a:off x="3107055" y="4696017"/>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D77FD30-A6D5-4467-8A81-1A59354B1363}">
      <dsp:nvSpPr>
        <dsp:cNvPr id="0" name=""/>
        <dsp:cNvSpPr/>
      </dsp:nvSpPr>
      <dsp:spPr>
        <a:xfrm>
          <a:off x="1752992" y="4926727"/>
          <a:ext cx="2799564" cy="57677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01-02-01 Gerinti socialinių paslaugų kokybę, pakankamumą ir pasiekiamumą</a:t>
          </a:r>
          <a:endParaRPr lang="lt-LT" sz="1100" kern="1200"/>
        </a:p>
      </dsp:txBody>
      <dsp:txXfrm>
        <a:off x="1769885" y="4943620"/>
        <a:ext cx="2765778" cy="542991"/>
      </dsp:txXfrm>
    </dsp:sp>
    <dsp:sp modelId="{A108A033-3670-43C7-94B2-53A0185D0A1B}">
      <dsp:nvSpPr>
        <dsp:cNvPr id="0" name=""/>
        <dsp:cNvSpPr/>
      </dsp:nvSpPr>
      <dsp:spPr>
        <a:xfrm>
          <a:off x="3107055" y="5503505"/>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D1402AE-14DB-4FB4-9245-3BCF081442C2}">
      <dsp:nvSpPr>
        <dsp:cNvPr id="0" name=""/>
        <dsp:cNvSpPr/>
      </dsp:nvSpPr>
      <dsp:spPr>
        <a:xfrm>
          <a:off x="1755432" y="5734216"/>
          <a:ext cx="2794684" cy="57677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Font typeface="+mj-lt"/>
            <a:buAutoNum type="arabicPeriod"/>
          </a:pPr>
          <a:r>
            <a:rPr lang="lt-LT" sz="1100" kern="1200">
              <a:latin typeface="Times New Roman" panose="02020603050405020304" pitchFamily="18" charset="0"/>
              <a:cs typeface="Times New Roman" panose="02020603050405020304" pitchFamily="18" charset="0"/>
            </a:rPr>
            <a:t>01-02-02 Didinti socialinę integraciją, mažinti atskirtį</a:t>
          </a:r>
          <a:endParaRPr lang="lt-LT" sz="1100" kern="1200"/>
        </a:p>
      </dsp:txBody>
      <dsp:txXfrm>
        <a:off x="1772325" y="5751109"/>
        <a:ext cx="2760898" cy="542991"/>
      </dsp:txXfrm>
    </dsp:sp>
    <dsp:sp modelId="{DCE3DD2E-3665-4539-8FAB-C8E20CD4F1AA}">
      <dsp:nvSpPr>
        <dsp:cNvPr id="0" name=""/>
        <dsp:cNvSpPr/>
      </dsp:nvSpPr>
      <dsp:spPr>
        <a:xfrm>
          <a:off x="3107055" y="6310993"/>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0AA9340-6268-4777-A321-E1CAA0157A93}">
      <dsp:nvSpPr>
        <dsp:cNvPr id="0" name=""/>
        <dsp:cNvSpPr/>
      </dsp:nvSpPr>
      <dsp:spPr>
        <a:xfrm>
          <a:off x="1762371" y="6541704"/>
          <a:ext cx="2780807" cy="57677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Font typeface="+mj-lt"/>
            <a:buAutoNum type="arabicPeriod"/>
          </a:pPr>
          <a:r>
            <a:rPr lang="lt-LT" sz="1100" kern="1200">
              <a:latin typeface="Times New Roman" panose="02020603050405020304" pitchFamily="18" charset="0"/>
              <a:cs typeface="Times New Roman" panose="02020603050405020304" pitchFamily="18" charset="0"/>
            </a:rPr>
            <a:t>01-03-01 Įgyvendinti jaunimo politiką</a:t>
          </a:r>
          <a:endParaRPr lang="lt-LT" sz="1100" kern="1200"/>
        </a:p>
      </dsp:txBody>
      <dsp:txXfrm>
        <a:off x="1779264" y="6558597"/>
        <a:ext cx="2747021" cy="542991"/>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4.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5.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6.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075cf169c334ca7a57c71ef886de149" PartId="6c56ddbb97c74003990017e6108353bf"/>
  <Part Type="patvirtinta" DocPartId="2750995c960246f589dd802829ec6d3e" PartId="61966f772e4f42ce988e4dd0e0a31799">
    <Part Type="skirsnis" Title="RADVILIŠKIO RAJONO SAVIVALDYBĖS 2025–2027 M. STRATEGINIS VEIKLOS PLANAS" DocPartId="a065affa9b2e416481c3bd5e70d99ce2" PartId="2702b71e5b084c07a32e69d9d0a051e7"/>
    <Part Type="skyrius" Nr="1" Title="SAVIVALDYBĖS MISIJA IR VEIKLOS PRIORITETAI" DocPartId="a29b31273eac4230bbcb1cb08506a583" PartId="5d60c5902f254db68d174642985b31f6"/>
    <Part Type="skyrius" Nr="2" Title="SAVIVALDYBĖS PLĖTROS TIKSLAI, UŽDAVINIAI IR JŲ STEBĖSENOS RODIKLIAI" DocPartId="d26d387f485348eba3dae42bdf75d5f8" PartId="3855ed21e19f40619bcd720d0f4f4633"/>
    <Part Type="skyrius" Nr="3" Title="PLANUOJAMI PASIEKTI REZULTATAI" DocPartId="80b643c9ef924dfd9414ddb44fb31420" PartId="ae108f0c624d4b82b1c0fda9f8d47d93"/>
    <Part Type="skyrius" Nr="4" Title="PROGRAMOS" DocPartId="15a4fdf5929a4838b80d2ba807dbeca2" PartId="697b50d4075f43008e3a65a8bbae3380">
      <Part Type="poskyris" Title="1 grafikas. 2025–2027 metų asignavimų ir kitų lėšų pasiskirstymas pagal programas" DocPartId="cea6eedeb9fe4104a633267501e9f506" PartId="e1a65f0e470b4009a880ea9ef6fc54d8"/>
      <Part Type="poskyris" Title="Radviliškio rajono savivaldybės švietimo paslaugų prieinamumo ir kokybės užtikrinimo programa ir jos uždaviniai" DocPartId="7d91eba7a390437f84f2cb91efb6e512" PartId="4472df9df0a04f76bd879c2e51e63474"/>
      <Part Type="poskyris" Title="Programos uždaviniai, priemonės ir jų stebėsenos rodikliai" DocPartId="5f840d67546d43e291ad9c4cdbeca236" PartId="b617bffc0e7640c8af55699e215166aa"/>
      <Part Type="poskyris" Title="Socialinių paslaugų ir socialinės paramos teikimo programa ir jos uždaviniai" DocPartId="a1f0d445d5ef4bc092b60faa873af914" PartId="f15d711a61184f95a870774200b999f1"/>
      <Part Type="poskyris" Title="Programos uždaviniai, priemonės ir jų stebėsenos rodikliai" DocPartId="bae622355b204902ac4950a3e0dbd77a" PartId="5fcd285d6885435e9081f60cb6a708d1"/>
      <Part Type="poskyris" Title="Rajono savivaldybės infrastruktūros objektų modernizavimo ir plėtros programa ir jos uždaviniai" DocPartId="3f341f5c85d8482c94e9740a4640824a" PartId="92259effbc99429cababd37e441e7008"/>
      <Part Type="poskyris" Title="Infrastruktūros objektų modernizavimo ir plėtros programos aprašymas" DocPartId="cc2cf1bee9584220abd9bf18c91c709a" PartId="3d6c2e739dd24f9faaf3b23bfd4d7f9f"/>
      <Part Type="poskyris" Title="Gyventojų turiningo laisvalaikio užtikrinimo, bendruomeniškumo ir veiklumo skatinimo programa ir jos uždaviniai" DocPartId="aadd6d93d2d645bfa2a0d7ae400be09c" PartId="908ae05b4c0040738c55bc0a2cddabe0"/>
      <Part Type="poskyris" Title="Programos uždaviniai, priemonės ir jų stebėsenos rodikliai" DocPartId="e65e85d5ba1444f9975b73b429423426" PartId="7d82b41e97e8455da23e46155fa4c160"/>
      <Part Type="poskyris" Title="Saugios, švarios ir patogios gyvenamosios aplinkos užtikrinimo programa ir jos uždaviniai" DocPartId="2fe6648092dd487aa03ad0b5fa688c8d" PartId="f295ad1cd1c54293aa7d711edc8c5df7"/>
      <Part Type="poskyris" Title="Programos uždaviniai, priemonės ir jų stebėsenos rodikliai" DocPartId="ea31915bb5534e7e966f1efe6d02c5d7" PartId="3a359fa36d0946958d98d4abd0042d2b"/>
      <Part Type="poskyris" Title="Radviliškio rajono savivaldybės valdymo programa ir jos uždaviniai" DocPartId="6fc9fe0afcbb4b6bab5912f4e55c2617" PartId="f45fb8ecf21348d68bd83f32de9c0693"/>
      <Part Type="poskyris" Title="Programos uždaviniai, priemonės ir jų stebėsenos rodikliai" DocPartId="a2b6539e4c4c42398b588d82024036a0" PartId="915dbabb7cee4f5798cd0e7e1bf86cc9"/>
    </Part>
    <Part Type="skyrius" Nr="5" Title="SAVIVALDYBĖS VALDOMŲ ĮMONIŲ IR VIEŠŲJŲ ĮSTAIGŲ PLANUOJAMOS PASIEKTI PAGRINDINIŲ VEIKLOS RODIKLIŲ REIKŠMĖS" DocPartId="5db2f3f8a83b4247932b51682ba3220a" PartId="ac667d9fa3714cf6ba6121195f2272ae"/>
  </Part>
</Parts>
</file>

<file path=customXml/itemProps1.xml><?xml version="1.0" encoding="utf-8"?>
<ds:datastoreItem xmlns:ds="http://schemas.openxmlformats.org/officeDocument/2006/customXml" ds:itemID="{856CA921-2B46-49EB-8B03-0D8C32BA5240}">
  <ds:schemaRefs>
    <ds:schemaRef ds:uri="http://schemas.openxmlformats.org/officeDocument/2006/bibliography"/>
  </ds:schemaRefs>
</ds:datastoreItem>
</file>

<file path=customXml/itemProps2.xml><?xml version="1.0" encoding="utf-8"?>
<ds:datastoreItem xmlns:ds="http://schemas.openxmlformats.org/officeDocument/2006/customXml" ds:itemID="{DBA0F941-8439-473D-B194-550379FF2D6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11715</Words>
  <Characters>85756</Characters>
  <Application>Microsoft Office Word</Application>
  <DocSecurity>4</DocSecurity>
  <Lines>5359</Lines>
  <Paragraphs>2565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94906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2025-05-20T06:28:00Z</dcterms:created>
  <dc:creator>KOM6</dc:creator>
  <lastModifiedBy>adlibuser</lastModifiedBy>
  <lastPrinted>2025-02-05T13:24:00Z</lastPrinted>
  <dcterms:modified xsi:type="dcterms:W3CDTF">2025-05-20T06:28:00Z</dcterms:modified>
  <revision>2</revision>
</coreProperties>
</file>