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876e11a31a49e9ab331fd78c148e95"/>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widowControl w:val="0"/>
            <w:tabs>
              <w:tab w:val="left" w:pos="0"/>
            </w:tabs>
            <w:suppressAutoHyphens/>
            <w:ind w:right="-570"/>
            <w:jc w:val="center"/>
            <w:rPr>
              <w:rFonts w:eastAsia="Lucida Sans Unicode"/>
              <w:b/>
              <w:kern w:val="1"/>
              <w:szCs w:val="24"/>
            </w:rPr>
          </w:pPr>
          <w:r>
            <w:rPr>
              <w:rFonts w:eastAsia="Lucida Sans Unicode"/>
              <w:b/>
              <w:kern w:val="1"/>
              <w:szCs w:val="24"/>
            </w:rPr>
            <w:t>ŠIAULIŲ MIESTO SAVIVALDYBĖS ADMINISTRACIJOS</w:t>
          </w:r>
        </w:p>
        <w:sdt>
          <w:sdtPr>
            <w:alias w:val="skyrius"/>
            <w:tag w:val="part_e185974bbea848d38eef49d85d638af8"/>
            <w:lock w:val="sdtLocked"/>
            <w:richText/>
          </w:sdtPr>
          <w:sdtContent>
            <w:p>
              <w:pPr>
                <w:widowControl w:val="0"/>
                <w:tabs>
                  <w:tab w:val="left" w:pos="0"/>
                </w:tabs>
                <w:suppressAutoHyphens/>
                <w:ind w:right="-570"/>
                <w:jc w:val="center"/>
                <w:rPr>
                  <w:rFonts w:eastAsia="Lucida Sans Unicode"/>
                  <w:b/>
                  <w:kern w:val="1"/>
                  <w:szCs w:val="24"/>
                </w:rPr>
              </w:pPr>
              <w:r>
                <w:rPr>
                  <w:rFonts w:eastAsia="Lucida Sans Unicode"/>
                  <w:b/>
                  <w:kern w:val="1"/>
                  <w:szCs w:val="24"/>
                </w:rPr>
                <w:t>SPORTO SKYRIUS</w:t>
              </w:r>
            </w:p>
            <w:p>
              <w:pPr>
                <w:jc w:val="both"/>
                <w:rPr>
                  <w:szCs w:val="24"/>
                </w:rPr>
              </w:pPr>
            </w:p>
            <w:p>
              <w:pPr>
                <w:jc w:val="both"/>
                <w:rPr>
                  <w:szCs w:val="24"/>
                </w:rPr>
              </w:pPr>
              <w:r>
                <w:rPr>
                  <w:szCs w:val="24"/>
                </w:rPr>
                <w:t>Šiaulių miesto savivaldybės tarybai</w:t>
              </w:r>
            </w:p>
            <w:p>
              <w:pPr>
                <w:spacing w:line="276" w:lineRule="auto"/>
                <w:jc w:val="center"/>
                <w:rPr>
                  <w:b/>
                  <w:szCs w:val="24"/>
                </w:rPr>
              </w:pPr>
            </w:p>
            <w:sdt>
              <w:sdtPr>
                <w:alias w:val="poskyris"/>
                <w:tag w:val="part_05652b33e69b4a61a5b9a7d603d68a38"/>
                <w:lock w:val="sdtLocked"/>
                <w:richText/>
              </w:sdtPr>
              <w:sdtContent>
                <w:p>
                  <w:pPr>
                    <w:tabs>
                      <w:tab w:val="left" w:pos="6792"/>
                    </w:tabs>
                    <w:ind w:left="709"/>
                    <w:jc w:val="center"/>
                    <w:rPr>
                      <w:b/>
                      <w:szCs w:val="24"/>
                    </w:rPr>
                  </w:pPr>
                  <w:sdt>
                    <w:sdtPr>
                      <w:alias w:val="Pavadinimas"/>
                      <w:tag w:val="title_05652b33e69b4a61a5b9a7d603d68a38"/>
                      <w:lock w:val="sdtLocked"/>
                      <w:richText/>
                    </w:sdtPr>
                    <w:sdtContent>
                      <w:r>
                        <w:rPr>
                          <w:b/>
                          <w:szCs w:val="24"/>
                        </w:rPr>
                        <w:t xml:space="preserve">SPRENDIMO DĖL ŠIAULIŲ TENISO AKADEMIJOS NUOSTATŲ PATVIRTINIMO </w:t>
                      </w:r>
                      <w:r>
                        <w:rPr>
                          <w:rFonts w:eastAsia="Lucida Sans Unicode"/>
                          <w:b/>
                          <w:bCs/>
                          <w:szCs w:val="24"/>
                          <w:lang w:eastAsia="lt-LT"/>
                        </w:rPr>
                        <w:t>AIŠKINAMASIS RAŠTAS</w:t>
                      </w:r>
                    </w:sdtContent>
                  </w:sdt>
                </w:p>
                <w:p>
                  <w:pPr>
                    <w:widowControl w:val="0"/>
                    <w:jc w:val="center"/>
                    <w:rPr>
                      <w:rFonts w:eastAsia="Lucida Sans Unicode"/>
                      <w:iCs/>
                      <w:szCs w:val="24"/>
                      <w:lang w:eastAsia="lt-LT"/>
                    </w:rPr>
                  </w:pPr>
                </w:p>
                <w:p>
                  <w:pPr>
                    <w:jc w:val="center"/>
                    <w:rPr>
                      <w:szCs w:val="24"/>
                    </w:rPr>
                  </w:pPr>
                  <w:r>
                    <w:rPr>
                      <w:szCs w:val="24"/>
                    </w:rPr>
                    <w:t xml:space="preserve">2025 m. kovo 4  d.</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both"/>
                    <w:rPr>
                      <w:rFonts w:eastAsia="Lucida Sans Unicode"/>
                      <w:b/>
                      <w:bCs/>
                      <w:iCs/>
                      <w:szCs w:val="24"/>
                      <w:shd w:val="clear" w:color="auto" w:fill="FFFFFF"/>
                      <w:lang w:eastAsia="lt-LT"/>
                    </w:rPr>
                  </w:pPr>
                </w:p>
                <w:p>
                  <w:pPr>
                    <w:ind w:firstLine="1296"/>
                    <w:jc w:val="both"/>
                    <w:rPr>
                      <w:rFonts w:eastAsia="Calibri"/>
                      <w:szCs w:val="24"/>
                    </w:rPr>
                  </w:pPr>
                  <w:r>
                    <w:rPr>
                      <w:rFonts w:eastAsia="Calibri"/>
                      <w:b/>
                      <w:szCs w:val="24"/>
                    </w:rPr>
                    <w:t>Parengto sprendimo projekto tikslas ir uždaviniai</w:t>
                  </w:r>
                  <w:r>
                    <w:rPr>
                      <w:rFonts w:eastAsia="Calibri"/>
                      <w:szCs w:val="24"/>
                    </w:rPr>
                    <w:t>.</w:t>
                  </w:r>
                </w:p>
                <w:p>
                  <w:pPr>
                    <w:tabs>
                      <w:tab w:val="left" w:pos="0"/>
                    </w:tabs>
                    <w:ind w:firstLine="720"/>
                    <w:jc w:val="both"/>
                    <w:rPr>
                      <w:rFonts w:eastAsia="Calibri"/>
                      <w:szCs w:val="24"/>
                    </w:rPr>
                  </w:pPr>
                  <w:r>
                    <w:rPr>
                      <w:rFonts w:eastAsia="Calibri"/>
                      <w:szCs w:val="24"/>
                    </w:rPr>
                    <w:t>Sprendimo projekto tikslas – patvirtinti Šiaulių</w:t>
                  </w:r>
                  <w:r>
                    <w:rPr>
                      <w:szCs w:val="24"/>
                    </w:rPr>
                    <w:t xml:space="preserve"> teniso akademijos</w:t>
                  </w:r>
                  <w:r>
                    <w:rPr>
                      <w:b/>
                      <w:szCs w:val="24"/>
                    </w:rPr>
                    <w:t xml:space="preserve"> </w:t>
                  </w:r>
                  <w:r>
                    <w:rPr>
                      <w:rFonts w:eastAsia="Calibri"/>
                      <w:szCs w:val="24"/>
                    </w:rPr>
                    <w:t xml:space="preserve">nuostatus (toliau – Nuostatai). </w:t>
                  </w:r>
                </w:p>
                <w:p>
                  <w:pPr>
                    <w:ind w:firstLine="720"/>
                    <w:jc w:val="both"/>
                    <w:rPr>
                      <w:rFonts w:eastAsia="Calibri"/>
                      <w:b/>
                      <w:szCs w:val="24"/>
                      <w:shd w:val="clear" w:color="auto" w:fill="FFFFFF"/>
                    </w:rPr>
                  </w:pPr>
                  <w:r>
                    <w:rPr>
                      <w:rFonts w:eastAsia="Calibri"/>
                      <w:bCs/>
                      <w:szCs w:val="24"/>
                    </w:rPr>
                    <w:t>D</w:t>
                  </w:r>
                  <w:r>
                    <w:rPr>
                      <w:rFonts w:eastAsia="Calibri"/>
                      <w:b/>
                      <w:szCs w:val="24"/>
                      <w:shd w:val="clear" w:color="auto" w:fill="FFFFFF"/>
                    </w:rPr>
                    <w:t>abartinis sprendimo projekte aptariamų klausimų reguliavimas:</w:t>
                  </w:r>
                </w:p>
                <w:p>
                  <w:pPr>
                    <w:ind w:firstLine="1296"/>
                    <w:jc w:val="both"/>
                    <w:rPr>
                      <w:rFonts w:eastAsia="Calibri"/>
                      <w:szCs w:val="24"/>
                    </w:rPr>
                  </w:pPr>
                  <w:r>
                    <w:rPr>
                      <w:rFonts w:eastAsia="Calibri"/>
                      <w:szCs w:val="24"/>
                    </w:rPr>
                    <w:t xml:space="preserve">Sprendimo projektas teikiamas atsižvelgiant į pasikeitusius teisės aktus. </w:t>
                  </w:r>
                </w:p>
                <w:p>
                  <w:pPr>
                    <w:ind w:firstLine="1296"/>
                    <w:jc w:val="both"/>
                    <w:rPr>
                      <w:rFonts w:eastAsia="Calibri"/>
                      <w:szCs w:val="24"/>
                    </w:rPr>
                  </w:pPr>
                  <w:r>
                    <w:rPr>
                      <w:rFonts w:eastAsia="Calibri"/>
                      <w:szCs w:val="24"/>
                    </w:rPr>
                    <w:t>Dabar galiojantys Nuostatai patvirtinti Šiaulių miesto savivaldybės tarybos 2024 m. gegužės 2 d. sprendimą Nr. T-168 „Dėl Šiaulių teniso akademijos nuostatų patvirtinimo“.</w:t>
                  </w:r>
                </w:p>
                <w:p>
                  <w:pPr>
                    <w:ind w:firstLine="1296"/>
                    <w:jc w:val="both"/>
                    <w:rPr>
                      <w:rFonts w:eastAsia="Calibri"/>
                      <w:szCs w:val="24"/>
                    </w:rPr>
                  </w:pPr>
                  <w:r>
                    <w:rPr>
                      <w:rFonts w:eastAsia="Calibri"/>
                      <w:szCs w:val="24"/>
                    </w:rPr>
                    <w:t>Nuo 2025 m. sausio 1 d. Lietuvoje įsigaliojo nauja Ekonominės veiklos rūšių klasifikatoriaus (EVRK) redakcija (EVRK 2.1 red.). Joje ekonominės veiklos, kuriomis užsiima fiziniai ar juridiniai asmenys, atnaujintos atsižvelgiant į ekonomines aktualijas, pakitusias per daugelį metų. Atnaujintoje EVRK versijoje pakeisti dalies ekonominių veiklų kodai ar pavadinimai. Atsižvelgiant į pasikeitusį teisinį reguliavimą, peržiūrėtas ir Nuostatų II skyriaus 14 punktas.</w:t>
                  </w:r>
                </w:p>
                <w:p>
                  <w:pPr>
                    <w:ind w:firstLine="1296"/>
                    <w:jc w:val="both"/>
                    <w:rPr>
                      <w:rFonts w:eastAsia="Calibri"/>
                      <w:szCs w:val="24"/>
                    </w:rPr>
                  </w:pPr>
                  <w:r>
                    <w:rPr>
                      <w:rFonts w:eastAsia="Calibri"/>
                      <w:szCs w:val="24"/>
                    </w:rPr>
                    <w:t>Pagrindinė Akademijos veiklos rūšis pagal ekonominės veiklos klasifikatorių parinkta pagal 93 kodą - Sportinė veikla, pramogų ir rekreacijos organizavimo veikla. Į šį skyrių įeina sportinė veikla, kaip bet kokia fizinė veikla, atliekama retkarčiais arba organizuotai dalyvaujant, siekiant išreikšti ir pagerinti fizinį pasirengimą ir psichinę gerovę, užmegzti socialinius ryšius ar siekti rezultatų visų lygių varžybose. Į šį skyrių įeina pramogų ir rekreacinė veikla. Į šį skyrių taip pat įeina: - sporto renginių organizavimas. Atsižvelgiant į akademijos specifiką, peržiūrėtos ir kitos veiklos rūšys.</w:t>
                  </w:r>
                </w:p>
                <w:p>
                  <w:pPr>
                    <w:ind w:firstLine="1296"/>
                    <w:jc w:val="both"/>
                    <w:rPr>
                      <w:rFonts w:eastAsia="Calibri"/>
                      <w:szCs w:val="24"/>
                      <w:shd w:val="clear" w:color="auto" w:fill="FFFFFF"/>
                    </w:rPr>
                  </w:pPr>
                  <w:r>
                    <w:rPr>
                      <w:rFonts w:eastAsia="Calibri"/>
                      <w:b/>
                      <w:szCs w:val="24"/>
                      <w:shd w:val="clear" w:color="auto" w:fill="FFFFFF"/>
                    </w:rPr>
                    <w:t>Priėmus sprendimą, galimos pasekmės (tiek teigiamos, tiek neigiamos):</w:t>
                  </w:r>
                  <w:r>
                    <w:rPr>
                      <w:rFonts w:eastAsia="Calibri"/>
                      <w:szCs w:val="24"/>
                      <w:shd w:val="clear" w:color="auto" w:fill="FFFFFF"/>
                    </w:rPr>
                    <w:tab/>
                    <w:t>Pasekmės teigiamos. Priėmus sprendimą, bus patvirtinti Šiaulių teniso akademijos nuostatai, kurie atitiks galiojančius teisės aktus.</w:t>
                  </w:r>
                </w:p>
                <w:p>
                  <w:pPr>
                    <w:ind w:firstLine="1296"/>
                    <w:jc w:val="both"/>
                    <w:rPr>
                      <w:rFonts w:eastAsia="Calibri"/>
                      <w:szCs w:val="24"/>
                      <w:shd w:val="clear" w:color="auto" w:fill="FFFFFF"/>
                    </w:rPr>
                  </w:pPr>
                  <w:r>
                    <w:rPr>
                      <w:rFonts w:eastAsia="Calibri"/>
                      <w:b/>
                      <w:szCs w:val="24"/>
                    </w:rPr>
                    <w:t>Priėmus sprendimą, keičiami ar panaikinami galiojantys Savivaldybės teisės aktai.</w:t>
                  </w:r>
                  <w:r>
                    <w:rPr>
                      <w:rFonts w:eastAsia="Calibri"/>
                      <w:szCs w:val="24"/>
                      <w:shd w:val="clear" w:color="auto" w:fill="FFFFFF"/>
                    </w:rPr>
                    <w:tab/>
                    <w:t>Pripažinti netekusiu galios Šiaulių miesto savivaldybės tarybos 2024 m. gegužės 2 d. sprendimą Nr. T-168 „Dėl Šiaulių teniso akademijos nuostatų patvirtinimo“.</w:t>
                  </w:r>
                </w:p>
              </w:sdtContent>
            </w:sdt>
            <w:sdt>
              <w:sdtPr>
                <w:alias w:val="poskyris"/>
                <w:tag w:val="part_eb94e14e41174d13bd00e99f0b27ed81"/>
                <w:lock w:val="sdtLocked"/>
                <w:richText/>
              </w:sdtPr>
              <w:sdtContent>
                <w:p>
                  <w:pPr>
                    <w:widowControl w:val="0"/>
                    <w:suppressLineNumbers/>
                    <w:suppressAutoHyphens/>
                    <w:ind w:firstLine="1134"/>
                    <w:jc w:val="both"/>
                    <w:rPr>
                      <w:rFonts w:eastAsia="Lucida Sans Unicode"/>
                      <w:b/>
                      <w:bCs/>
                      <w:szCs w:val="24"/>
                      <w:lang w:eastAsia="lt-LT"/>
                    </w:rPr>
                  </w:pPr>
                  <w:sdt>
                    <w:sdtPr>
                      <w:alias w:val="Pavadinimas"/>
                      <w:tag w:val="title_eb94e14e41174d13bd00e99f0b27ed81"/>
                      <w:lock w:val="sdtLocked"/>
                      <w:richText/>
                    </w:sdtPr>
                    <w:sdtContent>
                      <w:r>
                        <w:rPr>
                          <w:rFonts w:eastAsia="Lucida Sans Unicode"/>
                          <w:b/>
                          <w:bCs/>
                          <w:szCs w:val="24"/>
                          <w:lang w:eastAsia="lt-LT"/>
                        </w:rPr>
                        <w:t>Sprendimui įgyvendinti reikalingi priimti papildomi teisės aktai.</w:t>
                      </w:r>
                    </w:sdtContent>
                  </w:sdt>
                </w:p>
                <w:p>
                  <w:pPr>
                    <w:widowControl w:val="0"/>
                    <w:ind w:firstLine="1134"/>
                    <w:jc w:val="both"/>
                    <w:rPr>
                      <w:rFonts w:eastAsia="Lucida Sans Unicode"/>
                      <w:b/>
                      <w:bCs/>
                      <w:szCs w:val="24"/>
                      <w:lang w:eastAsia="lt-LT"/>
                    </w:rPr>
                  </w:pPr>
                  <w:r>
                    <w:rPr>
                      <w:rFonts w:eastAsia="Lucida Sans Unicode"/>
                      <w:szCs w:val="24"/>
                      <w:lang w:eastAsia="lt-LT"/>
                    </w:rPr>
                    <w:t>Sprendimui įgyvendinti papildomų teisės aktų priimti nereikės.</w:t>
                  </w:r>
                </w:p>
                <w:p>
                  <w:pPr>
                    <w:widowControl w:val="0"/>
                    <w:ind w:firstLine="1134"/>
                    <w:jc w:val="both"/>
                    <w:rPr>
                      <w:rFonts w:eastAsia="Lucida Sans Unicode"/>
                      <w:bCs/>
                      <w:szCs w:val="24"/>
                      <w:lang w:eastAsia="lt-LT"/>
                    </w:rPr>
                  </w:pPr>
                  <w:r>
                    <w:rPr>
                      <w:rFonts w:eastAsia="Lucida Sans Unicode"/>
                      <w:b/>
                      <w:bCs/>
                      <w:szCs w:val="24"/>
                      <w:lang w:eastAsia="lt-LT"/>
                    </w:rPr>
                    <w:t>Sprendimui įgyvendinti reikalingos lėšos</w:t>
                  </w:r>
                  <w:r>
                    <w:rPr>
                      <w:rFonts w:eastAsia="Lucida Sans Unicode"/>
                      <w:bCs/>
                      <w:szCs w:val="24"/>
                      <w:lang w:eastAsia="lt-LT"/>
                    </w:rPr>
                    <w:t>.</w:t>
                  </w:r>
                </w:p>
                <w:p>
                  <w:pPr>
                    <w:widowControl w:val="0"/>
                    <w:ind w:firstLine="1134"/>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928624f40c9847c0bc82befff8547573"/>
                <w:lock w:val="sdtLocked"/>
                <w:richText/>
              </w:sdtPr>
              <w:sdtContent>
                <w:p>
                  <w:pPr>
                    <w:widowControl w:val="0"/>
                    <w:ind w:firstLine="1134"/>
                    <w:jc w:val="both"/>
                    <w:rPr>
                      <w:rFonts w:eastAsia="Lucida Sans Unicode"/>
                      <w:b/>
                      <w:szCs w:val="24"/>
                      <w:lang w:eastAsia="lt-LT"/>
                    </w:rPr>
                  </w:pPr>
                  <w:sdt>
                    <w:sdtPr>
                      <w:alias w:val="Pavadinimas"/>
                      <w:tag w:val="title_928624f40c9847c0bc82befff8547573"/>
                      <w:lock w:val="sdtLocked"/>
                      <w:richText/>
                    </w:sdtPr>
                    <w:sdtContent>
                      <w:r>
                        <w:rPr>
                          <w:rFonts w:eastAsia="Lucida Sans Unicode"/>
                          <w:b/>
                          <w:szCs w:val="24"/>
                          <w:lang w:eastAsia="lt-LT"/>
                        </w:rPr>
                        <w:t>Sprendimo projekto antikorupcinis vertinimas.</w:t>
                      </w:r>
                    </w:sdtContent>
                  </w:sdt>
                </w:p>
                <w:p>
                  <w:pPr>
                    <w:widowControl w:val="0"/>
                    <w:ind w:firstLine="1134"/>
                    <w:jc w:val="both"/>
                    <w:rPr>
                      <w:rFonts w:eastAsia="Lucida Sans Unicode"/>
                      <w:b/>
                      <w:szCs w:val="24"/>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pPr>
                    <w:tabs>
                      <w:tab w:val="left" w:pos="0"/>
                    </w:tabs>
                    <w:ind w:firstLine="720"/>
                    <w:jc w:val="both"/>
                    <w:rPr>
                      <w:rFonts w:eastAsia="Calibri"/>
                      <w:b/>
                      <w:szCs w:val="24"/>
                      <w:shd w:val="clear" w:color="auto" w:fill="FFFFFF"/>
                    </w:rPr>
                  </w:pPr>
                  <w:r>
                    <w:rPr>
                      <w:rFonts w:eastAsia="Calibri"/>
                      <w:b/>
                      <w:szCs w:val="24"/>
                      <w:shd w:val="clear" w:color="auto" w:fill="FFFFFF"/>
                    </w:rPr>
                    <w:t>Sprendimo projektą parengė:</w:t>
                  </w:r>
                  <w:r>
                    <w:rPr>
                      <w:rFonts w:eastAsia="Calibri"/>
                      <w:szCs w:val="24"/>
                    </w:rPr>
                    <w:t xml:space="preserve"> Sporto skyriaus vyr. specialistės Lina Janauskienė, tel. 59 62 14 </w:t>
                  </w:r>
                  <w:r>
                    <w:rPr>
                      <w:rFonts w:eastAsia="Calibri"/>
                      <w:b/>
                      <w:szCs w:val="24"/>
                      <w:shd w:val="clear" w:color="auto" w:fill="FFFFFF"/>
                    </w:rPr>
                    <w:tab/>
                  </w:r>
                </w:p>
                <w:p>
                  <w:pPr>
                    <w:tabs>
                      <w:tab w:val="left" w:pos="0"/>
                    </w:tabs>
                    <w:jc w:val="both"/>
                    <w:rPr>
                      <w:rFonts w:eastAsia="Calibri"/>
                      <w:b/>
                      <w:szCs w:val="24"/>
                      <w:shd w:val="clear" w:color="auto" w:fill="FFFFFF"/>
                    </w:rPr>
                  </w:pPr>
                </w:p>
                <w:p>
                  <w:pPr>
                    <w:tabs>
                      <w:tab w:val="left" w:pos="0"/>
                    </w:tabs>
                    <w:jc w:val="both"/>
                    <w:rPr>
                      <w:rFonts w:eastAsia="Calibri"/>
                      <w:b/>
                      <w:szCs w:val="24"/>
                      <w:shd w:val="clear" w:color="auto" w:fill="FFFFFF"/>
                    </w:rPr>
                  </w:pPr>
                </w:p>
              </w:sdtContent>
            </w:sdt>
          </w:sdtContent>
        </w:sdt>
        <w:sdt>
          <w:sdtPr>
            <w:alias w:val="signatura"/>
            <w:tag w:val="part_b1593ca86aa04f9096ff3f46163e3120"/>
            <w:lock w:val="sdtLocked"/>
            <w:richText/>
          </w:sdtPr>
          <w:sdtContent>
            <w:p>
              <w:pPr>
                <w:tabs>
                  <w:tab w:val="left" w:pos="0"/>
                </w:tabs>
                <w:jc w:val="both"/>
                <w:rPr>
                  <w:rFonts w:eastAsia="Calibri"/>
                  <w:szCs w:val="24"/>
                </w:rPr>
              </w:pPr>
              <w:r>
                <w:rPr>
                  <w:rFonts w:eastAsia="Calibri"/>
                  <w:szCs w:val="24"/>
                </w:rPr>
                <w:t>Vedėjas</w:t>
                <w:tab/>
                <w:tab/>
                <w:tab/>
                <w:tab/>
                <w:tab/>
                <w:tab/>
                <w:t>Gintaras Jasiūnas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93D986-6AC9-4DCD-A974-DFA10155A5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0679415">
      <w:bodyDiv w:val="1"/>
      <w:marLeft w:val="0"/>
      <w:marRight w:val="0"/>
      <w:marTop w:val="0"/>
      <w:marBottom w:val="0"/>
      <w:divBdr>
        <w:top w:val="none" w:sz="0" w:space="0" w:color="auto"/>
        <w:left w:val="none" w:sz="0" w:space="0" w:color="auto"/>
        <w:bottom w:val="none" w:sz="0" w:space="0" w:color="auto"/>
        <w:right w:val="none" w:sz="0" w:space="0" w:color="auto"/>
      </w:divBdr>
      <w:divsChild>
        <w:div w:id="8760904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c69c270bbd14a84a159a5d75f0c623e" PartId="e6876e11a31a49e9ab331fd78c148e95">
    <Part Type="skyrius" Nr="999" DocPartId="db25fe2e1655451f9f554be25998c3c8" PartId="e185974bbea848d38eef49d85d638af8">
      <Part Type="poskyris" Title="SPRENDIMO DĖL ŠIAULIŲ TENISO AKADEMIJOS NUOSTATŲ PATVIRTINIMO AIŠKINAMASIS RAŠTAS" DocPartId="6f2ff7db71774a709d40917219cb8d70" PartId="05652b33e69b4a61a5b9a7d603d68a38"/>
      <Part Type="poskyris" Title="Sprendimui įgyvendinti reikalingi priimti papildomi teisės aktai." DocPartId="b8a65ff13fa548f68ebf0dc2411a63d9" PartId="eb94e14e41174d13bd00e99f0b27ed81"/>
      <Part Type="poskyris" Title="Sprendimo projekto antikorupcinis vertinimas." DocPartId="969ba7f1bc104c7e8920ad8177af85db" PartId="928624f40c9847c0bc82befff8547573"/>
    </Part>
    <Part Type="signatura" DocPartId="3dc8ffdca3ca482f8f827877069d35e6" PartId="b1593ca86aa04f9096ff3f46163e3120"/>
  </Part>
</Parts>
</file>

<file path=customXml/itemProps1.xml><?xml version="1.0" encoding="utf-8"?>
<ds:datastoreItem xmlns:ds="http://schemas.openxmlformats.org/officeDocument/2006/customXml" ds:itemID="{86814924-8C17-452D-B13C-4A9123AED76C}">
  <ds:schemaRefs>
    <ds:schemaRef ds:uri="http://schemas.openxmlformats.org/officeDocument/2006/bibliography"/>
  </ds:schemaRefs>
</ds:datastoreItem>
</file>

<file path=customXml/itemProps2.xml><?xml version="1.0" encoding="utf-8"?>
<ds:datastoreItem xmlns:ds="http://schemas.openxmlformats.org/officeDocument/2006/customXml" ds:itemID="{57072C82-C4A7-4044-910C-FAF3619206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338</Words>
  <Characters>2437</Characters>
  <Application>Microsoft Office Word</Application>
  <DocSecurity>4</DocSecurity>
  <Lines>49</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2749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2025-03-10T12:39:00Z</dcterms:created>
  <dc:creator>Arunas</dc:creator>
  <lastModifiedBy>adlibuser</lastModifiedBy>
  <lastPrinted>2020-08-05T08:18:00Z</lastPrinted>
  <dcterms:modified xsi:type="dcterms:W3CDTF">2025-03-10T12:39:00Z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E5F12002-1D4D-4BA8-B4E6-CFE63730AA44</vt:lpwstr>
  </property>
</Properties>
</file>