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55f4ce1644499a99beb5c02700b851"/>
        <w:lock w:val="sdtLocked"/>
        <w:richText/>
      </w:sdtPr>
      <w:sdtContent>
        <w:p w14:paraId="6072BB53" w14:textId="77777777">
          <w:pPr>
            <w:tabs>
              <w:tab w:val="center" w:pos="4680"/>
              <w:tab w:val="right" w:pos="9360"/>
            </w:tabs>
            <w:jc w:val="center"/>
            <w:rPr>
              <w:sz w:val="22"/>
              <w:szCs w:val="22"/>
              <w:lang w:eastAsia="lt-LT"/>
            </w:rPr>
          </w:pPr>
        </w:p>
        <w:p w14:paraId="2C895B4F" w14:textId="77777777">
          <w:pPr>
            <w:tabs>
              <w:tab w:val="center" w:pos="4680"/>
              <w:tab w:val="right" w:pos="9360"/>
            </w:tabs>
            <w:rPr>
              <w:sz w:val="22"/>
              <w:szCs w:val="22"/>
              <w:lang w:eastAsia="lt-LT"/>
            </w:rPr>
          </w:pPr>
        </w:p>
        <w:p w14:paraId="27D7E14C" w14:textId="2F1182C6">
          <w:pPr>
            <w:tabs>
              <w:tab w:val="left" w:pos="6732"/>
            </w:tabs>
            <w:ind w:firstLine="6732"/>
          </w:pPr>
          <w:r>
            <w:rPr>
              <w:b/>
              <w:bCs/>
            </w:rPr>
            <w:t>Lyginamasis variantas</w:t>
          </w:r>
        </w:p>
        <w:p w14:paraId="1B67E487" w14:textId="77777777">
          <w:pPr>
            <w:rPr>
              <w:b/>
              <w:bCs/>
              <w:szCs w:val="24"/>
            </w:rPr>
          </w:pPr>
        </w:p>
        <w:p w14:paraId="5273CC98" w14:textId="67935D1C">
          <w:pPr>
            <w:jc w:val="center"/>
            <w:rPr>
              <w:b/>
              <w:bCs/>
              <w:szCs w:val="24"/>
            </w:rPr>
          </w:pPr>
          <w:r>
            <w:rPr>
              <w:b/>
              <w:bCs/>
              <w:szCs w:val="24"/>
            </w:rPr>
            <w:t>RADVILIŠKIO RAJONO SAVIVALDYBĖS TARYBA</w:t>
          </w:r>
        </w:p>
        <w:p w14:paraId="5273CC99" w14:textId="77777777">
          <w:pPr>
            <w:jc w:val="center"/>
            <w:rPr>
              <w:b/>
              <w:bCs/>
              <w:szCs w:val="24"/>
            </w:rPr>
          </w:pPr>
        </w:p>
        <w:p w14:paraId="5273CC9A" w14:textId="7952CF31">
          <w:pPr>
            <w:jc w:val="center"/>
            <w:rPr>
              <w:b/>
              <w:bCs/>
              <w:szCs w:val="24"/>
            </w:rPr>
          </w:pPr>
          <w:r>
            <w:rPr>
              <w:b/>
              <w:bCs/>
              <w:szCs w:val="24"/>
            </w:rPr>
            <w:t>SPRENDIMAS</w:t>
          </w:r>
        </w:p>
        <w:p w14:paraId="5273CC9B" w14:textId="2485429D">
          <w:pPr>
            <w:jc w:val="center"/>
            <w:rPr>
              <w:b/>
              <w:bCs/>
              <w:szCs w:val="24"/>
            </w:rPr>
          </w:pPr>
          <w:r>
            <w:rPr>
              <w:b/>
              <w:bCs/>
              <w:szCs w:val="24"/>
            </w:rPr>
            <w:t>DĖL RADVILIŠKIO RAJONO SAVIVALDYBĖS TARYBOS 2021 M. SPALIO 14 D. SPRENDIMO T-597 „DĖL RADVILIŠKIO RAJONO SAVIVALDYBĖJE ESANČIO APLEISTO, NEPRIŽIŪRIMO NEKILNOJAMOJO TURTO NUSTATYMO IR ĮTRAUKIMO Į TOKIO TURTO SĄRAŠĄ TVARKOS APRAŠO PATVIRTINIMO“ PAKEITIMO</w:t>
          </w:r>
        </w:p>
        <w:p w14:paraId="6307571F" w14:textId="77777777">
          <w:pPr>
            <w:jc w:val="center"/>
            <w:rPr>
              <w:szCs w:val="24"/>
            </w:rPr>
          </w:pPr>
        </w:p>
        <w:p w14:paraId="5273CC9D" w14:textId="790FE204">
          <w:pPr>
            <w:jc w:val="center"/>
            <w:rPr>
              <w:szCs w:val="24"/>
            </w:rPr>
          </w:pPr>
          <w:r>
            <w:rPr>
              <w:szCs w:val="24"/>
            </w:rPr>
            <w:t xml:space="preserve">2025 m.                   d. Nr. T-</w:t>
          </w:r>
        </w:p>
        <w:p w14:paraId="5273CC9E" w14:textId="77777777">
          <w:pPr>
            <w:jc w:val="center"/>
            <w:rPr>
              <w:szCs w:val="24"/>
            </w:rPr>
          </w:pPr>
          <w:r>
            <w:rPr>
              <w:szCs w:val="24"/>
            </w:rPr>
            <w:t>Radviliškis</w:t>
          </w:r>
        </w:p>
        <w:p w14:paraId="5273CCA0" w14:textId="77777777">
          <w:pPr>
            <w:jc w:val="both"/>
            <w:rPr>
              <w:szCs w:val="24"/>
            </w:rPr>
          </w:pPr>
        </w:p>
        <w:sdt>
          <w:sdtPr>
            <w:alias w:val="preambule"/>
            <w:tag w:val="part_b2786b5794ea4339b1fa8ba41b3a6b1c"/>
            <w:lock w:val="sdtLocked"/>
            <w:richText/>
          </w:sdtPr>
          <w:sdtContent>
            <w:p w14:paraId="1D00F076" w14:textId="1356000F">
              <w:pPr>
                <w:ind w:firstLine="709"/>
                <w:jc w:val="both"/>
                <w:rPr>
                  <w:bCs/>
                  <w:szCs w:val="24"/>
                  <w:lang w:eastAsia="lt-LT"/>
                </w:rPr>
              </w:pPr>
              <w:r>
                <w:rPr>
                  <w:szCs w:val="24"/>
                </w:rPr>
                <w:t xml:space="preserve">Vadovaudamasi Lietuvos Respublikos nekilnojamojo turto mokesčio įstatymo 2 straipsnio 1 dalimi Radviliškio rajono savivaldybės taryba </w:t>
              </w:r>
              <w:r>
                <w:rPr>
                  <w:bCs/>
                  <w:spacing w:val="50"/>
                  <w:szCs w:val="24"/>
                  <w:lang w:eastAsia="lt-LT"/>
                </w:rPr>
                <w:t>nusprendži</w:t>
              </w:r>
              <w:r>
                <w:rPr>
                  <w:bCs/>
                  <w:szCs w:val="24"/>
                  <w:lang w:eastAsia="lt-LT"/>
                </w:rPr>
                <w:t xml:space="preserve">a: </w:t>
              </w:r>
            </w:p>
          </w:sdtContent>
        </w:sdt>
        <w:sdt>
          <w:sdtPr>
            <w:alias w:val="1 p."/>
            <w:tag w:val="part_cadc51f3b4424ad29975654b35fd7706"/>
            <w:lock w:val="sdtLocked"/>
            <w:richText/>
          </w:sdtPr>
          <w:sdtContent>
            <w:p w14:paraId="544D20DE" w14:textId="4596E0C0">
              <w:pPr>
                <w:tabs>
                  <w:tab w:val="left" w:pos="993"/>
                </w:tabs>
                <w:ind w:firstLine="709"/>
                <w:jc w:val="both"/>
                <w:rPr>
                  <w:szCs w:val="24"/>
                </w:rPr>
              </w:pPr>
              <w:sdt>
                <w:sdtPr>
                  <w:alias w:val="Numeris"/>
                  <w:tag w:val="nr_cadc51f3b4424ad29975654b35fd7706"/>
                  <w:lock w:val="sdtLocked"/>
                  <w:richText/>
                </w:sdtPr>
                <w:sdtContent>
                  <w:r>
                    <w:rPr>
                      <w:szCs w:val="24"/>
                    </w:rPr>
                    <w:t>1</w:t>
                  </w:r>
                </w:sdtContent>
              </w:sdt>
              <w:r>
                <w:rPr>
                  <w:szCs w:val="24"/>
                </w:rPr>
                <w:t>.</w:t>
                <w:tab/>
              </w:r>
              <w:r>
                <w:rPr>
                  <w:bCs/>
                  <w:szCs w:val="24"/>
                  <w:lang w:eastAsia="lt-LT"/>
                </w:rPr>
                <w:t>P</w:t>
              </w:r>
              <w:r>
                <w:rPr>
                  <w:szCs w:val="24"/>
                  <w:lang w:eastAsia="lt-LT"/>
                </w:rPr>
                <w:t xml:space="preserve">akeisti </w:t>
              </w:r>
              <w:r>
                <w:rPr>
                  <w:bCs/>
                  <w:szCs w:val="24"/>
                  <w:lang w:eastAsia="lt-LT"/>
                </w:rPr>
                <w:t xml:space="preserve">Radviliškio rajono savivaldybės tarybos </w:t>
              </w:r>
              <w:r>
                <w:rPr>
                  <w:szCs w:val="24"/>
                  <w:lang w:eastAsia="lt-LT"/>
                </w:rPr>
                <w:t>2021 m. spalio 31 d. sprendimo T-597 „Dėl Radviliškio rajono savivaldybėje esančio apleisto, neprižiūrimo nekilnojamojo turto nustatymo ir įtraukimo į tokio turto sąrašą tvarkos aprašo patvirtinimo</w:t>
              </w:r>
              <w:r>
                <w:rPr>
                  <w:bCs/>
                  <w:szCs w:val="24"/>
                  <w:lang w:eastAsia="lt-LT"/>
                </w:rPr>
                <w:t xml:space="preserve">“ </w:t>
              </w:r>
              <w:r>
                <w:rPr>
                  <w:szCs w:val="24"/>
                </w:rPr>
                <w:t>3.1 papunktį ir išdėstyti jį taip:</w:t>
              </w:r>
            </w:p>
            <w:sdt>
              <w:sdtPr>
                <w:alias w:val="citata"/>
                <w:tag w:val="part_a02871c016e540519a67297a2d7032fb"/>
                <w:lock w:val="sdtLocked"/>
                <w:richText/>
              </w:sdtPr>
              <w:sdtContent>
                <w:sdt>
                  <w:sdtPr>
                    <w:alias w:val="3.1 pp."/>
                    <w:tag w:val="part_2494d98e0a324dd0b1bb32fceeaf1b85"/>
                    <w:lock w:val="sdtLocked"/>
                    <w:richText/>
                  </w:sdtPr>
                  <w:sdtContent>
                    <w:p w14:paraId="12460B1F" w14:textId="14612FAA">
                      <w:pPr>
                        <w:spacing w:line="276" w:lineRule="auto"/>
                        <w:ind w:firstLine="709"/>
                        <w:jc w:val="both"/>
                        <w:rPr>
                          <w:szCs w:val="24"/>
                        </w:rPr>
                      </w:pPr>
                      <w:r>
                        <w:rPr>
                          <w:szCs w:val="24"/>
                        </w:rPr>
                        <w:t>„</w:t>
                      </w:r>
                      <w:sdt>
                        <w:sdtPr>
                          <w:alias w:val="Numeris"/>
                          <w:tag w:val="nr_2494d98e0a324dd0b1bb32fceeaf1b85"/>
                          <w:lock w:val="sdtLocked"/>
                          <w:richText/>
                        </w:sdtPr>
                        <w:sdtContent>
                          <w:r>
                            <w:rPr>
                              <w:szCs w:val="24"/>
                            </w:rPr>
                            <w:t>3.1</w:t>
                          </w:r>
                        </w:sdtContent>
                      </w:sdt>
                      <w:r>
                        <w:rPr>
                          <w:szCs w:val="24"/>
                        </w:rPr>
                        <w:t>. Apleistas ar neprižiūrimas nekilnojamasis turtas – į savivaldybės teritorijoje esančio apleisto ar neprižiūrimo nekilnojamojo turto sąrašą įtrauktas nekilnojamasis turtas, kuris per statinių priežiūrą atliekančio viešojo administravimo subjekto nustatytą terminą nebuvo suremontuotas, rekonstruotas, kurio statyba neužbaigta Lietuvos Respublikos statybos įstatymo nustatyta tvarka ar kuris nebuvo nugriautas ir kurio naudotojas nevykdo Statybos įstatyme nustatytų statinių naudotojų ar statytojų (užsakovų) pareigų, susijusių su statinių priežiūra.“;</w:t>
                      </w:r>
                    </w:p>
                  </w:sdtContent>
                </w:sdt>
              </w:sdtContent>
            </w:sdt>
          </w:sdtContent>
        </w:sdt>
        <w:sdt>
          <w:sdtPr>
            <w:alias w:val="7 p."/>
            <w:tag w:val="part_ff988b02a90a455a892caf80f606b80c"/>
            <w:lock w:val="sdtLocked"/>
            <w:richText/>
          </w:sdtPr>
          <w:sdtContent>
            <w:p w14:paraId="774D9F04" w14:textId="75551BF0">
              <w:pPr>
                <w:ind w:firstLine="851"/>
                <w:jc w:val="both"/>
                <w:rPr>
                  <w:b/>
                </w:rPr>
              </w:pPr>
              <w:r>
                <w:rPr>
                  <w:szCs w:val="24"/>
                </w:rPr>
                <w:t>„</w:t>
              </w:r>
              <w:sdt>
                <w:sdtPr>
                  <w:alias w:val="Numeris"/>
                  <w:tag w:val="nr_ff988b02a90a455a892caf80f606b80c"/>
                  <w:lock w:val="sdtLocked"/>
                  <w:richText/>
                </w:sdtPr>
                <w:sdtContent>
                  <w:r>
                    <w:rPr>
                      <w:szCs w:val="24"/>
                    </w:rPr>
                    <w:t>7</w:t>
                  </w:r>
                </w:sdtContent>
              </w:sdt>
              <w:r>
                <w:rPr>
                  <w:szCs w:val="24"/>
                </w:rPr>
                <w:t xml:space="preserve">.  Radviliškio rajono savivaldybės administracijos direktoriaus įsakymu sudaryta darbo grupė iki rugpjūčio 1d. atlieka kiekvieno objekto apžiūrą surašydami statinio būklės faktinių duomenų patikrinimo aktą vietoje, kuriame nurodoma: statinio defektai, reikalingi atlikti darbai defektams pašalinti bei statinio defektų pašalinimo terminai. Radviliškio rajono savivaldybės administracijos direktoriaus įsakymu sudaryta darbo grupė protokoliniu sprendimu teikia preliminarų sąrašą tvirtinti administracijos direktoriui. Asmenims, kurių nuosavybes teise valdomas nekilnojamas turtas įtrauktas į Radviliškio rajono savivaldybės administracijos direktoriaus įsakymu patvirtintą preliminarų sąrašą, per 5 darbo dienas išsiunčiami pranešimai apie jų valdomo objekto įtraukimą į preliminarų sąrašą.</w:t>
              </w:r>
              <w:r>
                <w:t>“;</w:t>
              </w:r>
            </w:p>
          </w:sdtContent>
        </w:sdt>
        <w:sdt>
          <w:sdtPr>
            <w:alias w:val="8 p."/>
            <w:tag w:val="part_a8b9fb6acf7e495e893c5c008949e478"/>
            <w:lock w:val="sdtLocked"/>
            <w:richText/>
          </w:sdtPr>
          <w:sdtContent>
            <w:p w14:paraId="77DA61BF" w14:textId="0845AD85">
              <w:pPr>
                <w:ind w:firstLine="851"/>
                <w:jc w:val="both"/>
              </w:pPr>
              <w:sdt>
                <w:sdtPr>
                  <w:alias w:val="Numeris"/>
                  <w:tag w:val="nr_a8b9fb6acf7e495e893c5c008949e478"/>
                  <w:lock w:val="sdtLocked"/>
                  <w:richText/>
                </w:sdtPr>
                <w:sdtContent>
                  <w:r>
                    <w:rPr>
                      <w:szCs w:val="24"/>
                    </w:rPr>
                    <w:t>8</w:t>
                  </w:r>
                </w:sdtContent>
              </w:sdt>
              <w:r>
                <w:rPr>
                  <w:szCs w:val="24"/>
                </w:rPr>
                <w:t xml:space="preserve">. Asmenys, kurių nuosavybės teise valdomas nekilnojamasis turtas įtrauktas į Radviliškio rajono savivaldybės administracijos direktoriaus įsakymu patvirtintą preliminarų sąrašą, gali per 30 kalendorinių dienų nuo pranešimo apie jų valdomo objekto įtraukimo į preliminarų sąrašą gavimo dienos pateikti savivaldybės administracijai duomenis, įrodančius, kad nekilnojamasis turtas neatitinka šio aprašo 5 punkte nustatytų kriterijų arba kad neatitikimas yra sąlygotas vienos ar keleto šių aplinkybių:“; </w:t>
              </w:r>
            </w:p>
          </w:sdtContent>
        </w:sdt>
        <w:sdt>
          <w:sdtPr>
            <w:alias w:val="9 p."/>
            <w:tag w:val="part_02d12120a4ec4e3bb7de069ccb0cc51e"/>
            <w:lock w:val="sdtLocked"/>
            <w:richText/>
          </w:sdtPr>
          <w:sdtContent>
            <w:p w14:paraId="0FE4E1FD" w14:textId="45783AB5">
              <w:pPr>
                <w:ind w:firstLine="851"/>
                <w:jc w:val="both"/>
              </w:pPr>
              <w:sdt>
                <w:sdtPr>
                  <w:alias w:val="Numeris"/>
                  <w:tag w:val="nr_02d12120a4ec4e3bb7de069ccb0cc51e"/>
                  <w:lock w:val="sdtLocked"/>
                  <w:richText/>
                </w:sdtPr>
                <w:sdtContent>
                  <w:r>
                    <w:rPr>
                      <w:szCs w:val="24"/>
                    </w:rPr>
                    <w:t>9</w:t>
                  </w:r>
                </w:sdtContent>
              </w:sdt>
              <w:r>
                <w:rPr>
                  <w:szCs w:val="24"/>
                </w:rPr>
                <w:t xml:space="preserve">. Radviliškio rajono savivaldybės administracijos direktoriaus įsakymu sudaryta darbo grupė, vadovaudamasi teisės aktų, reglamentuojančių </w:t>
              </w:r>
              <w:r>
                <w:rPr>
                  <w:szCs w:val="24"/>
                  <w:shd w:val="clear" w:color="auto" w:fill="FFFFFF"/>
                </w:rPr>
                <w:t>asmenų prašymų nagrinėjimo tvarką,</w:t>
              </w:r>
              <w:r>
                <w:rPr>
                  <w:szCs w:val="24"/>
                </w:rPr>
                <w:t xml:space="preserve"> nuostatomis, bendradarbiaudama su Savivaldybės administracijos seniūnijų seniūnais, išnagrinėja pateiktą prašymą ir priima protokolinį sprendimą teikti administracijos direktoriui siūlymą dėl nekilnojamojo turto išbraukimo arba atsisakymo išbraukti iš preliminaraus sąrašo. Per 5 darbo dienas asmuo informuojamas apie administracijos direktoriaus įsakymą dėl nekilnojamojo turto išbraukimo arba atsisakymo išbraukti iš preliminaraus sąrašo.“.</w:t>
              </w:r>
            </w:p>
            <w:p w14:paraId="52706FAB" w14:textId="56C0E0C5">
              <w:pPr>
                <w:spacing w:line="276" w:lineRule="auto"/>
                <w:ind w:firstLine="709"/>
                <w:jc w:val="both"/>
                <w:rPr>
                  <w:szCs w:val="24"/>
                </w:rPr>
              </w:pPr>
            </w:p>
          </w:sdtContent>
        </w:sdt>
        <w:sdt>
          <w:sdtPr>
            <w:alias w:val="2 p."/>
            <w:tag w:val="part_09c9ce0429234d159a47d072c3dbaf90"/>
            <w:lock w:val="sdtLocked"/>
            <w:richText/>
          </w:sdtPr>
          <w:sdtContent>
            <w:p w14:paraId="66807C5B" w14:textId="54E8A716">
              <w:pPr>
                <w:spacing w:line="276" w:lineRule="auto"/>
                <w:ind w:left="1069" w:hanging="360"/>
                <w:jc w:val="both"/>
                <w:rPr>
                  <w:szCs w:val="24"/>
                </w:rPr>
              </w:pPr>
              <w:sdt>
                <w:sdtPr>
                  <w:alias w:val="Numeris"/>
                  <w:tag w:val="nr_09c9ce0429234d159a47d072c3dbaf90"/>
                  <w:lock w:val="sdtLocked"/>
                  <w:richText/>
                </w:sdtPr>
                <w:sdtContent>
                  <w:r>
                    <w:rPr>
                      <w:szCs w:val="24"/>
                    </w:rPr>
                    <w:t>2</w:t>
                  </w:r>
                </w:sdtContent>
              </w:sdt>
              <w:r>
                <w:rPr>
                  <w:szCs w:val="24"/>
                </w:rPr>
                <w:t>.</w:t>
                <w:tab/>
                <w:t>Nustatyti, kad šis sprendimas įsigalioja nuo 2026 m. sausio 1 d.</w:t>
              </w:r>
            </w:p>
            <w:p w14:paraId="6C32AA24" w14:textId="77777777">
              <w:pPr>
                <w:tabs>
                  <w:tab w:val="left" w:pos="7560"/>
                </w:tabs>
                <w:jc w:val="both"/>
              </w:pPr>
            </w:p>
            <w:p w14:paraId="5D5E4348" w14:textId="77777777">
              <w:pPr>
                <w:tabs>
                  <w:tab w:val="left" w:pos="7560"/>
                </w:tabs>
                <w:jc w:val="both"/>
              </w:pPr>
            </w:p>
            <w:p w14:paraId="0448014B" w14:textId="77777777">
              <w:pPr>
                <w:tabs>
                  <w:tab w:val="left" w:pos="7560"/>
                </w:tabs>
                <w:jc w:val="both"/>
              </w:pPr>
            </w:p>
          </w:sdtContent>
        </w:sdt>
        <w:sdt>
          <w:sdtPr>
            <w:alias w:val="signatura"/>
            <w:tag w:val="part_7330e3a77e0341c3b31964936b436bda"/>
            <w:lock w:val="sdtLocked"/>
            <w:richText/>
          </w:sdtPr>
          <w:sdtContent>
            <w:p w14:paraId="5273CD07" w14:textId="79A5BA7E">
              <w:pPr>
                <w:tabs>
                  <w:tab w:val="left" w:pos="7560"/>
                </w:tabs>
                <w:jc w:val="both"/>
                <w:rPr>
                  <w:szCs w:val="24"/>
                </w:rPr>
              </w:pPr>
              <w:r>
                <w:rPr>
                  <w:szCs w:val="24"/>
                </w:rPr>
                <w:t xml:space="preserve">Savivaldybės meras                                                                                           </w:t>
              </w:r>
            </w:p>
            <w:p w14:paraId="002911D9" w14:textId="77777777">
              <w:pPr>
                <w:tabs>
                  <w:tab w:val="left" w:pos="7560"/>
                </w:tabs>
                <w:jc w:val="both"/>
                <w:rPr>
                  <w:szCs w:val="24"/>
                </w:rPr>
              </w:pPr>
            </w:p>
            <w:p w14:paraId="539B429C" w14:textId="77777777">
              <w:pPr>
                <w:tabs>
                  <w:tab w:val="left" w:pos="7560"/>
                </w:tabs>
                <w:jc w:val="both"/>
                <w:rPr>
                  <w:szCs w:val="24"/>
                </w:rPr>
              </w:pPr>
            </w:p>
            <w:p w14:paraId="5D26F8FF" w14:textId="77777777">
              <w:pPr>
                <w:tabs>
                  <w:tab w:val="left" w:pos="7560"/>
                </w:tabs>
                <w:jc w:val="both"/>
                <w:rPr>
                  <w:szCs w:val="24"/>
                </w:rPr>
              </w:pPr>
            </w:p>
            <w:p w14:paraId="06A1E99C" w14:textId="77777777">
              <w:pPr>
                <w:tabs>
                  <w:tab w:val="left" w:pos="7560"/>
                </w:tabs>
                <w:jc w:val="both"/>
                <w:rPr>
                  <w:szCs w:val="24"/>
                </w:rPr>
              </w:pPr>
            </w:p>
            <w:p w14:paraId="682AEE63" w14:textId="77777777">
              <w:pPr>
                <w:tabs>
                  <w:tab w:val="left" w:pos="7560"/>
                </w:tabs>
                <w:jc w:val="both"/>
                <w:rPr>
                  <w:szCs w:val="24"/>
                </w:rPr>
              </w:pPr>
            </w:p>
            <w:p w14:paraId="211FF929" w14:textId="77777777">
              <w:pPr>
                <w:tabs>
                  <w:tab w:val="left" w:pos="7560"/>
                </w:tabs>
                <w:jc w:val="both"/>
                <w:rPr>
                  <w:szCs w:val="24"/>
                </w:rPr>
              </w:pPr>
            </w:p>
            <w:p w14:paraId="23AAA7E4" w14:textId="77777777">
              <w:pPr>
                <w:tabs>
                  <w:tab w:val="left" w:pos="7560"/>
                </w:tabs>
                <w:jc w:val="both"/>
                <w:rPr>
                  <w:szCs w:val="24"/>
                </w:rPr>
              </w:pPr>
            </w:p>
            <w:p w14:paraId="074FC787" w14:textId="77777777">
              <w:pPr>
                <w:tabs>
                  <w:tab w:val="left" w:pos="7560"/>
                </w:tabs>
                <w:jc w:val="both"/>
                <w:rPr>
                  <w:szCs w:val="24"/>
                </w:rPr>
              </w:pPr>
            </w:p>
            <w:p w14:paraId="7860994F" w14:textId="77777777">
              <w:pPr>
                <w:tabs>
                  <w:tab w:val="left" w:pos="7560"/>
                </w:tabs>
                <w:jc w:val="both"/>
                <w:rPr>
                  <w:szCs w:val="24"/>
                </w:rPr>
              </w:pPr>
            </w:p>
            <w:p w14:paraId="1EC64EAB" w14:textId="77777777">
              <w:pPr>
                <w:tabs>
                  <w:tab w:val="left" w:pos="7560"/>
                </w:tabs>
                <w:jc w:val="both"/>
                <w:rPr>
                  <w:szCs w:val="24"/>
                </w:rPr>
              </w:pPr>
            </w:p>
            <w:p w14:paraId="6CA53900" w14:textId="77777777">
              <w:pPr>
                <w:tabs>
                  <w:tab w:val="left" w:pos="7560"/>
                </w:tabs>
                <w:jc w:val="both"/>
                <w:rPr>
                  <w:szCs w:val="24"/>
                </w:rPr>
              </w:pPr>
            </w:p>
            <w:p w14:paraId="2A5118FD" w14:textId="77777777">
              <w:pPr>
                <w:tabs>
                  <w:tab w:val="left" w:pos="7560"/>
                </w:tabs>
                <w:jc w:val="both"/>
                <w:rPr>
                  <w:szCs w:val="24"/>
                </w:rPr>
              </w:pPr>
            </w:p>
            <w:p w14:paraId="04387DED" w14:textId="77777777">
              <w:pPr>
                <w:tabs>
                  <w:tab w:val="left" w:pos="7560"/>
                </w:tabs>
                <w:jc w:val="both"/>
                <w:rPr>
                  <w:szCs w:val="24"/>
                </w:rPr>
              </w:pPr>
            </w:p>
            <w:p w14:paraId="483D2688" w14:textId="77777777">
              <w:pPr>
                <w:tabs>
                  <w:tab w:val="left" w:pos="7560"/>
                </w:tabs>
                <w:jc w:val="both"/>
                <w:rPr>
                  <w:szCs w:val="24"/>
                </w:rPr>
              </w:pPr>
            </w:p>
            <w:p w14:paraId="1BC4EA05" w14:textId="77777777">
              <w:pPr>
                <w:tabs>
                  <w:tab w:val="left" w:pos="7560"/>
                </w:tabs>
                <w:jc w:val="both"/>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5982BD" w14:textId="77777777">
      <w:r>
        <w:separator/>
      </w:r>
    </w:p>
  </w:endnote>
  <w:endnote w:type="continuationSeparator" w:id="0">
    <w:p w14:paraId="5276BE5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C73C4"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DD5FC"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0E674"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0CF336" w14:textId="77777777">
      <w:r>
        <w:separator/>
      </w:r>
    </w:p>
  </w:footnote>
  <w:footnote w:type="continuationSeparator" w:id="0">
    <w:p w14:paraId="7C72946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3275B"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064E7" w14:textId="4172354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5273CD15" w14:textId="77777777">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F473C"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53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3CC95"/>
  <w15:docId w15:val="{7E453E76-6927-47B5-80E8-2416098413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9672963">
      <w:bodyDiv w:val="1"/>
      <w:marLeft w:val="0"/>
      <w:marRight w:val="0"/>
      <w:marTop w:val="0"/>
      <w:marBottom w:val="0"/>
      <w:divBdr>
        <w:top w:val="none" w:sz="0" w:space="0" w:color="auto"/>
        <w:left w:val="none" w:sz="0" w:space="0" w:color="auto"/>
        <w:bottom w:val="none" w:sz="0" w:space="0" w:color="auto"/>
        <w:right w:val="none" w:sz="0" w:space="0" w:color="auto"/>
      </w:divBdr>
    </w:div>
    <w:div w:id="754086840">
      <w:bodyDiv w:val="1"/>
      <w:marLeft w:val="0"/>
      <w:marRight w:val="0"/>
      <w:marTop w:val="0"/>
      <w:marBottom w:val="0"/>
      <w:divBdr>
        <w:top w:val="none" w:sz="0" w:space="0" w:color="auto"/>
        <w:left w:val="none" w:sz="0" w:space="0" w:color="auto"/>
        <w:bottom w:val="none" w:sz="0" w:space="0" w:color="auto"/>
        <w:right w:val="none" w:sz="0" w:space="0" w:color="auto"/>
      </w:divBdr>
    </w:div>
    <w:div w:id="792359380">
      <w:bodyDiv w:val="1"/>
      <w:marLeft w:val="0"/>
      <w:marRight w:val="0"/>
      <w:marTop w:val="0"/>
      <w:marBottom w:val="0"/>
      <w:divBdr>
        <w:top w:val="none" w:sz="0" w:space="0" w:color="auto"/>
        <w:left w:val="none" w:sz="0" w:space="0" w:color="auto"/>
        <w:bottom w:val="none" w:sz="0" w:space="0" w:color="auto"/>
        <w:right w:val="none" w:sz="0" w:space="0" w:color="auto"/>
      </w:divBdr>
    </w:div>
    <w:div w:id="1055084423">
      <w:bodyDiv w:val="1"/>
      <w:marLeft w:val="0"/>
      <w:marRight w:val="0"/>
      <w:marTop w:val="0"/>
      <w:marBottom w:val="0"/>
      <w:divBdr>
        <w:top w:val="none" w:sz="0" w:space="0" w:color="auto"/>
        <w:left w:val="none" w:sz="0" w:space="0" w:color="auto"/>
        <w:bottom w:val="none" w:sz="0" w:space="0" w:color="auto"/>
        <w:right w:val="none" w:sz="0" w:space="0" w:color="auto"/>
      </w:divBdr>
    </w:div>
    <w:div w:id="15454097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25cd3eda4d94b9ca70d2e563b1bc48f" PartId="bb55f4ce1644499a99beb5c02700b851">
    <Part Type="preambule" DocPartId="2e802fbdeba04d4082f6e52084c3c00d" PartId="b2786b5794ea4339b1fa8ba41b3a6b1c"/>
    <Part Type="punktas" Nr="1" Abbr="1 p." DocPartId="8f55153f184941df9dffdfaa89a1903a" PartId="cadc51f3b4424ad29975654b35fd7706">
      <Part Type="citata" DocPartId="2937e2452cb846fa9802a34e061922fb" PartId="a02871c016e540519a67297a2d7032fb">
        <Part Type="papunktis" Nr="3.1" Abbr="3.1 pp." DocPartId="4b85d800550243c3a6a204c92b516364" PartId="2494d98e0a324dd0b1bb32fceeaf1b85"/>
      </Part>
    </Part>
    <Part Type="punktas" Nr="7" Abbr="7 p." Notes="Numeris ne iš eilės. Trūksta dalių? [DocDalys]" DocPartId="a2c6affdea53426493f9619d73337010" PartId="ff988b02a90a455a892caf80f606b80c"/>
    <Part Type="punktas" Nr="8" Abbr="8 p." DocPartId="062624f0e42442838cd1db9e72c278e5" PartId="a8b9fb6acf7e495e893c5c008949e478"/>
    <Part Type="punktas" Nr="9" Abbr="9 p." DocPartId="e4b134420e1343959a14370e075bd4b7" PartId="02d12120a4ec4e3bb7de069ccb0cc51e"/>
    <Part Type="punktas" Nr="2" Abbr="2 p." Notes="Numeris ne iš eilės. Trūksta dalių? [DocDalys]" DocPartId="5138143f11134d78bb98e9bc6fceeb4c" PartId="09c9ce0429234d159a47d072c3dbaf90"/>
    <Part Type="signatura" DocPartId="28e996aa39c145bd8cc8e70099acb4eb" PartId="7330e3a77e0341c3b31964936b436bda"/>
  </Part>
</Parts>
</file>

<file path=customXml/itemProps1.xml><?xml version="1.0" encoding="utf-8"?>
<ds:datastoreItem xmlns:ds="http://schemas.openxmlformats.org/officeDocument/2006/customXml" ds:itemID="{EF83DBBA-4555-44CD-AAC5-AA68837C3FA1}">
  <ds:schemaRefs>
    <ds:schemaRef ds:uri="http://schemas.openxmlformats.org/officeDocument/2006/bibliography"/>
  </ds:schemaRefs>
</ds:datastoreItem>
</file>

<file path=customXml/itemProps2.xml><?xml version="1.0" encoding="utf-8"?>
<ds:datastoreItem xmlns:ds="http://schemas.openxmlformats.org/officeDocument/2006/customXml" ds:itemID="{B97E9C86-9DFB-4E92-9F74-E709CB962E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406</Words>
  <Characters>3075</Characters>
  <Application>Microsoft Office Word</Application>
  <DocSecurity>4</DocSecurity>
  <Lines>69</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2025-11-24T13:51:00Z</dcterms:created>
  <dc:creator>No.10</dc:creator>
  <dc:language>lt-LT</dc:language>
  <lastModifiedBy>adlibuser</lastModifiedBy>
  <lastPrinted>2023-08-22T14:18:00Z</lastPrinted>
  <dcterms:modified xsi:type="dcterms:W3CDTF">2025-11-24T13:51:00Z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