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90c5fe635ea4a949f6608f5f7163ea9"/>
        <w:lock w:val="sdtLocked"/>
        <w:richText/>
      </w:sdtPr>
      <w:sdtContent>
        <w:p w14:paraId="0798BA10" w14:textId="77777777">
          <w:pPr>
            <w:spacing w:line="259" w:lineRule="auto"/>
            <w:rPr>
              <w:szCs w:val="24"/>
              <w:shd w:val="clear" w:color="auto" w:fill="FFFFFF"/>
            </w:rPr>
          </w:pPr>
        </w:p>
        <w:p w14:paraId="0926BD6D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JONAVOS RAJONO SAVIVALDYBĖS TARYBAI</w:t>
          </w:r>
        </w:p>
        <w:p w14:paraId="2E3DA842" w14:textId="77777777">
          <w:pPr>
            <w:spacing w:line="360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AIŠKINAMASIS RAŠTAS</w:t>
          </w:r>
        </w:p>
        <w:p w14:paraId="0E6CC585" w14:textId="77777777">
          <w:pPr>
            <w:spacing w:line="360" w:lineRule="auto"/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(prie sprendimo projekto)</w:t>
          </w:r>
        </w:p>
        <w:tbl>
          <w:tblPr>
            <w:tblW w:w="0" w:type="auto"/>
            <w:tblLook w:val="0000" w:firstRow="0" w:lastRow="0" w:firstColumn="0" w:lastColumn="0" w:noHBand="0" w:noVBand="0"/>
          </w:tblPr>
          <w:tblGrid>
            <w:gridCol w:w="9638"/>
          </w:tblGrid>
          <w:tr w14:paraId="5DBA793D" w14:textId="77777777">
            <w:tc>
              <w:tcPr>
                <w:tcW w:w="9638" w:type="dxa"/>
                <w:vAlign w:val="bottom"/>
              </w:tcPr>
              <w:p w14:paraId="7DE2351D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</w:p>
              <w:p w14:paraId="4AD867B9" w14:textId="2E3237F8">
                <w:pPr>
                  <w:jc w:val="center"/>
                  <w:rPr>
                    <w:b/>
                    <w:bCs/>
                    <w:szCs w:val="24"/>
                    <w:lang w:val="en-GB"/>
                  </w:rPr>
                </w:pPr>
                <w:r>
                  <w:rPr>
                    <w:b/>
                    <w:bCs/>
                    <w:color w:val="000000"/>
                    <w:szCs w:val="24"/>
                    <w:lang w:val="en-GB" w:eastAsia="lt-LT"/>
                  </w:rPr>
                  <w:t>DĖL JONAVOS RAJONO SAVIVALDYBĖS TURTO PERDAVIMO VALDYTI, NAUDOTI IR DISPONUOTI JUO PATIKĖJIMO TEISE TVARKOS APRAŠO PATVIRTINIMO</w:t>
                </w:r>
              </w:p>
              <w:p w14:paraId="6B0FF1C1" w14:textId="77777777">
                <w:pPr>
                  <w:jc w:val="center"/>
                  <w:rPr>
                    <w:b/>
                    <w:bCs/>
                    <w:caps/>
                    <w:szCs w:val="24"/>
                    <w:lang w:eastAsia="lt-LT"/>
                  </w:rPr>
                </w:pPr>
              </w:p>
            </w:tc>
          </w:tr>
          <w:tr w14:paraId="42FCF053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Ex>
            <w:tc>
              <w:tcPr>
                <w:tcW w:w="9638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55CA0A60" w14:textId="77777777">
                <w:pPr>
                  <w:jc w:val="center"/>
                  <w:rPr>
                    <w:b/>
                    <w:bCs/>
                    <w:caps/>
                    <w:szCs w:val="24"/>
                    <w:lang w:eastAsia="lt-LT"/>
                  </w:rPr>
                </w:pPr>
              </w:p>
            </w:tc>
          </w:tr>
        </w:tbl>
        <w:p w14:paraId="7C9C65C2" w14:textId="2374376B">
          <w:pPr>
            <w:ind w:left="36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2026 m. birželio        d.</w:t>
          </w:r>
        </w:p>
        <w:p w14:paraId="16F8B9DE" w14:textId="77777777">
          <w:pPr>
            <w:ind w:left="360"/>
            <w:jc w:val="center"/>
            <w:rPr>
              <w:szCs w:val="24"/>
              <w:lang w:eastAsia="lt-LT"/>
            </w:rPr>
          </w:pPr>
        </w:p>
        <w:sdt>
          <w:sdtPr>
            <w:alias w:val="1 p."/>
            <w:tag w:val="part_68cee737918544fa91582e9e5c0cdb51"/>
            <w:lock w:val="sdtLocked"/>
            <w:richText/>
          </w:sdtPr>
          <w:sdtContent>
            <w:p w14:paraId="5EFF2CD3" w14:textId="77777777">
              <w:pPr>
                <w:overflowPunct w:val="0"/>
                <w:ind w:left="1069" w:hanging="360"/>
                <w:jc w:val="both"/>
                <w:outlineLvl w:val="5"/>
                <w:rPr>
                  <w:rFonts w:eastAsia="Calibri"/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8cee737918544fa91582e9e5c0cdb5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  <w:lang w:eastAsia="lt-LT"/>
                </w:rPr>
                <w:t>.</w:t>
                <w:tab/>
                <w:t xml:space="preserve">Sprendimo projekto tikslai ir uždaviniai, kiti sprendimui priimti reikalingi pagrindimai. </w:t>
              </w:r>
            </w:p>
            <w:p w14:paraId="6245F36F" w14:textId="78AC95B4"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Sprendimo projekto tikslas – patvirtinti naujai parengtą Jonavos rajono savivaldybės turto perdavimo valdyti, naudoti ir disponuoti juo patikėjimo teise tvarkos aprašą (toliau – Aprašas), siekiant įgyvendinti Lietuvos Respublikos </w:t>
              </w:r>
              <w:r>
                <w:rPr>
                  <w:iCs/>
                  <w:szCs w:val="24"/>
                  <w:lang w:eastAsia="lt-LT"/>
                </w:rPr>
                <w:t xml:space="preserve">valstybės ir savivaldybių turto valdymo, naudojimo ir disponavimo  juo  įstatymo </w:t>
              </w:r>
              <w:r>
                <w:rPr>
                  <w:szCs w:val="24"/>
                </w:rPr>
                <w:t>Nr. VIII-729 pakeitimo įstatymo Nr. XV-527 nuostatas</w:t>
              </w:r>
              <w:r>
                <w:rPr>
                  <w:rFonts w:eastAsia="Calibri"/>
                  <w:szCs w:val="24"/>
                  <w:lang w:eastAsia="lt-LT"/>
                </w:rPr>
                <w:t xml:space="preserve">, kuriomis pakeistas ir nauja redakcija išdėstytas Lietuvos Respublikos </w:t>
              </w:r>
              <w:r>
                <w:rPr>
                  <w:iCs/>
                  <w:szCs w:val="24"/>
                  <w:lang w:eastAsia="lt-LT"/>
                </w:rPr>
                <w:t xml:space="preserve">valstybės ir savivaldybių turto valdymo, naudojimo ir disponavimo  juo  įstatymas, kuris įsigaliojo 2026 m. birželio 1 d.</w:t>
              </w:r>
              <w:r>
                <w:rPr>
                  <w:rFonts w:eastAsia="Calibri"/>
                  <w:szCs w:val="24"/>
                  <w:lang w:eastAsia="lt-LT"/>
                </w:rPr>
                <w:t xml:space="preserve"> </w:t>
              </w:r>
            </w:p>
            <w:p w14:paraId="5E20EC8A" w14:textId="77777777"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673"/>
                <w:gridCol w:w="4961"/>
              </w:tblGrid>
              <w:tr w14:paraId="3374E340" w14:textId="77777777">
                <w:tc>
                  <w:tcPr>
                    <w:tcW w:w="4673" w:type="dxa"/>
                  </w:tcPr>
                  <w:p w14:paraId="03267F7A" w14:textId="77777777">
                    <w:pPr>
                      <w:ind w:firstLine="720"/>
                      <w:jc w:val="center"/>
                      <w:rPr>
                        <w:rFonts w:eastAsia="Calibri"/>
                        <w:b/>
                        <w:sz w:val="23"/>
                        <w:szCs w:val="23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sz w:val="23"/>
                        <w:szCs w:val="23"/>
                        <w:lang w:eastAsia="lt-LT"/>
                      </w:rPr>
                      <w:t>Pakeitimo esmė</w:t>
                    </w:r>
                  </w:p>
                </w:tc>
                <w:tc>
                  <w:tcPr>
                    <w:tcW w:w="4961" w:type="dxa"/>
                  </w:tcPr>
                  <w:p w14:paraId="76F516B4" w14:textId="77777777">
                    <w:pPr>
                      <w:ind w:firstLine="720"/>
                      <w:jc w:val="center"/>
                      <w:rPr>
                        <w:rFonts w:eastAsia="Calibri"/>
                        <w:b/>
                        <w:sz w:val="23"/>
                        <w:szCs w:val="23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sz w:val="23"/>
                        <w:szCs w:val="23"/>
                        <w:lang w:eastAsia="lt-LT"/>
                      </w:rPr>
                      <w:t>Pakeitimo priežastis</w:t>
                    </w:r>
                  </w:p>
                </w:tc>
              </w:tr>
              <w:tr w14:paraId="12B664EC" w14:textId="77777777">
                <w:tc>
                  <w:tcPr>
                    <w:tcW w:w="4673" w:type="dxa"/>
                  </w:tcPr>
                  <w:p w14:paraId="201F090A" w14:textId="77777777">
                    <w:pPr>
                      <w:jc w:val="both"/>
                      <w:rPr>
                        <w:color w:val="000000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Sprendimu savivaldybės administracijos direktorius įgaliojamas </w:t>
                    </w:r>
                    <w:r>
                      <w:rPr>
                        <w:color w:val="000000"/>
                        <w:sz w:val="22"/>
                        <w:szCs w:val="22"/>
                        <w:lang w:eastAsia="lt-LT"/>
                      </w:rPr>
                      <w:t xml:space="preserve">priimti sprendimus dėl </w:t>
                    </w:r>
                    <w:r>
                      <w:rPr>
                        <w:sz w:val="22"/>
                        <w:szCs w:val="22"/>
                        <w:lang w:eastAsia="lt-LT"/>
                      </w:rPr>
                      <w:t xml:space="preserve">Jonavos rajono </w:t>
                    </w:r>
                    <w:r>
                      <w:rPr>
                        <w:color w:val="000000"/>
                        <w:sz w:val="22"/>
                        <w:szCs w:val="22"/>
                        <w:lang w:eastAsia="lt-LT"/>
                      </w:rPr>
                      <w:t xml:space="preserve">savivaldybei nuosavybės teise priklausančio turto perdavimo patikėjimo teise kitoms savivaldybės biudžetinėms įstaigoms. </w:t>
                    </w:r>
                  </w:p>
                  <w:p w14:paraId="263ED01D" w14:textId="7C7E18E0">
                    <w:pPr>
                      <w:jc w:val="both"/>
                      <w:rPr>
                        <w:color w:val="000000"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1" w:type="dxa"/>
                  </w:tcPr>
                  <w:p w14:paraId="52C2B569" w14:textId="078AD3C7">
                    <w:pPr>
                      <w:jc w:val="both"/>
                      <w:rPr>
                        <w:rFonts w:eastAsia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  <w:lang w:eastAsia="lt-LT"/>
                      </w:rPr>
                      <w:t>Nuo 2026 m. birželio 1 d. įsigaliojusio nauja redakcija išdėstyto Į</w:t>
                    </w:r>
                    <w:r>
                      <w:rPr>
                        <w:iCs/>
                        <w:sz w:val="22"/>
                        <w:szCs w:val="22"/>
                        <w:lang w:eastAsia="lt-LT"/>
                      </w:rPr>
                      <w:t xml:space="preserve">statymo </w:t>
                    </w:r>
                    <w:r>
                      <w:rPr>
                        <w:szCs w:val="24"/>
                      </w:rPr>
                      <w:t>12 straipsnio 1 dalyje numatyta, kad sprendimą dėl savivaldybės turto perdavimo patikėjimo</w:t>
                    </w:r>
                    <w:r>
                      <w:rPr>
                        <w:sz w:val="22"/>
                        <w:szCs w:val="22"/>
                      </w:rPr>
                      <w:t xml:space="preserve"> teise savivaldybės tarybos nustatyta tvarka ir atvejais priima savivaldybės taryba ar jos įgalioti savivaldybės turto valdytojai. </w:t>
                    </w:r>
                  </w:p>
                </w:tc>
              </w:tr>
              <w:tr w14:paraId="4B5B0BFD" w14:textId="77777777">
                <w:tc>
                  <w:tcPr>
                    <w:tcW w:w="4673" w:type="dxa"/>
                  </w:tcPr>
                  <w:p w14:paraId="40F9D71A" w14:textId="2EF6F88A">
                    <w:pPr>
                      <w:jc w:val="both"/>
                      <w:rPr>
                        <w:rFonts w:eastAsia="Calibri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Atsižvelgiant į pakeitimus, susijusius su sprendimų priėmimu (juos priima administracijos direktorius savo įsakymais), atitinkamai keičiami Aprašo kai kurie punktai.</w:t>
                    </w:r>
                  </w:p>
                </w:tc>
                <w:tc>
                  <w:tcPr>
                    <w:tcW w:w="4961" w:type="dxa"/>
                  </w:tcPr>
                  <w:p w14:paraId="4BBDCC7F" w14:textId="4CED7EFC">
                    <w:pPr>
                      <w:jc w:val="both"/>
                      <w:rPr>
                        <w:rFonts w:eastAsia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rFonts w:eastAsia="Calibri"/>
                        <w:color w:val="000000"/>
                        <w:sz w:val="22"/>
                        <w:szCs w:val="22"/>
                      </w:rPr>
                      <w:t xml:space="preserve">Pakeitimai susiję su </w:t>
                    </w:r>
                    <w:r>
                      <w:rPr>
                        <w:color w:val="000000"/>
                        <w:sz w:val="22"/>
                        <w:szCs w:val="22"/>
                      </w:rPr>
                      <w:t>Į</w:t>
                    </w:r>
                    <w:r>
                      <w:rPr>
                        <w:iCs/>
                        <w:sz w:val="22"/>
                        <w:szCs w:val="22"/>
                        <w:lang w:eastAsia="lt-LT"/>
                      </w:rPr>
                      <w:t xml:space="preserve">statymo </w:t>
                    </w:r>
                    <w:r>
                      <w:rPr>
                        <w:sz w:val="22"/>
                        <w:szCs w:val="22"/>
                      </w:rPr>
                      <w:t>12 straipsnio 1 dalies pakeitimais</w:t>
                    </w:r>
                    <w:r>
                      <w:rPr>
                        <w:sz w:val="22"/>
                        <w:szCs w:val="22"/>
                        <w:lang w:val="en-GB"/>
                      </w:rPr>
                      <w:t xml:space="preserve">. </w:t>
                    </w:r>
                  </w:p>
                </w:tc>
              </w:tr>
              <w:tr w14:paraId="6857E31B" w14:textId="77777777">
                <w:tc>
                  <w:tcPr>
                    <w:tcW w:w="4673" w:type="dxa"/>
                  </w:tcPr>
                  <w:p w14:paraId="4C80333A" w14:textId="2300BEEC">
                    <w:pPr>
                      <w:jc w:val="both"/>
                      <w:rPr>
                        <w:rFonts w:eastAsia="Calibri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Aprašas papildomas nuostatomis dėl turto perdavimo patikėjimo teise terminų (8 punktas): savivaldybės biudžetinėms įstaigoms savivaldybės turtas valdyti patikėjimo teise gali būti perduodamas neribotam terminui;  kitiems juridiniams asmenims (savivaldybės viešosioms įstaigoms ir uždarosioms akcinėms bendrovėms) bei </w:t>
                    </w:r>
                    <w:r>
                      <w:rPr>
                        <w:sz w:val="22"/>
                        <w:szCs w:val="22"/>
                        <w:lang w:eastAsia="lt-LT"/>
                      </w:rPr>
                      <w:t>subjektams, kuriems teisė valdyti savivaldybės turtą patikėjimo teise suteikta jų veiklą reglamentuojančiuose įstatymuose,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pagal patikėjimo sutartį savivaldybės turtas gali būti perduodamas ne ilgesniam kaip 20 metų laikotarpiui.</w:t>
                    </w:r>
                  </w:p>
                </w:tc>
                <w:tc>
                  <w:tcPr>
                    <w:tcW w:w="4961" w:type="dxa"/>
                  </w:tcPr>
                  <w:p w14:paraId="6D3A1581" w14:textId="6EA93A59">
                    <w:pPr>
                      <w:jc w:val="both"/>
                      <w:rPr>
                        <w:rFonts w:eastAsia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  <w:lang w:eastAsia="lt-LT"/>
                      </w:rPr>
                      <w:t xml:space="preserve">Siekiama, kad Aprašo  nuostatos atitiktų Įstatyme numatytą teisinį reguliavimą.</w:t>
                    </w:r>
                  </w:p>
                </w:tc>
              </w:tr>
              <w:tr w14:paraId="0A8B9022" w14:textId="77777777">
                <w:tc>
                  <w:tcPr>
                    <w:tcW w:w="4673" w:type="dxa"/>
                  </w:tcPr>
                  <w:p w14:paraId="062CE935" w14:textId="3328E812">
                    <w:pPr>
                      <w:jc w:val="both"/>
                      <w:rPr>
                        <w:rFonts w:eastAsia="Calibri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Aprašas papildytas naujais skyriais. III skyriuje reglamentuotos savivaldybės turto valdytojų, valdančių turtą patikėjimo teise, pareigos, susijusios su turto valdymu, naudojimu ir priežiūra.</w:t>
                    </w:r>
                  </w:p>
                  <w:p w14:paraId="2954D667" w14:textId="66150529">
                    <w:pPr>
                      <w:jc w:val="both"/>
                      <w:rPr>
                        <w:rFonts w:eastAsia="Calibri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IV skyriuje reglamentuota Aprašo vykdymo priežiūra bei kontrolė (23, 24 p.).</w:t>
                    </w:r>
                  </w:p>
                  <w:p w14:paraId="0EEFF666" w14:textId="2E77145C">
                    <w:pPr>
                      <w:jc w:val="both"/>
                      <w:rPr>
                        <w:rFonts w:eastAsia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  <w:lang w:eastAsia="lt-LT"/>
                      </w:rPr>
                      <w:t>Atsižvelgiant į kai kuriuos papildymus, pakeista Aprašo punktų (papunkčių) numeracija.</w:t>
                    </w:r>
                  </w:p>
                </w:tc>
                <w:tc>
                  <w:tcPr>
                    <w:tcW w:w="4961" w:type="dxa"/>
                  </w:tcPr>
                  <w:p w14:paraId="26CC66AC" w14:textId="379334F0">
                    <w:pPr>
                      <w:rPr>
                        <w:rFonts w:eastAsia="Calibri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  <w:lang w:eastAsia="lt-LT"/>
                      </w:rPr>
                      <w:t>Kadangi Apraše nemažai pakeitimų ir papildymų, jis tvirtinamas naujai – pateikiamas lyginamasis variantas.</w:t>
                    </w:r>
                  </w:p>
                </w:tc>
              </w:tr>
            </w:tbl>
            <w:p w14:paraId="2C0BEEF8" w14:textId="77777777"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p w14:paraId="4B1E716F" w14:textId="77777777"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p w14:paraId="3098DC7E" w14:textId="77777777"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2 p."/>
            <w:tag w:val="part_1caa356ba61a4441b3bc606838cbe033"/>
            <w:lock w:val="sdtLocked"/>
            <w:richText/>
          </w:sdtPr>
          <w:sdtContent>
            <w:p w14:paraId="734F8837" w14:textId="77777777">
              <w:pPr>
                <w:overflowPunct w:val="0"/>
                <w:ind w:left="1069" w:hanging="360"/>
                <w:jc w:val="both"/>
                <w:outlineLvl w:val="5"/>
                <w:rPr>
                  <w:rFonts w:eastAsia="Calibri"/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1caa356ba61a4441b3bc606838cbe033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  <w:lang w:eastAsia="lt-LT"/>
                </w:rPr>
                <w:t>.</w:t>
                <w:tab/>
                <w:t>Teisinis reglamentavimas, kuriuo vadovaujantis parengtas sprendimo projektas. Keičiami/naikinami teisės aktai priimant sprendimą.</w:t>
              </w:r>
            </w:p>
            <w:p w14:paraId="4D2999E5" w14:textId="77777777"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Lietuvos Respublikos vietos savivaldos įstatymo 15 straipsnio 2 dalies 19 punktas numato savivaldybės tarybos išimtinę kompetenciją įgyvendinti savivaldybei nuosavybės teise priklausančio turto savininko funkcijas įstatymų nustatyta tvarka.</w:t>
              </w:r>
            </w:p>
            <w:p w14:paraId="2677E4E8" w14:textId="097DBEB8"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Lietuvos Respublikos valstybės ir savivaldybių turto valdymo, naudojimo ir disponavimo juo įstatymo (toliau – Įstatymas) 8 straipsnio 1 dalis numato, kad savivaldybių turto savininko funkcijas vadovaudamosi įstatymais atlieka savivaldybių tarybos; Įstatymo 12 straipsnio 1 dalis numato, kad savivaldybės turtas, įskaitant pripažintą nereikalingu arba netinkamu (negalimu) naudoti savivaldybės turtą, patikėjimo teise valdyti, naudoti ir disponuoti juo perduodamas savivaldybės tarybos nustatyta tvarka.</w:t>
              </w:r>
            </w:p>
            <w:p w14:paraId="6E30C493" w14:textId="77777777">
              <w:pPr>
                <w:ind w:firstLine="720"/>
                <w:jc w:val="both"/>
                <w:rPr>
                  <w:sz w:val="10"/>
                  <w:szCs w:val="10"/>
                </w:rPr>
              </w:pPr>
            </w:p>
          </w:sdtContent>
        </w:sdt>
        <w:sdt>
          <w:sdtPr>
            <w:alias w:val="3 p."/>
            <w:tag w:val="part_fdaea91e86574889a6fc26c5482e7b8f"/>
            <w:lock w:val="sdtLocked"/>
            <w:richText/>
          </w:sdtPr>
          <w:sdtContent>
            <w:p w14:paraId="5FF23B27" w14:textId="77777777">
              <w:pPr>
                <w:overflowPunct w:val="0"/>
                <w:ind w:left="1069" w:hanging="360"/>
                <w:jc w:val="both"/>
                <w:outlineLvl w:val="5"/>
                <w:rPr>
                  <w:rFonts w:eastAsia="Calibri"/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daea91e86574889a6fc26c5482e7b8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Calibri"/>
                  <w:b/>
                  <w:szCs w:val="24"/>
                  <w:lang w:eastAsia="lt-LT"/>
                </w:rPr>
                <w:t>.</w:t>
                <w:tab/>
                <w:t>Laukiami sprendimo priėmimo rezultatai.</w:t>
              </w:r>
            </w:p>
            <w:p w14:paraId="6AD43BD4" w14:textId="470E2644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Priėmus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sprendimą, </w:t>
              </w:r>
              <w:r>
                <w:rPr>
                  <w:szCs w:val="24"/>
                </w:rPr>
                <w:t>Aprašas atitiks šiuo metu galiojančius teisės aktus</w:t>
              </w:r>
              <w:r>
                <w:rPr>
                  <w:rFonts w:eastAsia="Calibri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 xml:space="preserve">Neigiamų pasekmių nenumatoma. </w:t>
              </w:r>
            </w:p>
            <w:p w14:paraId="6B082D19" w14:textId="77777777"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4 p."/>
            <w:tag w:val="part_16d9c552e45c41fe85b9f3014f1b8ffd"/>
            <w:lock w:val="sdtLocked"/>
            <w:richText/>
          </w:sdtPr>
          <w:sdtContent>
            <w:p w14:paraId="33B7064D" w14:textId="77777777">
              <w:pPr>
                <w:overflowPunct w:val="0"/>
                <w:ind w:left="1069" w:hanging="360"/>
                <w:jc w:val="both"/>
                <w:outlineLvl w:val="5"/>
                <w:rPr>
                  <w:rFonts w:eastAsia="Calibri"/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16d9c552e45c41fe85b9f3014f1b8ffd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Calibri"/>
                  <w:b/>
                  <w:szCs w:val="24"/>
                  <w:lang w:eastAsia="lt-LT"/>
                </w:rPr>
                <w:t>.</w:t>
                <w:tab/>
                <w:t>Lėšų poreikis ir šaltiniai reikalingi sprendimo priėmimui.</w:t>
              </w:r>
            </w:p>
            <w:p w14:paraId="0F79994F" w14:textId="77777777">
              <w:pPr>
                <w:overflowPunct w:val="0"/>
                <w:ind w:left="1069" w:hanging="360"/>
                <w:jc w:val="both"/>
                <w:outlineLvl w:val="5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Sprendimo priėmimui papildomų lėšų poreikis nenumatomas.</w:t>
              </w:r>
            </w:p>
            <w:p w14:paraId="46FB1D4D" w14:textId="77777777">
              <w:pPr>
                <w:jc w:val="both"/>
                <w:rPr>
                  <w:sz w:val="10"/>
                  <w:szCs w:val="10"/>
                  <w:lang w:eastAsia="lt-LT"/>
                </w:rPr>
              </w:pPr>
            </w:p>
          </w:sdtContent>
        </w:sdt>
        <w:sdt>
          <w:sdtPr>
            <w:alias w:val="5 p."/>
            <w:tag w:val="part_e618bc6cb6a7445bb6c47ac4244df97a"/>
            <w:lock w:val="sdtLocked"/>
            <w:richText/>
          </w:sdtPr>
          <w:sdtContent>
            <w:p w14:paraId="2A9FF641" w14:textId="77777777">
              <w:pPr>
                <w:overflowPunct w:val="0"/>
                <w:ind w:left="1069" w:hanging="360"/>
                <w:jc w:val="both"/>
                <w:outlineLvl w:val="5"/>
                <w:rPr>
                  <w:rFonts w:eastAsia="Calibri"/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618bc6cb6a7445bb6c47ac4244df97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  <w:lang w:eastAsia="lt-LT"/>
                </w:rPr>
                <w:t>.</w:t>
                <w:tab/>
              </w:r>
              <w:r>
                <w:rPr>
                  <w:rFonts w:eastAsia="Calibri"/>
                  <w:b/>
                  <w:szCs w:val="24"/>
                  <w:lang w:eastAsia="lt-LT"/>
                </w:rPr>
                <w:t>Antikorupcinis</w:t>
              </w:r>
              <w:r>
                <w:rPr>
                  <w:rFonts w:eastAsia="Calibri"/>
                  <w:b/>
                  <w:bCs/>
                  <w:szCs w:val="24"/>
                  <w:lang w:eastAsia="lt-LT"/>
                </w:rPr>
                <w:t xml:space="preserve"> vertinimas.         </w:t>
              </w:r>
            </w:p>
            <w:p w14:paraId="55B6E8F0" w14:textId="714C8DAB">
              <w:pPr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>Vadovaujantis Korupcijos prevencijos įstatymo nuostatomis, sprendimo projekto antikorupcinis vertinimas atliekamas, nes sprendime numatoma reguliuoti visuomeninius santykius, numatytus šio įstatymo 8 straipsnio 1 dalies 1 punkte. Sprendimo projekto antikorupcinio vertinimo pažyma pridedama</w:t>
              </w:r>
              <w:r>
                <w:rPr>
                  <w:color w:val="000000"/>
                  <w:szCs w:val="24"/>
                </w:rPr>
                <w:t xml:space="preserve">. </w:t>
              </w:r>
            </w:p>
            <w:p w14:paraId="65132A68" w14:textId="77777777">
              <w:pPr>
                <w:rPr>
                  <w:color w:val="000000"/>
                  <w:szCs w:val="24"/>
                </w:rPr>
              </w:pPr>
            </w:p>
            <w:p w14:paraId="10BA10F9" w14:textId="77777777">
              <w:pPr>
                <w:rPr>
                  <w:szCs w:val="24"/>
                </w:rPr>
              </w:pPr>
            </w:p>
            <w:p w14:paraId="5A57F69D" w14:textId="77777777">
              <w:pPr>
                <w:rPr>
                  <w:szCs w:val="24"/>
                </w:rPr>
              </w:pPr>
            </w:p>
            <w:p w14:paraId="2B4ED536" w14:textId="77777777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ed918b476ef44857a2b946f546828bdf"/>
            <w:lock w:val="sdtLocked"/>
            <w:richText/>
          </w:sdtPr>
          <w:sdtContent>
            <w:p w14:paraId="708028A1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Turto ir aplinkos apsaugos skyriaus </w:t>
              </w:r>
            </w:p>
            <w:p w14:paraId="0A565502" w14:textId="2BBEE35D"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 xml:space="preserve">vyriausioji specialistė </w:t>
                <w:tab/>
                <w:t xml:space="preserve">                                                                           Rosita Saladinskienė</w:t>
              </w:r>
            </w:p>
            <w:p w14:paraId="67CF0EB9" w14:textId="77777777"/>
          </w:sdtContent>
        </w:sdt>
      </w:sdtContent>
    </w:sdt>
    <w:sectPr>
      <w:headerReference w:type="default" r:id="rId6"/>
      <w:pgSz w:w="11906" w:h="16838"/>
      <w:pgMar w:top="993" w:right="567" w:bottom="709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CA80B9" w14:textId="77777777">
      <w:pPr>
        <w:rPr>
          <w:sz w:val="20"/>
          <w:lang w:val="en-GB"/>
        </w:rPr>
      </w:pPr>
      <w:r>
        <w:rPr>
          <w:sz w:val="20"/>
          <w:lang w:val="en-GB"/>
        </w:rPr>
        <w:separator/>
      </w:r>
    </w:p>
  </w:endnote>
  <w:endnote w:type="continuationSeparator" w:id="0">
    <w:p w14:paraId="292B3B68" w14:textId="77777777">
      <w:pPr>
        <w:rPr>
          <w:sz w:val="20"/>
          <w:lang w:val="en-GB"/>
        </w:rPr>
      </w:pPr>
      <w:r>
        <w:rPr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AF4B49" w14:textId="77777777">
      <w:pPr>
        <w:rPr>
          <w:sz w:val="20"/>
          <w:lang w:val="en-GB"/>
        </w:rPr>
      </w:pPr>
      <w:r>
        <w:rPr>
          <w:sz w:val="20"/>
          <w:lang w:val="en-GB"/>
        </w:rPr>
        <w:separator/>
      </w:r>
    </w:p>
  </w:footnote>
  <w:footnote w:type="continuationSeparator" w:id="0">
    <w:p w14:paraId="7DC27962" w14:textId="77777777">
      <w:pPr>
        <w:rPr>
          <w:sz w:val="20"/>
          <w:lang w:val="en-GB"/>
        </w:rPr>
      </w:pPr>
      <w:r>
        <w:rPr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07DFC8" w14:textId="2BF70B7F">
    <w:pPr>
      <w:tabs>
        <w:tab w:val="center" w:pos="4819"/>
        <w:tab w:val="right" w:pos="9638"/>
      </w:tabs>
      <w:rPr>
        <w:sz w:val="20"/>
        <w:lang w:val="en-GB"/>
      </w:rPr>
    </w:pPr>
    <w:r>
      <w:rPr>
        <w:sz w:val="20"/>
        <w:lang w:val="en-GB"/>
      </w:rPr>
      <w:ptab w:relativeTo="margin" w:alignment="center" w:leader="none"/>
      <w:ptab w:relativeTo="margin" w:alignment="right" w:leader="none"/>
    </w:r>
    <w:r>
      <w:rPr>
        <w:b/>
        <w:bCs/>
        <w:sz w:val="28"/>
        <w:szCs w:val="28"/>
      </w:rPr>
      <w:t xml:space="preserve"> Projektas</w:t>
    </w:r>
    <w:r>
      <w:rPr>
        <w:b/>
        <w:bCs/>
        <w:sz w:val="28"/>
        <w:szCs w:val="28"/>
        <w:lang w:val="en-GB"/>
      </w:rPr>
      <w:t xml:space="preserve"> Nr. 12 TS - 84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C53D2"/>
  <w15:chartTrackingRefBased/>
  <w15:docId w15:val="{DCA9CEE7-B2BC-48A1-8401-A5C7F2AA2E8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02a932f52114796bb3161086103816b" PartId="b90c5fe635ea4a949f6608f5f7163ea9">
    <Part Type="punktas" Nr="1" Abbr="1 p." DocPartId="1538b542595945bd80318e1a888d7988" PartId="68cee737918544fa91582e9e5c0cdb51"/>
    <Part Type="punktas" Nr="2" Abbr="2 p." DocPartId="da72f114392d45369dd7346f3ea18aaf" PartId="1caa356ba61a4441b3bc606838cbe033"/>
    <Part Type="punktas" Nr="3" Abbr="3 p." DocPartId="b89966f618334a34a2641f825d304d29" PartId="fdaea91e86574889a6fc26c5482e7b8f"/>
    <Part Type="punktas" Nr="4" Abbr="4 p." DocPartId="f7c0e457430846bf8cbae1078752fce7" PartId="16d9c552e45c41fe85b9f3014f1b8ffd"/>
    <Part Type="punktas" Nr="5" Abbr="5 p." DocPartId="21c04f7309cb484b818aecc2df8adf52" PartId="e618bc6cb6a7445bb6c47ac4244df97a"/>
    <Part Type="signatura" DocPartId="61def2efcb13423eb290e72de40bb69b" PartId="ed918b476ef44857a2b946f546828bdf"/>
  </Part>
</Parts>
</file>

<file path=customXml/itemProps1.xml><?xml version="1.0" encoding="utf-8"?>
<ds:datastoreItem xmlns:ds="http://schemas.openxmlformats.org/officeDocument/2006/customXml" ds:itemID="{3266DF9B-71B2-4969-A007-260A297FA5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515</Words>
  <Characters>3910</Characters>
  <Application>Microsoft Office Word</Application>
  <DocSecurity>4</DocSecurity>
  <Lines>105</Lines>
  <Paragraphs>34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2026-06-12T09:40:00Z</dcterms:created>
  <dc:creator>Rosita Saladinskienė</dc:creator>
  <lastModifiedBy>adlibuser</lastModifiedBy>
  <lastPrinted>2026-06-04T13:39:00Z</lastPrinted>
  <dcterms:modified xsi:type="dcterms:W3CDTF">2026-06-12T09:40:00Z</dcterms:modified>
  <revision>2</revision>
</coreProperties>
</file>