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8f268ffde01471db55d43a771c6daf7"/>
        <w:lock w:val="sdtLocked"/>
        <w:richText/>
      </w:sdtPr>
      <w:sdtContent>
        <w:p w14:paraId="31ACA170" w14:textId="77777777">
          <w:pPr>
            <w:tabs>
              <w:tab w:val="center" w:pos="4153"/>
              <w:tab w:val="right" w:pos="8306"/>
            </w:tabs>
            <w:rPr>
              <w:lang w:val="x-none"/>
            </w:rPr>
          </w:pPr>
        </w:p>
        <w:p w14:paraId="6A0947CC" w14:textId="77777777">
          <w:pPr>
            <w:rPr>
              <w:b/>
              <w:bCs/>
              <w:lang w:val="en-US"/>
            </w:rPr>
          </w:pPr>
        </w:p>
        <w:p w14:paraId="01145453" w14:textId="77777777">
          <w:pPr>
            <w:jc w:val="center"/>
            <w:rPr>
              <w:b/>
              <w:bCs/>
            </w:rPr>
          </w:pPr>
          <w:r>
            <w:rPr>
              <w:b/>
              <w:bCs/>
            </w:rPr>
            <w:t>ŠIAULIŲ MIESTO SAVIVALDYBĖS ADMINISTRACIJOS</w:t>
          </w:r>
        </w:p>
        <w:sdt>
          <w:sdtPr>
            <w:alias w:val="skyrius"/>
            <w:tag w:val="part_4247fefbdccf4fce8600f41b8c491664"/>
            <w:lock w:val="sdtLocked"/>
            <w:richText/>
          </w:sdtPr>
          <w:sdtContent>
            <w:p w14:paraId="35643DCF" w14:textId="77777777">
              <w:pPr>
                <w:jc w:val="center"/>
                <w:rPr>
                  <w:b/>
                  <w:bCs/>
                </w:rPr>
              </w:pPr>
              <w:r>
                <w:rPr>
                  <w:b/>
                  <w:bCs/>
                </w:rPr>
                <w:t>STARTEGINIO PLANAVIMO IR FINANSŲ SKYRIUS</w:t>
              </w:r>
            </w:p>
            <w:p w14:paraId="61A40153" w14:textId="77777777">
              <w:pPr>
                <w:jc w:val="center"/>
                <w:rPr>
                  <w:b/>
                  <w:bCs/>
                </w:rPr>
              </w:pPr>
            </w:p>
            <w:sdt>
              <w:sdtPr>
                <w:alias w:val="Pavadinimas"/>
                <w:tag w:val="title_4247fefbdccf4fce8600f41b8c491664"/>
                <w:lock w:val="sdtLocked"/>
                <w:richText/>
              </w:sdtPr>
              <w:sdtContent>
                <w:p w14:paraId="6BD3C6E9" w14:textId="758DB73D">
                  <w:pPr>
                    <w:keepNext/>
                    <w:jc w:val="center"/>
                    <w:rPr>
                      <w:b/>
                      <w:bCs/>
                      <w:lang w:eastAsia="x-none"/>
                    </w:rPr>
                  </w:pPr>
                  <w:r>
                    <w:rPr>
                      <w:b/>
                      <w:bCs/>
                      <w:lang w:eastAsia="x-none"/>
                    </w:rPr>
                    <w:t xml:space="preserve">SPRENDIMO „DĖL ŠIAULIŲ MIESTO SAVIVALDYBĖS 2024 METŲ BIUDŽETO PATVIRTINIMO“ PROJEKTO </w:t>
                  </w:r>
                </w:p>
                <w:p w14:paraId="3682B8DA" w14:textId="77777777">
                  <w:pPr>
                    <w:jc w:val="center"/>
                    <w:rPr>
                      <w:b/>
                      <w:bCs/>
                    </w:rPr>
                  </w:pPr>
                  <w:r>
                    <w:rPr>
                      <w:b/>
                      <w:bCs/>
                    </w:rPr>
                    <w:t>AIŠKINAMASIS RAŠTAS</w:t>
                  </w:r>
                </w:p>
              </w:sdtContent>
            </w:sdt>
            <w:p w14:paraId="4FFA65BA" w14:textId="77777777">
              <w:pPr>
                <w:jc w:val="center"/>
                <w:rPr>
                  <w:b/>
                  <w:bCs/>
                </w:rPr>
              </w:pPr>
            </w:p>
            <w:p w14:paraId="541D64F0" w14:textId="089AB4AE">
              <w:pPr>
                <w:jc w:val="center"/>
              </w:pPr>
              <w:r>
                <w:t>2024-01-16</w:t>
              </w:r>
            </w:p>
            <w:p w14:paraId="06B63943" w14:textId="77777777">
              <w:pPr>
                <w:jc w:val="center"/>
                <w:rPr>
                  <w:szCs w:val="24"/>
                </w:rPr>
              </w:pPr>
              <w:r>
                <w:rPr>
                  <w:szCs w:val="24"/>
                </w:rPr>
                <w:t>Šiauliai</w:t>
              </w:r>
            </w:p>
            <w:p w14:paraId="17BF6C4D" w14:textId="77777777">
              <w:pPr>
                <w:jc w:val="center"/>
                <w:rPr>
                  <w:szCs w:val="24"/>
                </w:rPr>
              </w:pPr>
            </w:p>
            <w:sdt>
              <w:sdtPr>
                <w:alias w:val="poskyris"/>
                <w:tag w:val="part_34ac114f827b448bb95cbd96c3db12ff"/>
                <w:lock w:val="sdtLocked"/>
                <w:richText/>
              </w:sdtPr>
              <w:sdtContent>
                <w:p w14:paraId="25AA78DA" w14:textId="77777777">
                  <w:pPr>
                    <w:ind w:firstLine="567"/>
                    <w:rPr>
                      <w:b/>
                      <w:bCs/>
                    </w:rPr>
                  </w:pPr>
                  <w:sdt>
                    <w:sdtPr>
                      <w:alias w:val="Pavadinimas"/>
                      <w:tag w:val="title_34ac114f827b448bb95cbd96c3db12ff"/>
                      <w:lock w:val="sdtLocked"/>
                      <w:richText/>
                    </w:sdtPr>
                    <w:sdtContent>
                      <w:r>
                        <w:rPr>
                          <w:b/>
                          <w:bCs/>
                        </w:rPr>
                        <w:t>Parengto sprendimo projekto tikslas ir uždaviniai.</w:t>
                      </w:r>
                    </w:sdtContent>
                  </w:sdt>
                </w:p>
                <w:p w14:paraId="2DF1800B" w14:textId="02707C29">
                  <w:pPr>
                    <w:ind w:firstLine="567"/>
                    <w:jc w:val="both"/>
                  </w:pPr>
                  <w:r>
                    <w:t xml:space="preserve">Patvirtinti Šiaulių miesto savivaldybės 2024 metų biudžetą. </w:t>
                  </w:r>
                </w:p>
              </w:sdtContent>
            </w:sdt>
            <w:sdt>
              <w:sdtPr>
                <w:alias w:val="poskyris"/>
                <w:tag w:val="part_277c8b120a544caf87030dc27a70cd60"/>
                <w:lock w:val="sdtLocked"/>
                <w:richText/>
              </w:sdtPr>
              <w:sdtContent>
                <w:p w14:paraId="24C9F13A" w14:textId="77777777">
                  <w:pPr>
                    <w:tabs>
                      <w:tab w:val="left" w:pos="567"/>
                    </w:tabs>
                    <w:ind w:firstLine="567"/>
                    <w:rPr>
                      <w:lang w:eastAsia="x-none"/>
                    </w:rPr>
                  </w:pPr>
                  <w:sdt>
                    <w:sdtPr>
                      <w:alias w:val="Pavadinimas"/>
                      <w:tag w:val="title_277c8b120a544caf87030dc27a70cd60"/>
                      <w:lock w:val="sdtLocked"/>
                      <w:richText/>
                    </w:sdtPr>
                    <w:sdtContent>
                      <w:r>
                        <w:rPr>
                          <w:b/>
                          <w:lang w:eastAsia="x-none"/>
                        </w:rPr>
                        <w:t>Šiuo metu galiojančios teisinio reguliavimo nuostatos.</w:t>
                      </w:r>
                    </w:sdtContent>
                  </w:sdt>
                </w:p>
                <w:p w14:paraId="7237FFA1" w14:textId="77777777">
                  <w:pPr>
                    <w:ind w:firstLine="567"/>
                    <w:jc w:val="both"/>
                  </w:pPr>
                  <w:r>
                    <w:t xml:space="preserve">Vadovaujantis Lietuvos Respublikos biudžeto sandaros ir Lietuvos Respublikos vietos savivaldos įstatymais savivaldybių biudžetai tvirtinami kasmet Savivaldybės tarybos sprendimu. Biudžetas patvirtinamas per du mėnesius nuo Lietuvos Respublikos Valstybės biudžeto ir savivaldybių biudžetų finansinių rodiklių įstatymo patvirtinimo. Jeigu biudžetas laiku nepatvirtinamas, asignavimai metų pradžioje iki biudžeto patvirtinimo kiekvieną mėnesį negali viršyti 1/12 praėjusių metų biudžeto asignavimų. </w:t>
                  </w:r>
                </w:p>
                <w:p w14:paraId="403F5364" w14:textId="4534BC72">
                  <w:pPr>
                    <w:tabs>
                      <w:tab w:val="left" w:pos="567"/>
                    </w:tabs>
                    <w:ind w:firstLine="567"/>
                    <w:jc w:val="both"/>
                  </w:pPr>
                  <w:r>
                    <w:t>Šiaulių miesto savivaldybės 2024 metų biudžeto projektas parengtas vadovaujantis Lietuvos Respublikos vietos savivaldos įstatymu, Lietuvos Respublikos biudžeto sandaros įstatymu, Lietuvos Respublikos savivaldybių biudžetų pajamų nustatymo metodikos įstatymu, Lietuvos Respublikos 2024 metų valstybės biudžeto ir savivaldybių biudžetų finansinių rodiklių patvirtinimo įstatymu</w:t>
                  </w:r>
                  <w:r>
                    <w:rPr>
                      <w:sz w:val="22"/>
                      <w:szCs w:val="22"/>
                    </w:rPr>
                    <w:t xml:space="preserve">, </w:t>
                  </w:r>
                  <w:r>
                    <w:t>Lietuvos Respublikos Vyriausybės 2001 m. gegužės 14 d. nutarimu Nr. 543 „Dėl Lietuvos Respublikos valstybės biudžeto ir savivaldybių biudžetų sudarymo ir vykdymo taisyklių patvirtinimo“, oficialios statistikos portale skelbiamais duomenimis, Šiaulių miesto savivaldybės tarybos 2022 m. birželio 2 d. sprendimu Nr. T-265 „Dėl Šiaulių miesto savivaldybės biudžeto sudarymo, vykdymo ir atskaitomybės tvarkos aprašo patvirtinimo“</w:t>
                  </w:r>
                  <w:r>
                    <w:rPr>
                      <w:lang w:eastAsia="ar-SA"/>
                    </w:rPr>
                    <w:t xml:space="preserve">, taip pat </w:t>
                  </w:r>
                  <w:r>
                    <w:t>biudžeto asignavimų valdytojų programomis ir jų sąmatų projektais.</w:t>
                  </w:r>
                </w:p>
              </w:sdtContent>
            </w:sdt>
            <w:sdt>
              <w:sdtPr>
                <w:alias w:val="poskyris"/>
                <w:tag w:val="part_f354a6a89f9044a98168c2734bdc9357"/>
                <w:lock w:val="sdtLocked"/>
                <w:richText/>
              </w:sdtPr>
              <w:sdtContent>
                <w:p w14:paraId="586EF932" w14:textId="76A6C0A2">
                  <w:pPr>
                    <w:ind w:firstLine="567"/>
                    <w:rPr>
                      <w:b/>
                    </w:rPr>
                  </w:pPr>
                  <w:sdt>
                    <w:sdtPr>
                      <w:alias w:val="Pavadinimas"/>
                      <w:tag w:val="title_f354a6a89f9044a98168c2734bdc9357"/>
                      <w:lock w:val="sdtLocked"/>
                      <w:richText/>
                    </w:sdtPr>
                    <w:sdtContent>
                      <w:r>
                        <w:rPr>
                          <w:b/>
                        </w:rPr>
                        <w:t xml:space="preserve">Šiaulių miesto savivaldybės 2024 metų biudžeto pajamos ir kiti finansavimo šaltiniai </w:t>
                      </w:r>
                    </w:sdtContent>
                  </w:sdt>
                </w:p>
                <w:p w14:paraId="345AD326" w14:textId="6A9CF4F8">
                  <w:pPr>
                    <w:suppressAutoHyphens/>
                    <w:ind w:firstLine="600"/>
                    <w:jc w:val="both"/>
                    <w:textAlignment w:val="baseline"/>
                    <w:rPr>
                      <w:rFonts w:eastAsia="Calibri"/>
                      <w:color w:val="000000"/>
                      <w:szCs w:val="24"/>
                      <w:lang w:eastAsia="lt-LT"/>
                    </w:rPr>
                  </w:pPr>
                  <w:r>
                    <w:t xml:space="preserve">Savivaldybės 2024 metų biudžeto projekto 1.1 p. planuojami finansavimo šaltiniai sudarys </w:t>
                  </w:r>
                  <w:r>
                    <w:rPr>
                      <w:rFonts w:cs="Calibri"/>
                      <w:lang w:eastAsia="ar-SA"/>
                    </w:rPr>
                    <w:t xml:space="preserve">– 272 118,5 </w:t>
                  </w:r>
                  <w:r>
                    <w:rPr>
                      <w:rFonts w:cs="Calibri"/>
                      <w:bCs/>
                      <w:lang w:eastAsia="ar-SA"/>
                    </w:rPr>
                    <w:t>tūkst.</w:t>
                  </w:r>
                  <w:r>
                    <w:rPr>
                      <w:rFonts w:cs="Calibri"/>
                      <w:lang w:eastAsia="ar-SA"/>
                    </w:rPr>
                    <w:t xml:space="preserve"> Eur, t. y. 48 966,1 </w:t>
                  </w:r>
                  <w:r>
                    <w:rPr>
                      <w:rFonts w:cs="Calibri"/>
                      <w:color w:val="000000"/>
                      <w:lang w:eastAsia="ar-SA"/>
                    </w:rPr>
                    <w:t xml:space="preserve">tūkst. Eur daugiau negu buvo patvirtinta 2023 metų pirminiame biudžete ir </w:t>
                  </w:r>
                  <w:r>
                    <w:rPr>
                      <w:rFonts w:cs="Calibri"/>
                      <w:lang w:eastAsia="ar-SA"/>
                    </w:rPr>
                    <w:t xml:space="preserve">15 344,1 tūkst. Eur daugiau negu buvo patvirtinta 2023 metų patikslintame biudžete. Planuojamas pajamas sudarys: </w:t>
                  </w:r>
                  <w:r>
                    <w:rPr>
                      <w:rFonts w:eastAsia="Calibri"/>
                      <w:color w:val="000000"/>
                      <w:szCs w:val="24"/>
                      <w:lang w:eastAsia="lt-LT"/>
                    </w:rPr>
                    <w:t xml:space="preserve">mokesčiai – </w:t>
                  </w:r>
                  <w:r>
                    <w:rPr>
                      <w:rFonts w:eastAsia="Calibri"/>
                      <w:szCs w:val="24"/>
                      <w:lang w:eastAsia="lt-LT"/>
                    </w:rPr>
                    <w:t>108 364,0</w:t>
                  </w:r>
                  <w:r>
                    <w:rPr>
                      <w:rFonts w:eastAsia="Calibri"/>
                      <w:color w:val="FF0000"/>
                      <w:szCs w:val="24"/>
                      <w:lang w:eastAsia="lt-LT"/>
                    </w:rPr>
                    <w:t xml:space="preserve"> </w:t>
                  </w:r>
                  <w:r>
                    <w:rPr>
                      <w:rFonts w:eastAsia="Calibri"/>
                      <w:color w:val="000000"/>
                      <w:szCs w:val="24"/>
                      <w:lang w:eastAsia="lt-LT"/>
                    </w:rPr>
                    <w:t xml:space="preserve">tūkst. Eur, dotacijos, įskaitant Europos Sąjungos ir kitos tarptautinės finansinės paramos lėšas, – </w:t>
                  </w:r>
                  <w:r>
                    <w:rPr>
                      <w:rFonts w:eastAsia="Calibri"/>
                      <w:szCs w:val="24"/>
                      <w:lang w:eastAsia="lt-LT"/>
                    </w:rPr>
                    <w:t>103 450,9</w:t>
                  </w:r>
                  <w:r>
                    <w:rPr>
                      <w:rFonts w:eastAsia="Calibri"/>
                      <w:color w:val="FF0000"/>
                      <w:szCs w:val="24"/>
                      <w:lang w:eastAsia="lt-LT"/>
                    </w:rPr>
                    <w:t xml:space="preserve"> </w:t>
                  </w:r>
                  <w:r>
                    <w:rPr>
                      <w:rFonts w:eastAsia="Calibri"/>
                      <w:color w:val="000000"/>
                      <w:szCs w:val="24"/>
                      <w:lang w:eastAsia="lt-LT"/>
                    </w:rPr>
                    <w:t xml:space="preserve">tūkst. Eur ir </w:t>
                  </w:r>
                  <w:r>
                    <w:t>kitos pajamos, įskaitant materialiojo ir nematerialiojo turto realizavimo pajamas,</w:t>
                  </w:r>
                  <w:r>
                    <w:rPr>
                      <w:rFonts w:eastAsia="Calibri"/>
                      <w:color w:val="000000"/>
                      <w:szCs w:val="24"/>
                      <w:lang w:eastAsia="lt-LT"/>
                    </w:rPr>
                    <w:t xml:space="preserve"> – </w:t>
                  </w:r>
                  <w:r>
                    <w:rPr>
                      <w:rFonts w:eastAsia="Calibri"/>
                      <w:szCs w:val="24"/>
                      <w:lang w:eastAsia="lt-LT"/>
                    </w:rPr>
                    <w:t>16 883,5</w:t>
                  </w:r>
                  <w:r>
                    <w:rPr>
                      <w:rFonts w:eastAsia="Calibri"/>
                      <w:color w:val="FF0000"/>
                      <w:szCs w:val="24"/>
                      <w:lang w:eastAsia="lt-LT"/>
                    </w:rPr>
                    <w:t xml:space="preserve"> </w:t>
                  </w:r>
                  <w:r>
                    <w:rPr>
                      <w:rFonts w:eastAsia="Calibri"/>
                      <w:color w:val="000000"/>
                      <w:szCs w:val="24"/>
                      <w:lang w:eastAsia="lt-LT"/>
                    </w:rPr>
                    <w:t xml:space="preserve">tūkst. Eur. </w:t>
                  </w:r>
                </w:p>
                <w:p w14:paraId="1B63266F" w14:textId="2AE551CA">
                  <w:pPr>
                    <w:suppressAutoHyphens/>
                    <w:ind w:firstLine="600"/>
                    <w:jc w:val="both"/>
                    <w:textAlignment w:val="baseline"/>
                    <w:rPr>
                      <w:rFonts w:cs="Calibri"/>
                      <w:lang w:eastAsia="ar-SA"/>
                    </w:rPr>
                  </w:pPr>
                  <w:r>
                    <w:rPr>
                      <w:rFonts w:eastAsia="Calibri"/>
                      <w:color w:val="000000"/>
                      <w:szCs w:val="24"/>
                      <w:lang w:eastAsia="lt-LT"/>
                    </w:rPr>
                    <w:t xml:space="preserve">Kitus finansavimo šaltinius sudarys: lėšų likutis ataskaitinio laikotarpio pabaigoje (2023-12-31) – </w:t>
                  </w:r>
                  <w:r>
                    <w:rPr>
                      <w:rFonts w:eastAsia="Calibri"/>
                      <w:szCs w:val="24"/>
                      <w:lang w:eastAsia="lt-LT"/>
                    </w:rPr>
                    <w:t>32 383,0</w:t>
                  </w:r>
                  <w:r>
                    <w:rPr>
                      <w:rFonts w:eastAsia="Calibri"/>
                      <w:color w:val="FF0000"/>
                      <w:szCs w:val="24"/>
                      <w:lang w:eastAsia="lt-LT"/>
                    </w:rPr>
                    <w:t xml:space="preserve"> </w:t>
                  </w:r>
                  <w:r>
                    <w:rPr>
                      <w:rFonts w:cs="Calibri"/>
                      <w:lang w:eastAsia="ar-SA"/>
                    </w:rPr>
                    <w:t>tūkst. Eur ir planuojama ilgalaikė paskola – 11 037,1</w:t>
                  </w:r>
                  <w:r>
                    <w:rPr>
                      <w:rFonts w:cs="Calibri"/>
                      <w:color w:val="FF0000"/>
                      <w:lang w:eastAsia="ar-SA"/>
                    </w:rPr>
                    <w:t xml:space="preserve"> </w:t>
                  </w:r>
                  <w:r>
                    <w:rPr>
                      <w:rFonts w:cs="Calibri"/>
                      <w:lang w:eastAsia="ar-SA"/>
                    </w:rPr>
                    <w:t>tūkst. Eur.</w:t>
                  </w:r>
                </w:p>
                <w:p w14:paraId="21298740" w14:textId="77777777">
                  <w:pPr>
                    <w:suppressAutoHyphens/>
                    <w:ind w:firstLine="600"/>
                    <w:jc w:val="both"/>
                    <w:textAlignment w:val="baseline"/>
                    <w:rPr>
                      <w:rFonts w:cs="Calibri"/>
                      <w:sz w:val="16"/>
                      <w:szCs w:val="16"/>
                      <w:lang w:eastAsia="ar-SA"/>
                    </w:rPr>
                  </w:pPr>
                </w:p>
              </w:sdtContent>
            </w:sdt>
            <w:sdt>
              <w:sdtPr>
                <w:alias w:val="poskyris"/>
                <w:tag w:val="part_12fa71b95892404d82566748561ce997"/>
                <w:lock w:val="sdtLocked"/>
                <w:richText/>
              </w:sdtPr>
              <w:sdtContent>
                <w:p w14:paraId="113EA873" w14:textId="72883B34">
                  <w:pPr>
                    <w:ind w:firstLine="567"/>
                    <w:rPr>
                      <w:b/>
                    </w:rPr>
                  </w:pPr>
                  <w:sdt>
                    <w:sdtPr>
                      <w:alias w:val="Pavadinimas"/>
                      <w:tag w:val="title_12fa71b95892404d82566748561ce997"/>
                      <w:lock w:val="sdtLocked"/>
                      <w:richText/>
                    </w:sdtPr>
                    <w:sdtContent>
                      <w:r>
                        <w:rPr>
                          <w:b/>
                        </w:rPr>
                        <w:t xml:space="preserve">Šiaulių miesto savivaldybės 2024 metų biudžeto pajamos ir kiti finansavimo šaltiniai </w:t>
                      </w:r>
                    </w:sdtContent>
                  </w:sdt>
                </w:p>
                <w:p w14:paraId="31821BA9" w14:textId="0D081218">
                  <w:pPr>
                    <w:ind w:left="6480" w:firstLine="1916"/>
                    <w:rPr>
                      <w:bCs/>
                      <w:sz w:val="20"/>
                    </w:rPr>
                  </w:pPr>
                  <w:r>
                    <w:rPr>
                      <w:bCs/>
                      <w:sz w:val="20"/>
                    </w:rPr>
                    <w:t>(tūkst. Eur)</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12"/>
                    <w:gridCol w:w="1416"/>
                    <w:gridCol w:w="1404"/>
                    <w:gridCol w:w="1470"/>
                    <w:gridCol w:w="1302"/>
                    <w:gridCol w:w="1324"/>
                  </w:tblGrid>
                  <w:tr w14:paraId="6D5F8525" w14:textId="77777777">
                    <w:tc>
                      <w:tcPr>
                        <w:tcW w:w="3012" w:type="dxa"/>
                        <w:vMerge w:val="restart"/>
                        <w:shd w:val="clear" w:color="auto" w:fill="auto"/>
                      </w:tcPr>
                      <w:p w14:paraId="5E60B53F" w14:textId="77777777">
                        <w:pPr>
                          <w:jc w:val="center"/>
                          <w:rPr>
                            <w:b/>
                            <w:bCs/>
                          </w:rPr>
                        </w:pPr>
                        <w:r>
                          <w:rPr>
                            <w:b/>
                            <w:bCs/>
                          </w:rPr>
                          <w:t>Finansavimo šaltinis</w:t>
                        </w:r>
                      </w:p>
                    </w:tc>
                    <w:tc>
                      <w:tcPr>
                        <w:tcW w:w="2820" w:type="dxa"/>
                        <w:gridSpan w:val="2"/>
                        <w:shd w:val="clear" w:color="auto" w:fill="auto"/>
                      </w:tcPr>
                      <w:p w14:paraId="0B91771B" w14:textId="7288278F">
                        <w:pPr>
                          <w:jc w:val="center"/>
                          <w:rPr>
                            <w:b/>
                            <w:bCs/>
                          </w:rPr>
                        </w:pPr>
                        <w:r>
                          <w:rPr>
                            <w:b/>
                            <w:bCs/>
                          </w:rPr>
                          <w:t>2023 m. finansavimo šaltinių planas</w:t>
                        </w:r>
                      </w:p>
                    </w:tc>
                    <w:tc>
                      <w:tcPr>
                        <w:tcW w:w="1380" w:type="dxa"/>
                        <w:vMerge w:val="restart"/>
                        <w:shd w:val="clear" w:color="auto" w:fill="auto"/>
                      </w:tcPr>
                      <w:p w14:paraId="496C6A02" w14:textId="526A3E33">
                        <w:pPr>
                          <w:jc w:val="center"/>
                          <w:rPr>
                            <w:b/>
                            <w:bCs/>
                          </w:rPr>
                        </w:pPr>
                        <w:r>
                          <w:rPr>
                            <w:b/>
                            <w:bCs/>
                          </w:rPr>
                          <w:t>2024 m. finansavimo šaltinių</w:t>
                        </w:r>
                      </w:p>
                      <w:p w14:paraId="5F2BB12E" w14:textId="77777777">
                        <w:pPr>
                          <w:jc w:val="center"/>
                          <w:rPr>
                            <w:b/>
                            <w:bCs/>
                          </w:rPr>
                        </w:pPr>
                        <w:r>
                          <w:rPr>
                            <w:b/>
                            <w:bCs/>
                          </w:rPr>
                          <w:t>planas</w:t>
                        </w:r>
                      </w:p>
                    </w:tc>
                    <w:tc>
                      <w:tcPr>
                        <w:tcW w:w="2642" w:type="dxa"/>
                        <w:gridSpan w:val="2"/>
                        <w:shd w:val="clear" w:color="auto" w:fill="auto"/>
                      </w:tcPr>
                      <w:p w14:paraId="2A39257A" w14:textId="68C3771B">
                        <w:pPr>
                          <w:jc w:val="center"/>
                        </w:pPr>
                        <w:r>
                          <w:rPr>
                            <w:b/>
                            <w:szCs w:val="24"/>
                          </w:rPr>
                          <w:t>2024 m. +;- palyginti su 2023 m. finansavimo šaltinių planu</w:t>
                        </w:r>
                      </w:p>
                    </w:tc>
                  </w:tr>
                  <w:tr w14:paraId="4082119B" w14:textId="77777777">
                    <w:tc>
                      <w:tcPr>
                        <w:tcW w:w="3012" w:type="dxa"/>
                        <w:vMerge/>
                        <w:shd w:val="clear" w:color="auto" w:fill="auto"/>
                      </w:tcPr>
                      <w:p w14:paraId="0483D5C1" w14:textId="77777777">
                        <w:pPr>
                          <w:jc w:val="both"/>
                        </w:pPr>
                      </w:p>
                    </w:tc>
                    <w:tc>
                      <w:tcPr>
                        <w:tcW w:w="1416" w:type="dxa"/>
                        <w:shd w:val="clear" w:color="auto" w:fill="auto"/>
                      </w:tcPr>
                      <w:p w14:paraId="50AC0396" w14:textId="53E18D14">
                        <w:pPr>
                          <w:jc w:val="both"/>
                          <w:rPr>
                            <w:b/>
                            <w:bCs/>
                          </w:rPr>
                        </w:pPr>
                        <w:r>
                          <w:rPr>
                            <w:b/>
                            <w:bCs/>
                          </w:rPr>
                          <w:t>patvirtintas</w:t>
                        </w:r>
                      </w:p>
                    </w:tc>
                    <w:tc>
                      <w:tcPr>
                        <w:tcW w:w="1404" w:type="dxa"/>
                      </w:tcPr>
                      <w:p w14:paraId="2DBB69A9" w14:textId="7AA91EA3">
                        <w:pPr>
                          <w:jc w:val="both"/>
                          <w:rPr>
                            <w:b/>
                            <w:bCs/>
                          </w:rPr>
                        </w:pPr>
                        <w:r>
                          <w:rPr>
                            <w:b/>
                            <w:bCs/>
                          </w:rPr>
                          <w:t>patikslintas</w:t>
                        </w:r>
                      </w:p>
                    </w:tc>
                    <w:tc>
                      <w:tcPr>
                        <w:tcW w:w="1380" w:type="dxa"/>
                        <w:vMerge/>
                        <w:shd w:val="clear" w:color="auto" w:fill="auto"/>
                      </w:tcPr>
                      <w:p w14:paraId="72126D5A" w14:textId="6692EDD8">
                        <w:pPr>
                          <w:jc w:val="both"/>
                        </w:pPr>
                      </w:p>
                    </w:tc>
                    <w:tc>
                      <w:tcPr>
                        <w:tcW w:w="1318" w:type="dxa"/>
                        <w:shd w:val="clear" w:color="auto" w:fill="auto"/>
                      </w:tcPr>
                      <w:p w14:paraId="47FA0A0F" w14:textId="265E4E8C">
                        <w:pPr>
                          <w:jc w:val="both"/>
                          <w:rPr>
                            <w:b/>
                            <w:bCs/>
                            <w:sz w:val="22"/>
                            <w:szCs w:val="22"/>
                          </w:rPr>
                        </w:pPr>
                        <w:r>
                          <w:rPr>
                            <w:b/>
                            <w:bCs/>
                            <w:sz w:val="22"/>
                            <w:szCs w:val="22"/>
                          </w:rPr>
                          <w:t>patvirtintu</w:t>
                        </w:r>
                      </w:p>
                    </w:tc>
                    <w:tc>
                      <w:tcPr>
                        <w:tcW w:w="1324" w:type="dxa"/>
                        <w:shd w:val="clear" w:color="auto" w:fill="auto"/>
                      </w:tcPr>
                      <w:p w14:paraId="5E60BEBC" w14:textId="2BC0F5B9">
                        <w:pPr>
                          <w:jc w:val="center"/>
                          <w:rPr>
                            <w:b/>
                            <w:bCs/>
                          </w:rPr>
                        </w:pPr>
                        <w:r>
                          <w:rPr>
                            <w:b/>
                            <w:bCs/>
                          </w:rPr>
                          <w:t>patikslintu</w:t>
                        </w:r>
                      </w:p>
                    </w:tc>
                  </w:tr>
                  <w:tr w14:paraId="6D7C72F0" w14:textId="77777777">
                    <w:tc>
                      <w:tcPr>
                        <w:tcW w:w="3012" w:type="dxa"/>
                        <w:shd w:val="clear" w:color="auto" w:fill="auto"/>
                      </w:tcPr>
                      <w:p w14:paraId="58EA42F2" w14:textId="67ACCD44">
                        <w:pPr>
                          <w:jc w:val="both"/>
                        </w:pPr>
                        <w:r>
                          <w:t>Mokesčiai, iš viso</w:t>
                        </w:r>
                      </w:p>
                    </w:tc>
                    <w:tc>
                      <w:tcPr>
                        <w:tcW w:w="1416" w:type="dxa"/>
                        <w:shd w:val="clear" w:color="auto" w:fill="auto"/>
                      </w:tcPr>
                      <w:p w14:paraId="2E171D60" w14:textId="6F808F24">
                        <w:pPr>
                          <w:jc w:val="center"/>
                        </w:pPr>
                        <w:r>
                          <w:t>93 316,0</w:t>
                        </w:r>
                      </w:p>
                    </w:tc>
                    <w:tc>
                      <w:tcPr>
                        <w:tcW w:w="1404" w:type="dxa"/>
                      </w:tcPr>
                      <w:p w14:paraId="3D44255E" w14:textId="7189DE32">
                        <w:pPr>
                          <w:jc w:val="center"/>
                          <w:rPr>
                            <w:color w:val="000000"/>
                          </w:rPr>
                        </w:pPr>
                        <w:r>
                          <w:rPr>
                            <w:color w:val="000000"/>
                          </w:rPr>
                          <w:t>93 316,0</w:t>
                        </w:r>
                      </w:p>
                    </w:tc>
                    <w:tc>
                      <w:tcPr>
                        <w:tcW w:w="1380" w:type="dxa"/>
                        <w:shd w:val="clear" w:color="auto" w:fill="auto"/>
                      </w:tcPr>
                      <w:p w14:paraId="47CEAF16" w14:textId="401E305B">
                        <w:pPr>
                          <w:jc w:val="center"/>
                          <w:rPr>
                            <w:color w:val="000000"/>
                          </w:rPr>
                        </w:pPr>
                        <w:r>
                          <w:rPr>
                            <w:color w:val="000000"/>
                          </w:rPr>
                          <w:t>108 364,0</w:t>
                        </w:r>
                      </w:p>
                    </w:tc>
                    <w:tc>
                      <w:tcPr>
                        <w:tcW w:w="1318" w:type="dxa"/>
                        <w:shd w:val="clear" w:color="auto" w:fill="auto"/>
                      </w:tcPr>
                      <w:p w14:paraId="5F1FB635" w14:textId="05203858">
                        <w:pPr>
                          <w:jc w:val="center"/>
                          <w:rPr>
                            <w:sz w:val="22"/>
                            <w:szCs w:val="22"/>
                          </w:rPr>
                        </w:pPr>
                        <w:r>
                          <w:rPr>
                            <w:sz w:val="22"/>
                            <w:szCs w:val="22"/>
                          </w:rPr>
                          <w:t>15 048,0</w:t>
                        </w:r>
                      </w:p>
                    </w:tc>
                    <w:tc>
                      <w:tcPr>
                        <w:tcW w:w="1324" w:type="dxa"/>
                        <w:shd w:val="clear" w:color="auto" w:fill="auto"/>
                      </w:tcPr>
                      <w:p w14:paraId="5E9DF993" w14:textId="7EC3BDE2">
                        <w:pPr>
                          <w:jc w:val="center"/>
                        </w:pPr>
                        <w:r>
                          <w:t>15 048,0</w:t>
                        </w:r>
                      </w:p>
                    </w:tc>
                  </w:tr>
                  <w:tr w14:paraId="400723F9" w14:textId="77777777">
                    <w:tc>
                      <w:tcPr>
                        <w:tcW w:w="3012" w:type="dxa"/>
                        <w:shd w:val="clear" w:color="auto" w:fill="auto"/>
                      </w:tcPr>
                      <w:p w14:paraId="34FC23CC" w14:textId="36379809">
                        <w:pPr>
                          <w:jc w:val="both"/>
                        </w:pPr>
                        <w:r>
                          <w:t>t. sk. Gyventojų pajamų mokestis</w:t>
                        </w:r>
                      </w:p>
                    </w:tc>
                    <w:tc>
                      <w:tcPr>
                        <w:tcW w:w="1416" w:type="dxa"/>
                        <w:shd w:val="clear" w:color="auto" w:fill="auto"/>
                      </w:tcPr>
                      <w:p w14:paraId="47F62712" w14:textId="7756E690">
                        <w:pPr>
                          <w:jc w:val="center"/>
                        </w:pPr>
                        <w:r>
                          <w:t>88 791,0</w:t>
                        </w:r>
                      </w:p>
                    </w:tc>
                    <w:tc>
                      <w:tcPr>
                        <w:tcW w:w="1404" w:type="dxa"/>
                      </w:tcPr>
                      <w:p w14:paraId="4945AED6" w14:textId="604F02C1">
                        <w:pPr>
                          <w:jc w:val="center"/>
                          <w:rPr>
                            <w:color w:val="000000"/>
                          </w:rPr>
                        </w:pPr>
                        <w:r>
                          <w:rPr>
                            <w:color w:val="000000"/>
                          </w:rPr>
                          <w:t>88 791,0</w:t>
                        </w:r>
                      </w:p>
                    </w:tc>
                    <w:tc>
                      <w:tcPr>
                        <w:tcW w:w="1380" w:type="dxa"/>
                        <w:shd w:val="clear" w:color="auto" w:fill="auto"/>
                      </w:tcPr>
                      <w:p w14:paraId="115124A8" w14:textId="7669D95A">
                        <w:pPr>
                          <w:jc w:val="center"/>
                          <w:rPr>
                            <w:color w:val="000000"/>
                          </w:rPr>
                        </w:pPr>
                        <w:r>
                          <w:rPr>
                            <w:color w:val="000000"/>
                          </w:rPr>
                          <w:t>103 604,0</w:t>
                        </w:r>
                      </w:p>
                    </w:tc>
                    <w:tc>
                      <w:tcPr>
                        <w:tcW w:w="1318" w:type="dxa"/>
                        <w:shd w:val="clear" w:color="auto" w:fill="auto"/>
                      </w:tcPr>
                      <w:p w14:paraId="70F7FD7F" w14:textId="4A9F14F3">
                        <w:pPr>
                          <w:jc w:val="center"/>
                        </w:pPr>
                        <w:r>
                          <w:t>14 813,0</w:t>
                        </w:r>
                      </w:p>
                    </w:tc>
                    <w:tc>
                      <w:tcPr>
                        <w:tcW w:w="1324" w:type="dxa"/>
                        <w:shd w:val="clear" w:color="auto" w:fill="auto"/>
                      </w:tcPr>
                      <w:p w14:paraId="74C4E160" w14:textId="3CE49C5F">
                        <w:pPr>
                          <w:jc w:val="center"/>
                        </w:pPr>
                        <w:r>
                          <w:t>14 813,0</w:t>
                        </w:r>
                      </w:p>
                    </w:tc>
                  </w:tr>
                  <w:tr w14:paraId="43EC26D4" w14:textId="77777777">
                    <w:trPr>
                      <w:trHeight w:val="415"/>
                    </w:trPr>
                    <w:tc>
                      <w:tcPr>
                        <w:tcW w:w="3012" w:type="dxa"/>
                        <w:shd w:val="clear" w:color="auto" w:fill="auto"/>
                      </w:tcPr>
                      <w:p w14:paraId="5A5248AA" w14:textId="77777777">
                        <w:pPr>
                          <w:jc w:val="both"/>
                        </w:pPr>
                        <w:r>
                          <w:t>Dotacijos</w:t>
                        </w:r>
                      </w:p>
                    </w:tc>
                    <w:tc>
                      <w:tcPr>
                        <w:tcW w:w="1416" w:type="dxa"/>
                        <w:shd w:val="clear" w:color="auto" w:fill="auto"/>
                      </w:tcPr>
                      <w:p w14:paraId="21BA75C1" w14:textId="5BE784DF">
                        <w:pPr>
                          <w:jc w:val="center"/>
                        </w:pPr>
                        <w:r>
                          <w:t>86 504,8</w:t>
                        </w:r>
                      </w:p>
                    </w:tc>
                    <w:tc>
                      <w:tcPr>
                        <w:tcW w:w="1404" w:type="dxa"/>
                      </w:tcPr>
                      <w:p w14:paraId="7789E41D" w14:textId="6AC7C303">
                        <w:pPr>
                          <w:jc w:val="center"/>
                          <w:rPr>
                            <w:color w:val="000000"/>
                          </w:rPr>
                        </w:pPr>
                        <w:r>
                          <w:rPr>
                            <w:color w:val="000000"/>
                          </w:rPr>
                          <w:t>108 201,1</w:t>
                        </w:r>
                      </w:p>
                    </w:tc>
                    <w:tc>
                      <w:tcPr>
                        <w:tcW w:w="1380" w:type="dxa"/>
                        <w:shd w:val="clear" w:color="auto" w:fill="auto"/>
                      </w:tcPr>
                      <w:p w14:paraId="09443858" w14:textId="130DA12A">
                        <w:pPr>
                          <w:jc w:val="center"/>
                          <w:rPr>
                            <w:color w:val="FF0000"/>
                          </w:rPr>
                        </w:pPr>
                        <w:r>
                          <w:t>103 450,9</w:t>
                        </w:r>
                      </w:p>
                    </w:tc>
                    <w:tc>
                      <w:tcPr>
                        <w:tcW w:w="1318" w:type="dxa"/>
                        <w:shd w:val="clear" w:color="auto" w:fill="auto"/>
                      </w:tcPr>
                      <w:p w14:paraId="19324989" w14:textId="757B8EC5">
                        <w:pPr>
                          <w:jc w:val="center"/>
                        </w:pPr>
                        <w:r>
                          <w:t>16 946,1</w:t>
                        </w:r>
                      </w:p>
                    </w:tc>
                    <w:tc>
                      <w:tcPr>
                        <w:tcW w:w="1324" w:type="dxa"/>
                        <w:shd w:val="clear" w:color="auto" w:fill="auto"/>
                      </w:tcPr>
                      <w:p w14:paraId="393BBDC6" w14:textId="11E35BA9">
                        <w:pPr>
                          <w:jc w:val="center"/>
                        </w:pPr>
                        <w:r>
                          <w:t>-4 750,2</w:t>
                        </w:r>
                      </w:p>
                    </w:tc>
                  </w:tr>
                  <w:tr w14:paraId="05A5191E" w14:textId="77777777">
                    <w:tc>
                      <w:tcPr>
                        <w:tcW w:w="3012" w:type="dxa"/>
                        <w:shd w:val="clear" w:color="auto" w:fill="auto"/>
                      </w:tcPr>
                      <w:p w14:paraId="559A5AF2" w14:textId="77777777">
                        <w:pPr>
                          <w:jc w:val="both"/>
                        </w:pPr>
                        <w:r>
                          <w:t>Kitos pajamos, įskaitant materialiojo ir nematerialiojo turto realizavimo pajamas</w:t>
                        </w:r>
                      </w:p>
                    </w:tc>
                    <w:tc>
                      <w:tcPr>
                        <w:tcW w:w="1416" w:type="dxa"/>
                        <w:shd w:val="clear" w:color="auto" w:fill="auto"/>
                      </w:tcPr>
                      <w:p w14:paraId="1D9FDE24" w14:textId="70000992">
                        <w:pPr>
                          <w:jc w:val="center"/>
                        </w:pPr>
                        <w:r>
                          <w:t>16 021,1</w:t>
                        </w:r>
                      </w:p>
                    </w:tc>
                    <w:tc>
                      <w:tcPr>
                        <w:tcW w:w="1404" w:type="dxa"/>
                      </w:tcPr>
                      <w:p w14:paraId="48911B3C" w14:textId="62FD3107">
                        <w:pPr>
                          <w:jc w:val="center"/>
                          <w:rPr>
                            <w:color w:val="000000"/>
                          </w:rPr>
                        </w:pPr>
                        <w:r>
                          <w:rPr>
                            <w:color w:val="000000"/>
                          </w:rPr>
                          <w:t>20 872,7</w:t>
                        </w:r>
                      </w:p>
                    </w:tc>
                    <w:tc>
                      <w:tcPr>
                        <w:tcW w:w="1380" w:type="dxa"/>
                        <w:shd w:val="clear" w:color="auto" w:fill="auto"/>
                      </w:tcPr>
                      <w:p w14:paraId="1919D7F5" w14:textId="662BF99E">
                        <w:pPr>
                          <w:jc w:val="center"/>
                          <w:rPr>
                            <w:color w:val="000000"/>
                          </w:rPr>
                        </w:pPr>
                        <w:r>
                          <w:rPr>
                            <w:color w:val="000000"/>
                          </w:rPr>
                          <w:t>16 883,5</w:t>
                        </w:r>
                      </w:p>
                    </w:tc>
                    <w:tc>
                      <w:tcPr>
                        <w:tcW w:w="1318" w:type="dxa"/>
                        <w:shd w:val="clear" w:color="auto" w:fill="auto"/>
                      </w:tcPr>
                      <w:p w14:paraId="0F7E936B" w14:textId="71B6DE56">
                        <w:pPr>
                          <w:jc w:val="center"/>
                        </w:pPr>
                        <w:r>
                          <w:t>862,4</w:t>
                        </w:r>
                      </w:p>
                    </w:tc>
                    <w:tc>
                      <w:tcPr>
                        <w:tcW w:w="1324" w:type="dxa"/>
                        <w:shd w:val="clear" w:color="auto" w:fill="auto"/>
                      </w:tcPr>
                      <w:p w14:paraId="05EA394E" w14:textId="48736CAF">
                        <w:pPr>
                          <w:jc w:val="center"/>
                        </w:pPr>
                        <w:r>
                          <w:t>-3 989,2</w:t>
                        </w:r>
                      </w:p>
                    </w:tc>
                  </w:tr>
                  <w:tr w14:paraId="6D7E752C" w14:textId="77777777">
                    <w:trPr>
                      <w:trHeight w:val="291"/>
                    </w:trPr>
                    <w:tc>
                      <w:tcPr>
                        <w:tcW w:w="3012" w:type="dxa"/>
                        <w:shd w:val="clear" w:color="auto" w:fill="auto"/>
                      </w:tcPr>
                      <w:p w14:paraId="29C134B8" w14:textId="77777777">
                        <w:pPr>
                          <w:jc w:val="both"/>
                          <w:rPr>
                            <w:b/>
                          </w:rPr>
                        </w:pPr>
                        <w:r>
                          <w:rPr>
                            <w:b/>
                          </w:rPr>
                          <w:t>Iš viso: pajamų</w:t>
                        </w:r>
                      </w:p>
                    </w:tc>
                    <w:tc>
                      <w:tcPr>
                        <w:tcW w:w="1416" w:type="dxa"/>
                        <w:shd w:val="clear" w:color="auto" w:fill="auto"/>
                      </w:tcPr>
                      <w:p w14:paraId="74103FBF" w14:textId="25CF3DAE">
                        <w:pPr>
                          <w:jc w:val="center"/>
                          <w:rPr>
                            <w:b/>
                          </w:rPr>
                        </w:pPr>
                        <w:r>
                          <w:rPr>
                            <w:b/>
                          </w:rPr>
                          <w:t>195 841,9</w:t>
                        </w:r>
                      </w:p>
                    </w:tc>
                    <w:tc>
                      <w:tcPr>
                        <w:tcW w:w="1404" w:type="dxa"/>
                      </w:tcPr>
                      <w:p w14:paraId="6F20C327" w14:textId="080C2DF2">
                        <w:pPr>
                          <w:jc w:val="center"/>
                          <w:rPr>
                            <w:b/>
                            <w:color w:val="000000"/>
                          </w:rPr>
                        </w:pPr>
                        <w:r>
                          <w:rPr>
                            <w:b/>
                            <w:color w:val="000000"/>
                          </w:rPr>
                          <w:t>222 389,8</w:t>
                        </w:r>
                      </w:p>
                    </w:tc>
                    <w:tc>
                      <w:tcPr>
                        <w:tcW w:w="1380" w:type="dxa"/>
                        <w:shd w:val="clear" w:color="auto" w:fill="auto"/>
                      </w:tcPr>
                      <w:p w14:paraId="2E6A787A" w14:textId="4BBCA592">
                        <w:pPr>
                          <w:jc w:val="center"/>
                          <w:rPr>
                            <w:b/>
                          </w:rPr>
                        </w:pPr>
                        <w:r>
                          <w:rPr>
                            <w:b/>
                          </w:rPr>
                          <w:t>228 698,4</w:t>
                        </w:r>
                      </w:p>
                    </w:tc>
                    <w:tc>
                      <w:tcPr>
                        <w:tcW w:w="1318" w:type="dxa"/>
                        <w:shd w:val="clear" w:color="auto" w:fill="auto"/>
                      </w:tcPr>
                      <w:p w14:paraId="459C9DFC" w14:textId="7C3D0900">
                        <w:pPr>
                          <w:jc w:val="center"/>
                          <w:rPr>
                            <w:b/>
                          </w:rPr>
                        </w:pPr>
                        <w:r>
                          <w:rPr>
                            <w:b/>
                          </w:rPr>
                          <w:t>32 856,5</w:t>
                        </w:r>
                      </w:p>
                    </w:tc>
                    <w:tc>
                      <w:tcPr>
                        <w:tcW w:w="1324" w:type="dxa"/>
                        <w:shd w:val="clear" w:color="auto" w:fill="auto"/>
                      </w:tcPr>
                      <w:p w14:paraId="2465B932" w14:textId="61FEA35E">
                        <w:pPr>
                          <w:jc w:val="center"/>
                          <w:rPr>
                            <w:b/>
                          </w:rPr>
                        </w:pPr>
                        <w:r>
                          <w:rPr>
                            <w:b/>
                          </w:rPr>
                          <w:t>6 308,6</w:t>
                        </w:r>
                      </w:p>
                    </w:tc>
                  </w:tr>
                  <w:tr w14:paraId="77456394" w14:textId="77777777">
                    <w:tc>
                      <w:tcPr>
                        <w:tcW w:w="3012" w:type="dxa"/>
                        <w:shd w:val="clear" w:color="auto" w:fill="auto"/>
                      </w:tcPr>
                      <w:p w14:paraId="58EA3883" w14:textId="4DD79A5D">
                        <w:pPr>
                          <w:jc w:val="both"/>
                        </w:pPr>
                        <w:r>
                          <w:t>Praėjusių metų nepanaudota pajamų dalis, kuri viršija praėjusių metų panaudotus asignavimus</w:t>
                        </w:r>
                      </w:p>
                    </w:tc>
                    <w:tc>
                      <w:tcPr>
                        <w:tcW w:w="1416" w:type="dxa"/>
                        <w:shd w:val="clear" w:color="auto" w:fill="auto"/>
                      </w:tcPr>
                      <w:p w14:paraId="2C86EB68" w14:textId="42F515F3">
                        <w:pPr>
                          <w:jc w:val="center"/>
                        </w:pPr>
                        <w:r>
                          <w:t>22 684,0</w:t>
                        </w:r>
                      </w:p>
                    </w:tc>
                    <w:tc>
                      <w:tcPr>
                        <w:tcW w:w="1404" w:type="dxa"/>
                      </w:tcPr>
                      <w:p w14:paraId="28411462" w14:textId="17A5A496">
                        <w:pPr>
                          <w:jc w:val="center"/>
                        </w:pPr>
                        <w:r>
                          <w:t>22 684,0</w:t>
                        </w:r>
                      </w:p>
                    </w:tc>
                    <w:tc>
                      <w:tcPr>
                        <w:tcW w:w="1380" w:type="dxa"/>
                        <w:shd w:val="clear" w:color="auto" w:fill="auto"/>
                      </w:tcPr>
                      <w:p w14:paraId="4F01CB3F" w14:textId="1488B06A">
                        <w:pPr>
                          <w:jc w:val="center"/>
                        </w:pPr>
                        <w:r>
                          <w:t>32 383,0</w:t>
                        </w:r>
                      </w:p>
                    </w:tc>
                    <w:tc>
                      <w:tcPr>
                        <w:tcW w:w="1318" w:type="dxa"/>
                        <w:shd w:val="clear" w:color="auto" w:fill="auto"/>
                      </w:tcPr>
                      <w:p w14:paraId="12DF2142" w14:textId="127727DA">
                        <w:pPr>
                          <w:jc w:val="center"/>
                        </w:pPr>
                        <w:r>
                          <w:t>9 699,0</w:t>
                        </w:r>
                      </w:p>
                    </w:tc>
                    <w:tc>
                      <w:tcPr>
                        <w:tcW w:w="1324" w:type="dxa"/>
                        <w:shd w:val="clear" w:color="auto" w:fill="auto"/>
                      </w:tcPr>
                      <w:p w14:paraId="150B8DA3" w14:textId="00A980C8">
                        <w:pPr>
                          <w:jc w:val="center"/>
                        </w:pPr>
                        <w:r>
                          <w:t>9 699,0</w:t>
                        </w:r>
                      </w:p>
                    </w:tc>
                  </w:tr>
                  <w:tr w14:paraId="2FEF3171" w14:textId="77777777">
                    <w:tc>
                      <w:tcPr>
                        <w:tcW w:w="3012" w:type="dxa"/>
                        <w:shd w:val="clear" w:color="auto" w:fill="auto"/>
                      </w:tcPr>
                      <w:p w14:paraId="3C0A1BE7" w14:textId="77777777">
                        <w:pPr>
                          <w:jc w:val="both"/>
                        </w:pPr>
                        <w:r>
                          <w:t>Paskola</w:t>
                        </w:r>
                      </w:p>
                    </w:tc>
                    <w:tc>
                      <w:tcPr>
                        <w:tcW w:w="1416" w:type="dxa"/>
                        <w:shd w:val="clear" w:color="auto" w:fill="auto"/>
                      </w:tcPr>
                      <w:p w14:paraId="6ADD3F90" w14:textId="58339EE3">
                        <w:pPr>
                          <w:jc w:val="center"/>
                        </w:pPr>
                        <w:r>
                          <w:t>4 626,5</w:t>
                        </w:r>
                      </w:p>
                    </w:tc>
                    <w:tc>
                      <w:tcPr>
                        <w:tcW w:w="1404" w:type="dxa"/>
                      </w:tcPr>
                      <w:p w14:paraId="188B90B0" w14:textId="4FB21AC3">
                        <w:pPr>
                          <w:jc w:val="center"/>
                        </w:pPr>
                        <w:r>
                          <w:t>11 700,6</w:t>
                        </w:r>
                      </w:p>
                    </w:tc>
                    <w:tc>
                      <w:tcPr>
                        <w:tcW w:w="1380" w:type="dxa"/>
                        <w:shd w:val="clear" w:color="auto" w:fill="auto"/>
                      </w:tcPr>
                      <w:p w14:paraId="44DC5E90" w14:textId="485EE89D">
                        <w:pPr>
                          <w:jc w:val="center"/>
                          <w:rPr>
                            <w:color w:val="FF0000"/>
                          </w:rPr>
                        </w:pPr>
                        <w:r>
                          <w:t>11 037,1</w:t>
                        </w:r>
                      </w:p>
                    </w:tc>
                    <w:tc>
                      <w:tcPr>
                        <w:tcW w:w="1318" w:type="dxa"/>
                        <w:shd w:val="clear" w:color="auto" w:fill="auto"/>
                      </w:tcPr>
                      <w:p w14:paraId="55249FD7" w14:textId="1610A4A8">
                        <w:pPr>
                          <w:jc w:val="center"/>
                        </w:pPr>
                        <w:r>
                          <w:t>6 410,6</w:t>
                        </w:r>
                      </w:p>
                    </w:tc>
                    <w:tc>
                      <w:tcPr>
                        <w:tcW w:w="1324" w:type="dxa"/>
                        <w:shd w:val="clear" w:color="auto" w:fill="auto"/>
                      </w:tcPr>
                      <w:p w14:paraId="7914D9A9" w14:textId="4AC3F71C">
                        <w:pPr>
                          <w:jc w:val="center"/>
                        </w:pPr>
                        <w:r>
                          <w:t>-663,5</w:t>
                        </w:r>
                      </w:p>
                    </w:tc>
                  </w:tr>
                  <w:tr w14:paraId="329E2452" w14:textId="77777777">
                    <w:trPr>
                      <w:trHeight w:val="301"/>
                    </w:trPr>
                    <w:tc>
                      <w:tcPr>
                        <w:tcW w:w="3012" w:type="dxa"/>
                        <w:shd w:val="clear" w:color="auto" w:fill="auto"/>
                      </w:tcPr>
                      <w:p w14:paraId="06487812" w14:textId="4ABD36B0">
                        <w:pPr>
                          <w:jc w:val="both"/>
                          <w:rPr>
                            <w:b/>
                          </w:rPr>
                        </w:pPr>
                        <w:r>
                          <w:rPr>
                            <w:b/>
                          </w:rPr>
                          <w:t xml:space="preserve">Iš viso finansinių šaltinių </w:t>
                        </w:r>
                      </w:p>
                    </w:tc>
                    <w:tc>
                      <w:tcPr>
                        <w:tcW w:w="1416" w:type="dxa"/>
                        <w:shd w:val="clear" w:color="auto" w:fill="auto"/>
                      </w:tcPr>
                      <w:p w14:paraId="253310F9" w14:textId="1B08ED7B">
                        <w:pPr>
                          <w:jc w:val="center"/>
                          <w:rPr>
                            <w:b/>
                          </w:rPr>
                        </w:pPr>
                        <w:r>
                          <w:rPr>
                            <w:b/>
                          </w:rPr>
                          <w:t>223 152,4</w:t>
                        </w:r>
                      </w:p>
                    </w:tc>
                    <w:tc>
                      <w:tcPr>
                        <w:tcW w:w="1404" w:type="dxa"/>
                      </w:tcPr>
                      <w:p w14:paraId="07B660A3" w14:textId="40A4E9D2">
                        <w:pPr>
                          <w:jc w:val="center"/>
                          <w:rPr>
                            <w:b/>
                          </w:rPr>
                        </w:pPr>
                        <w:r>
                          <w:rPr>
                            <w:b/>
                          </w:rPr>
                          <w:t>256 774,4</w:t>
                        </w:r>
                      </w:p>
                    </w:tc>
                    <w:tc>
                      <w:tcPr>
                        <w:tcW w:w="1380" w:type="dxa"/>
                        <w:shd w:val="clear" w:color="auto" w:fill="auto"/>
                      </w:tcPr>
                      <w:p w14:paraId="331EF068" w14:textId="152CAC05">
                        <w:pPr>
                          <w:jc w:val="center"/>
                          <w:rPr>
                            <w:b/>
                            <w:lang w:val="en-US"/>
                          </w:rPr>
                        </w:pPr>
                        <w:r>
                          <w:rPr>
                            <w:b/>
                          </w:rPr>
                          <w:t>272 118,5</w:t>
                        </w:r>
                      </w:p>
                    </w:tc>
                    <w:tc>
                      <w:tcPr>
                        <w:tcW w:w="1318" w:type="dxa"/>
                        <w:shd w:val="clear" w:color="auto" w:fill="auto"/>
                      </w:tcPr>
                      <w:p w14:paraId="44F9985A" w14:textId="1AEE1180">
                        <w:pPr>
                          <w:jc w:val="center"/>
                          <w:rPr>
                            <w:b/>
                          </w:rPr>
                        </w:pPr>
                        <w:r>
                          <w:rPr>
                            <w:b/>
                          </w:rPr>
                          <w:t>48 966,1</w:t>
                        </w:r>
                      </w:p>
                    </w:tc>
                    <w:tc>
                      <w:tcPr>
                        <w:tcW w:w="1324" w:type="dxa"/>
                        <w:shd w:val="clear" w:color="auto" w:fill="auto"/>
                      </w:tcPr>
                      <w:p w14:paraId="365694FB" w14:textId="261ACAF8">
                        <w:pPr>
                          <w:jc w:val="center"/>
                          <w:rPr>
                            <w:b/>
                          </w:rPr>
                        </w:pPr>
                        <w:r>
                          <w:rPr>
                            <w:b/>
                          </w:rPr>
                          <w:t>15 344,1</w:t>
                        </w:r>
                      </w:p>
                    </w:tc>
                  </w:tr>
                </w:tbl>
                <w:p w14:paraId="77E42E09" w14:textId="77777777">
                  <w:pPr>
                    <w:suppressAutoHyphens/>
                    <w:ind w:firstLine="600"/>
                    <w:jc w:val="both"/>
                    <w:textAlignment w:val="baseline"/>
                    <w:rPr>
                      <w:rFonts w:eastAsia="Calibri"/>
                      <w:color w:val="000000"/>
                      <w:sz w:val="16"/>
                      <w:szCs w:val="16"/>
                      <w:lang w:eastAsia="lt-LT"/>
                    </w:rPr>
                  </w:pPr>
                </w:p>
                <w:p w14:paraId="07C6FDB8" w14:textId="717092B1">
                  <w:pPr>
                    <w:ind w:firstLine="600"/>
                    <w:jc w:val="both"/>
                    <w:rPr>
                      <w:szCs w:val="24"/>
                      <w:lang w:eastAsia="ar-SA"/>
                    </w:rPr>
                  </w:pPr>
                  <w:r>
                    <w:t xml:space="preserve">Savivaldybių biudžetams pagrindinį pajamų rodiklį, t. y. pajamas iš gyventojų pajamų mokesčio, planuoja Lietuvos Respublikos finansų ministerija, ir jis yra tvirtinamas Lietuvos Respublikos 2024 metų valstybės biudžeto ir savivaldybių biudžetų finansinių rodiklių įstatymu. Šio įstatymo 5 priede numatytas Šiaulių miesto savivaldybės biudžeto finansinis rodiklis – prognozuojamos pajamos iš gyventojų pajamų mokesčio </w:t>
                  </w:r>
                  <w:r>
                    <w:rPr>
                      <w:szCs w:val="24"/>
                      <w:lang w:eastAsia="lt-LT"/>
                    </w:rPr>
                    <w:t>–</w:t>
                  </w:r>
                  <w:r>
                    <w:t xml:space="preserve"> 103 604,0  tūkst. Eur, tai yra 14 813,0 tūkst. Eur arba 16,1 proc. daugiau negu buvo skirta Lietuvos Respublikos 2023 metų valstybės biudžeto ir savivaldybių biudžetų finansinių rodiklių įstatyme</w:t>
                  </w:r>
                  <w:r>
                    <w:rPr>
                      <w:bCs/>
                    </w:rPr>
                    <w:t>.</w:t>
                  </w:r>
                </w:p>
                <w:p w14:paraId="4D30C544" w14:textId="468E7EA1">
                  <w:pPr>
                    <w:tabs>
                      <w:tab w:val="left" w:pos="851"/>
                    </w:tabs>
                    <w:ind w:firstLine="851"/>
                    <w:jc w:val="both"/>
                  </w:pPr>
                  <w:r>
                    <w:t xml:space="preserve">Planuojama surinkti šiuos </w:t>
                  </w:r>
                  <w:r>
                    <w:rPr>
                      <w:b/>
                      <w:bCs/>
                    </w:rPr>
                    <w:t xml:space="preserve">turto mokesčius: </w:t>
                  </w:r>
                  <w:r>
                    <w:t xml:space="preserve">žemės mokesčio – 380,0 tūkst. Eur, t. y. 5,0 tūkst. Eur daugiau nei 2023 metų, nekilnojamojo turto mokesčio – 3 900,0 tūkst. Eur, t. y. 300,0 tūkst. Eur daugiau negu 2023 metų, paveldimo turto mokesčio – 100,0 tūkst. Eur, t. y. 20,0 tūkst. Eur daugiau negu 2023 metų </w:t>
                  </w:r>
                  <w:r>
                    <w:rPr>
                      <w:bCs/>
                    </w:rPr>
                    <w:t>Iš</w:t>
                  </w:r>
                  <w:r>
                    <w:t xml:space="preserve"> mokesčių už aplinkos teršimą planuojama surinkti 250,0 tūkst. Eur, t. y. 50,0 tūkst. Eur daugiau negu 2023 metų planas. </w:t>
                  </w:r>
                </w:p>
                <w:p w14:paraId="3CC8A4D7" w14:textId="30C24034">
                  <w:pPr>
                    <w:suppressAutoHyphens/>
                    <w:ind w:right="-1" w:firstLine="567"/>
                    <w:jc w:val="both"/>
                    <w:rPr>
                      <w:bCs/>
                      <w:lang w:eastAsia="ar-SA"/>
                    </w:rPr>
                  </w:pPr>
                  <w:r>
                    <w:rPr>
                      <w:b/>
                      <w:bCs/>
                      <w:lang w:eastAsia="ar-SA"/>
                    </w:rPr>
                    <w:t>Valstybės biudžeto dotacijos</w:t>
                  </w:r>
                  <w:r>
                    <w:rPr>
                      <w:bCs/>
                      <w:lang w:eastAsia="ar-SA"/>
                    </w:rPr>
                    <w:t xml:space="preserve"> numatytos vadovaujantis valstybės institucijų ir įstaigų priimtais teisės aktais. Valstybės biudžeto specialių tikslinių dotacijų prognozuojama gauti 103 450,9</w:t>
                  </w:r>
                  <w:r>
                    <w:rPr>
                      <w:bCs/>
                      <w:color w:val="ED0000"/>
                      <w:lang w:eastAsia="ar-SA"/>
                    </w:rPr>
                    <w:t xml:space="preserve"> </w:t>
                  </w:r>
                  <w:r>
                    <w:rPr>
                      <w:bCs/>
                      <w:lang w:eastAsia="ar-SA"/>
                    </w:rPr>
                    <w:t xml:space="preserve">tūkst. Eur, t. y. 16 946,1 tūkst. Eur daugiau </w:t>
                  </w:r>
                  <w:r>
                    <w:rPr>
                      <w:rFonts w:cs="Calibri"/>
                      <w:color w:val="000000"/>
                      <w:lang w:eastAsia="ar-SA"/>
                    </w:rPr>
                    <w:t xml:space="preserve">negu buvo patvirtinta 2023 metų pirminiame biudžete ir </w:t>
                  </w:r>
                  <w:r>
                    <w:rPr>
                      <w:rFonts w:cs="Calibri"/>
                      <w:lang w:eastAsia="ar-SA"/>
                    </w:rPr>
                    <w:t>4 750,2</w:t>
                  </w:r>
                  <w:r>
                    <w:rPr>
                      <w:rFonts w:cs="Calibri"/>
                      <w:color w:val="FF0000"/>
                      <w:lang w:eastAsia="ar-SA"/>
                    </w:rPr>
                    <w:t xml:space="preserve"> </w:t>
                  </w:r>
                  <w:r>
                    <w:rPr>
                      <w:rFonts w:cs="Calibri"/>
                      <w:lang w:eastAsia="ar-SA"/>
                    </w:rPr>
                    <w:t>tūkst. Eur mažiau, nei buvo 2023 metų patikslintame biudžete</w:t>
                  </w:r>
                  <w:r>
                    <w:rPr>
                      <w:bCs/>
                      <w:lang w:eastAsia="ar-SA"/>
                    </w:rPr>
                    <w:t xml:space="preserve">, iš jų: </w:t>
                  </w:r>
                </w:p>
                <w:p w14:paraId="78689D2D" w14:textId="705D15B8">
                  <w:pPr>
                    <w:suppressAutoHyphens/>
                    <w:ind w:right="-1" w:firstLine="567"/>
                    <w:jc w:val="both"/>
                    <w:rPr>
                      <w:bCs/>
                      <w:szCs w:val="24"/>
                      <w:lang w:eastAsia="ar-SA"/>
                    </w:rPr>
                  </w:pPr>
                  <w:r>
                    <w:rPr>
                      <w:bCs/>
                      <w:szCs w:val="24"/>
                      <w:lang w:eastAsia="ar-SA"/>
                    </w:rPr>
                    <w:t>– valstybinėms (valstybės perduotos savivaldybėms) funkcijoms vykdyti – 9 872,9</w:t>
                  </w:r>
                  <w:r>
                    <w:rPr>
                      <w:bCs/>
                      <w:color w:val="ED0000"/>
                      <w:szCs w:val="24"/>
                      <w:lang w:eastAsia="ar-SA"/>
                    </w:rPr>
                    <w:t xml:space="preserve"> </w:t>
                  </w:r>
                  <w:r>
                    <w:rPr>
                      <w:bCs/>
                      <w:lang w:eastAsia="ar-SA"/>
                    </w:rPr>
                    <w:t>tūkst. Eur,</w:t>
                  </w:r>
                  <w:r>
                    <w:rPr>
                      <w:bCs/>
                      <w:szCs w:val="24"/>
                      <w:lang w:eastAsia="ar-SA"/>
                    </w:rPr>
                    <w:t xml:space="preserve"> </w:t>
                  </w:r>
                  <w:r>
                    <w:rPr>
                      <w:bCs/>
                      <w:lang w:eastAsia="ar-SA"/>
                    </w:rPr>
                    <w:t xml:space="preserve">t. y. 45,4 proc. arba 3 081,6 tūkst. Eur daugiau negu 2023 metų </w:t>
                  </w:r>
                  <w:r>
                    <w:rPr>
                      <w:lang w:eastAsia="ar-SA"/>
                    </w:rPr>
                    <w:t>patvirtintame plane</w:t>
                  </w:r>
                  <w:r>
                    <w:rPr>
                      <w:bCs/>
                      <w:szCs w:val="24"/>
                      <w:lang w:eastAsia="ar-SA"/>
                    </w:rPr>
                    <w:t xml:space="preserve">; </w:t>
                  </w:r>
                </w:p>
                <w:p w14:paraId="6062B5B7" w14:textId="378B5DB1">
                  <w:pPr>
                    <w:suppressAutoHyphens/>
                    <w:ind w:firstLine="567"/>
                    <w:jc w:val="both"/>
                    <w:rPr>
                      <w:bCs/>
                      <w:lang w:eastAsia="ar-SA"/>
                    </w:rPr>
                  </w:pPr>
                  <w:r>
                    <w:rPr>
                      <w:bCs/>
                      <w:szCs w:val="24"/>
                      <w:lang w:eastAsia="ar-SA"/>
                    </w:rPr>
                    <w:t xml:space="preserve">– ugdymo reikmėms finansuoti – 60 139,9 </w:t>
                  </w:r>
                  <w:r>
                    <w:rPr>
                      <w:bCs/>
                      <w:lang w:eastAsia="ar-SA"/>
                    </w:rPr>
                    <w:t>tūkst. Eur, t. y. 20,5 proc. arba 10 230,4 tūkst. Eur daugiau negu 2023 metų patvirtintame plane;</w:t>
                  </w:r>
                </w:p>
                <w:p w14:paraId="45E21CC0" w14:textId="15493BF7">
                  <w:pPr>
                    <w:suppressAutoHyphens/>
                    <w:ind w:firstLine="567"/>
                    <w:jc w:val="both"/>
                    <w:rPr>
                      <w:bCs/>
                      <w:lang w:eastAsia="ar-SA"/>
                    </w:rPr>
                  </w:pPr>
                  <w:r>
                    <w:rPr>
                      <w:bCs/>
                      <w:szCs w:val="24"/>
                      <w:lang w:eastAsia="ar-SA"/>
                    </w:rPr>
                    <w:t xml:space="preserve">– savivaldybės mokykloms (klasėms arba grupėms), skirtoms šalies (regiono) mokiniams, turintiems specialiųjų ugdymosi poreikių, ir kitoms savivaldybei perduotoms įstaigoms išlaikyti – 6 486,9 </w:t>
                  </w:r>
                  <w:r>
                    <w:rPr>
                      <w:bCs/>
                      <w:lang w:eastAsia="ar-SA"/>
                    </w:rPr>
                    <w:t>tūkst. Eur</w:t>
                  </w:r>
                  <w:r>
                    <w:rPr>
                      <w:bCs/>
                      <w:szCs w:val="24"/>
                      <w:lang w:eastAsia="ar-SA"/>
                    </w:rPr>
                    <w:t xml:space="preserve">, </w:t>
                  </w:r>
                  <w:r>
                    <w:rPr>
                      <w:bCs/>
                      <w:lang w:eastAsia="ar-SA"/>
                    </w:rPr>
                    <w:t>t. y. 0,1 proc. arba 8,1 tūkst. Eur mažiau negu 2023 metų patvirtintame plane;</w:t>
                  </w:r>
                </w:p>
                <w:p w14:paraId="0E75C17A" w14:textId="574A1038">
                  <w:pPr>
                    <w:suppressAutoHyphens/>
                    <w:ind w:firstLine="567"/>
                    <w:jc w:val="both"/>
                    <w:rPr>
                      <w:bCs/>
                      <w:szCs w:val="24"/>
                      <w:lang w:eastAsia="ar-SA"/>
                    </w:rPr>
                  </w:pPr>
                  <w:r>
                    <w:rPr>
                      <w:bCs/>
                      <w:szCs w:val="24"/>
                      <w:lang w:eastAsia="ar-SA"/>
                    </w:rPr>
                    <w:t xml:space="preserve">– </w:t>
                  </w:r>
                  <w:r>
                    <w:rPr>
                      <w:bCs/>
                      <w:lang w:eastAsia="ar-SA"/>
                    </w:rPr>
                    <w:t xml:space="preserve">kitos tikslinės dotacijos </w:t>
                  </w:r>
                  <w:r>
                    <w:rPr>
                      <w:bCs/>
                      <w:szCs w:val="24"/>
                      <w:lang w:eastAsia="ar-SA"/>
                    </w:rPr>
                    <w:t xml:space="preserve">– 14 216,2 </w:t>
                  </w:r>
                  <w:r>
                    <w:rPr>
                      <w:bCs/>
                      <w:lang w:eastAsia="ar-SA"/>
                    </w:rPr>
                    <w:t>tūkst. Eur</w:t>
                  </w:r>
                  <w:r>
                    <w:rPr>
                      <w:bCs/>
                      <w:szCs w:val="24"/>
                      <w:lang w:eastAsia="ar-SA"/>
                    </w:rPr>
                    <w:t>, t. y. 15,4 proc.</w:t>
                  </w:r>
                  <w:r>
                    <w:rPr>
                      <w:bCs/>
                      <w:lang w:eastAsia="ar-SA"/>
                    </w:rPr>
                    <w:t xml:space="preserve"> arba 1 896,0 tūkst. Eur daugiau negu 2023 metų. patvirtintame plane. </w:t>
                  </w:r>
                </w:p>
                <w:p w14:paraId="12F4B832" w14:textId="371D1795">
                  <w:pPr>
                    <w:suppressAutoHyphens/>
                    <w:ind w:firstLine="567"/>
                    <w:jc w:val="both"/>
                    <w:rPr>
                      <w:bCs/>
                      <w:szCs w:val="24"/>
                      <w:lang w:eastAsia="ar-SA"/>
                    </w:rPr>
                  </w:pPr>
                  <w:r>
                    <w:rPr>
                      <w:bCs/>
                      <w:szCs w:val="24"/>
                      <w:lang w:eastAsia="ar-SA"/>
                    </w:rPr>
                    <w:t>– Europos Sąjungos finansinės paramos lėšos (projektams) – 12 735,0</w:t>
                  </w:r>
                  <w:r>
                    <w:rPr>
                      <w:bCs/>
                      <w:color w:val="ED0000"/>
                      <w:szCs w:val="24"/>
                      <w:lang w:eastAsia="ar-SA"/>
                    </w:rPr>
                    <w:t xml:space="preserve"> </w:t>
                  </w:r>
                  <w:r>
                    <w:rPr>
                      <w:bCs/>
                      <w:szCs w:val="24"/>
                      <w:lang w:eastAsia="ar-SA"/>
                    </w:rPr>
                    <w:t>tūkst. Eur, t. y. 15,9 proc. arba 1 746,2 tūkst. Eur daugiau negu 2023 metų patvirtintame plane.</w:t>
                  </w:r>
                </w:p>
                <w:p w14:paraId="59270A31" w14:textId="305C4941">
                  <w:pPr>
                    <w:suppressAutoHyphens/>
                    <w:ind w:firstLine="600"/>
                    <w:jc w:val="both"/>
                    <w:textAlignment w:val="baseline"/>
                    <w:rPr>
                      <w:szCs w:val="24"/>
                      <w:lang w:eastAsia="ar-SA"/>
                    </w:rPr>
                  </w:pPr>
                  <w:r>
                    <w:rPr>
                      <w:b/>
                      <w:szCs w:val="24"/>
                      <w:lang w:eastAsia="ar-SA"/>
                    </w:rPr>
                    <w:t>Kitos pajamos</w:t>
                  </w:r>
                  <w:r>
                    <w:rPr>
                      <w:szCs w:val="24"/>
                      <w:lang w:eastAsia="ar-SA"/>
                    </w:rPr>
                    <w:t xml:space="preserve"> Savivaldybės 2024 metų biudžete sudarys 15 703,5</w:t>
                  </w:r>
                  <w:r>
                    <w:rPr>
                      <w:color w:val="000000"/>
                      <w:szCs w:val="24"/>
                      <w:lang w:eastAsia="ar-SA"/>
                    </w:rPr>
                    <w:t xml:space="preserve"> </w:t>
                  </w:r>
                  <w:r>
                    <w:rPr>
                      <w:szCs w:val="24"/>
                      <w:lang w:eastAsia="ar-SA"/>
                    </w:rPr>
                    <w:t>tūkst. Eur, t. y. 6,2 proc. arba 912,4 tūkst. Eur daugiau negu patvirtinta 2023 metų plane, iš jų:</w:t>
                  </w:r>
                </w:p>
                <w:p w14:paraId="49BEE22D" w14:textId="0D1C7A17">
                  <w:pPr>
                    <w:suppressAutoHyphens/>
                    <w:ind w:firstLine="540"/>
                    <w:jc w:val="both"/>
                    <w:textAlignment w:val="baseline"/>
                    <w:rPr>
                      <w:sz w:val="20"/>
                      <w:lang w:eastAsia="ar-SA"/>
                    </w:rPr>
                  </w:pPr>
                  <w:r>
                    <w:rPr>
                      <w:lang w:eastAsia="ar-SA"/>
                    </w:rPr>
                    <w:t>- dividendų planuojama gauti 511,0 tūkst.</w:t>
                  </w:r>
                  <w:r>
                    <w:rPr>
                      <w:szCs w:val="24"/>
                      <w:lang w:eastAsia="ar-SA"/>
                    </w:rPr>
                    <w:t xml:space="preserve"> Eur, t. y. 25,7 proc. arba </w:t>
                  </w:r>
                  <w:r>
                    <w:t xml:space="preserve">104,5 tūkst. Eur daugiau negu 2023 metų patvirtintame plane. </w:t>
                  </w:r>
                  <w:r>
                    <w:rPr>
                      <w:szCs w:val="24"/>
                      <w:lang w:eastAsia="lt-LT"/>
                    </w:rPr>
                    <w:t>Šių pajamų prognozė sudaryta pagal Savivaldybės administracijos skyrių pateiktus duomenis;</w:t>
                  </w:r>
                </w:p>
                <w:p w14:paraId="3AF7B329" w14:textId="770F58C4">
                  <w:pPr>
                    <w:suppressAutoHyphens/>
                    <w:ind w:firstLine="600"/>
                    <w:jc w:val="both"/>
                    <w:textAlignment w:val="baseline"/>
                    <w:rPr>
                      <w:lang w:eastAsia="ar-SA"/>
                    </w:rPr>
                  </w:pPr>
                  <w:r>
                    <w:rPr>
                      <w:lang w:eastAsia="ar-SA"/>
                    </w:rPr>
                    <w:t xml:space="preserve">- nuomos mokesčio už valstybinę žemę planuojama gauti 770,0 </w:t>
                  </w:r>
                  <w:r>
                    <w:rPr>
                      <w:szCs w:val="24"/>
                      <w:lang w:eastAsia="ar-SA"/>
                    </w:rPr>
                    <w:t xml:space="preserve">tūkst. Eur, t. y. 70,0 tūkst. Eur mažiau negu  </w:t>
                  </w:r>
                  <w:r>
                    <w:t>2023 metų patvirtintame plane</w:t>
                  </w:r>
                  <w:r>
                    <w:rPr>
                      <w:szCs w:val="24"/>
                      <w:lang w:eastAsia="ar-SA"/>
                    </w:rPr>
                    <w:t xml:space="preserve">; </w:t>
                  </w:r>
                </w:p>
                <w:p w14:paraId="4BA10B6D" w14:textId="189F1F64">
                  <w:pPr>
                    <w:suppressAutoHyphens/>
                    <w:ind w:firstLine="540"/>
                    <w:jc w:val="both"/>
                    <w:textAlignment w:val="baseline"/>
                    <w:rPr>
                      <w:sz w:val="20"/>
                      <w:lang w:eastAsia="ar-SA"/>
                    </w:rPr>
                  </w:pPr>
                  <w:r>
                    <w:rPr>
                      <w:lang w:eastAsia="ar-SA"/>
                    </w:rPr>
                    <w:t xml:space="preserve">- pajamų už patalpų nuomą, įskaitant biudžetines įstaigas, planuojama gauti 604,6 </w:t>
                  </w:r>
                  <w:r>
                    <w:rPr>
                      <w:szCs w:val="24"/>
                      <w:lang w:eastAsia="ar-SA"/>
                    </w:rPr>
                    <w:t>tūkst. Eur</w:t>
                  </w:r>
                  <w:r>
                    <w:rPr>
                      <w:lang w:eastAsia="ar-SA"/>
                    </w:rPr>
                    <w:t xml:space="preserve">, t. y. 2,4 proc. arba 14,1 </w:t>
                  </w:r>
                  <w:r>
                    <w:rPr>
                      <w:szCs w:val="24"/>
                      <w:lang w:eastAsia="ar-SA"/>
                    </w:rPr>
                    <w:t>tūkst. Eur</w:t>
                  </w:r>
                  <w:r>
                    <w:rPr>
                      <w:lang w:eastAsia="ar-SA"/>
                    </w:rPr>
                    <w:t xml:space="preserve"> daugiau negu 2023 metų patvirtintame plane. </w:t>
                  </w:r>
                  <w:r>
                    <w:rPr>
                      <w:szCs w:val="24"/>
                      <w:lang w:eastAsia="lt-LT"/>
                    </w:rPr>
                    <w:t>Šių pajamų prognozė sudaryta pagal Savivaldybės administracijos skyrių pateiktus duomenis;</w:t>
                  </w:r>
                </w:p>
                <w:p w14:paraId="7C404523" w14:textId="734E673F">
                  <w:pPr>
                    <w:suppressAutoHyphens/>
                    <w:ind w:firstLine="600"/>
                    <w:jc w:val="both"/>
                    <w:textAlignment w:val="baseline"/>
                    <w:rPr>
                      <w:szCs w:val="24"/>
                      <w:lang w:eastAsia="ar-SA"/>
                    </w:rPr>
                  </w:pPr>
                  <w:r>
                    <w:rPr>
                      <w:szCs w:val="24"/>
                      <w:lang w:eastAsia="ar-SA"/>
                    </w:rPr>
                    <w:t>- biudžetinės įstaigos planuoja gauti pajamų, įskaitant įmokas už išlaikymą švietimo, socialinės apsaugos ir kitose įstaigose 6 586,9 tūkst. Eur, t. y. 9,4 proc. arba 568,3 tūkst. Eur daugiau negu 2023 metų patvirtintame plane;</w:t>
                  </w:r>
                </w:p>
                <w:p w14:paraId="48A9492C" w14:textId="6A7E4C68">
                  <w:pPr>
                    <w:tabs>
                      <w:tab w:val="left" w:pos="851"/>
                    </w:tabs>
                    <w:ind w:firstLine="567"/>
                    <w:jc w:val="both"/>
                  </w:pPr>
                  <w:r>
                    <w:t xml:space="preserve">- valstybės rinkliavų planuojama surinkti 76,0 tūkst. Eur </w:t>
                  </w:r>
                  <w:r>
                    <w:rPr>
                      <w:szCs w:val="24"/>
                      <w:lang w:eastAsia="ar-SA"/>
                    </w:rPr>
                    <w:t xml:space="preserve">tūkst., t. y. 23,4 proc. arba 14,4 tūkst. Eur daugiau negu </w:t>
                  </w:r>
                  <w:r>
                    <w:rPr>
                      <w:lang w:eastAsia="ar-SA"/>
                    </w:rPr>
                    <w:t>2023 metų patvirtintame plane</w:t>
                  </w:r>
                  <w:r>
                    <w:rPr>
                      <w:szCs w:val="24"/>
                      <w:lang w:eastAsia="ar-SA"/>
                    </w:rPr>
                    <w:t xml:space="preserve">. </w:t>
                  </w:r>
                  <w:r>
                    <w:t>Valstybės rinkliavos planuojamos pagal Savivaldybės administracijos skyrių pateiktus duomenis apie planuojamas suteikti paslaugas;</w:t>
                  </w:r>
                </w:p>
                <w:p w14:paraId="216907C2" w14:textId="72B56F61">
                  <w:pPr>
                    <w:tabs>
                      <w:tab w:val="left" w:pos="851"/>
                    </w:tabs>
                    <w:ind w:firstLine="567"/>
                    <w:jc w:val="both"/>
                  </w:pPr>
                  <w:r>
                    <w:t xml:space="preserve">- vietinių rinkliavų planuojama surinkti </w:t>
                  </w:r>
                  <w:r>
                    <w:rPr>
                      <w:color w:val="000000"/>
                    </w:rPr>
                    <w:t>6 010,0</w:t>
                  </w:r>
                  <w:r>
                    <w:t xml:space="preserve"> tūkst. Eur, t. y. 2,3 proc. arba 136,1 tūkst. Eur daugiau negu 2023 metų patvirtintas planas. Planas sudarytas pagal Savivaldybės administracijos skyrių pateiktus duomenis;</w:t>
                  </w:r>
                </w:p>
                <w:p w14:paraId="555B7118" w14:textId="5D586AB3">
                  <w:pPr>
                    <w:tabs>
                      <w:tab w:val="left" w:pos="851"/>
                    </w:tabs>
                    <w:ind w:firstLine="567"/>
                    <w:jc w:val="both"/>
                  </w:pPr>
                  <w:r>
                    <w:rPr>
                      <w:lang w:eastAsia="ar-SA"/>
                    </w:rPr>
                    <w:t xml:space="preserve">- pajamų iš baudų ir konfiskacijos planuojama 400,0 </w:t>
                  </w:r>
                  <w:r>
                    <w:rPr>
                      <w:szCs w:val="24"/>
                      <w:lang w:eastAsia="ar-SA"/>
                    </w:rPr>
                    <w:t xml:space="preserve">tūkst. Eur, t. y. 33,3 proc. arba 100,0 tūkst. Eur daugiau negu 2023 metų </w:t>
                  </w:r>
                  <w:r>
                    <w:t>patvirtintas planas. Planas sudarytas pagal Savivaldybės administracijos skyrių pateiktus duomenis.</w:t>
                  </w:r>
                </w:p>
                <w:p w14:paraId="300E9AD5" w14:textId="14A498C0">
                  <w:pPr>
                    <w:suppressAutoHyphens/>
                    <w:ind w:firstLine="600"/>
                    <w:jc w:val="both"/>
                    <w:textAlignment w:val="baseline"/>
                    <w:rPr>
                      <w:sz w:val="20"/>
                      <w:lang w:eastAsia="ar-SA"/>
                    </w:rPr>
                  </w:pPr>
                  <w:r>
                    <w:rPr>
                      <w:lang w:eastAsia="ar-SA"/>
                    </w:rPr>
                    <w:t xml:space="preserve">- mokesčio už valstybinius gamtos išteklius planuojama gauti 100,0 </w:t>
                  </w:r>
                  <w:r>
                    <w:rPr>
                      <w:szCs w:val="24"/>
                      <w:lang w:eastAsia="ar-SA"/>
                    </w:rPr>
                    <w:t>tūkst. Eur</w:t>
                  </w:r>
                  <w:r>
                    <w:rPr>
                      <w:lang w:eastAsia="ar-SA"/>
                    </w:rPr>
                    <w:t xml:space="preserve">, t. y. 2023 metų lygis; </w:t>
                  </w:r>
                </w:p>
                <w:p w14:paraId="74DB8FE0" w14:textId="1B1B7B82">
                  <w:pPr>
                    <w:suppressAutoHyphens/>
                    <w:ind w:firstLine="600"/>
                    <w:jc w:val="both"/>
                    <w:textAlignment w:val="baseline"/>
                    <w:rPr>
                      <w:lang w:eastAsia="ar-SA"/>
                    </w:rPr>
                  </w:pPr>
                  <w:r>
                    <w:rPr>
                      <w:lang w:eastAsia="ar-SA"/>
                    </w:rPr>
                    <w:t xml:space="preserve">- kitų neišvardytų pajamų planuojama gauti 645,0 </w:t>
                  </w:r>
                  <w:r>
                    <w:rPr>
                      <w:szCs w:val="24"/>
                      <w:lang w:eastAsia="ar-SA"/>
                    </w:rPr>
                    <w:t>tūkst. Eur</w:t>
                  </w:r>
                  <w:r>
                    <w:rPr>
                      <w:lang w:eastAsia="ar-SA"/>
                    </w:rPr>
                    <w:t xml:space="preserve">, t. y. beveik 23,6 proc. arba 45,0 tūkst. Eur daugiau negu 2023 metų patvirtintas planas. </w:t>
                  </w:r>
                </w:p>
                <w:p w14:paraId="0832D75B" w14:textId="2AA00D0D">
                  <w:pPr>
                    <w:suppressAutoHyphens/>
                    <w:ind w:firstLine="600"/>
                    <w:jc w:val="both"/>
                    <w:textAlignment w:val="baseline"/>
                  </w:pPr>
                  <w:r>
                    <w:rPr>
                      <w:b/>
                      <w:lang w:eastAsia="ar-SA"/>
                    </w:rPr>
                    <w:t>Materialiojo ir nematerialiojo turto realizavimo pajamų</w:t>
                  </w:r>
                  <w:r>
                    <w:rPr>
                      <w:lang w:eastAsia="ar-SA"/>
                    </w:rPr>
                    <w:t xml:space="preserve"> planuojama gauti 1180,0 </w:t>
                  </w:r>
                  <w:r>
                    <w:rPr>
                      <w:szCs w:val="24"/>
                      <w:lang w:eastAsia="ar-SA"/>
                    </w:rPr>
                    <w:t xml:space="preserve">tūkst. Eur, t. y.  50,0 tūkst. Eur mažiau negu 2023 m</w:t>
                  </w:r>
                  <w:r>
                    <w:t>etų patvirtintas planas.</w:t>
                  </w:r>
                </w:p>
                <w:p w14:paraId="6669C379" w14:textId="55D074AA">
                  <w:pPr>
                    <w:tabs>
                      <w:tab w:val="left" w:pos="709"/>
                    </w:tabs>
                    <w:ind w:firstLine="709"/>
                    <w:jc w:val="both"/>
                  </w:pPr>
                  <w:r>
                    <w:rPr>
                      <w:b/>
                      <w:bCs/>
                      <w:spacing w:val="-6"/>
                    </w:rPr>
                    <w:t xml:space="preserve">Kiti finansavimo šaltiniai </w:t>
                  </w:r>
                  <w:r>
                    <w:rPr>
                      <w:spacing w:val="-6"/>
                    </w:rPr>
                    <w:t xml:space="preserve">Savivaldybės 2024 metų biudžete sudarys 43 420,1 tūkst. Eur, t. y. </w:t>
                  </w:r>
                  <w:r>
                    <w:t xml:space="preserve">16 109,6 tūkst. Eur daugiau negu 2023 metų patvirtintas planas ir 9 035,5 tūkst. Eur  daugiau negu 2023 metų patikslintas planas:</w:t>
                  </w:r>
                </w:p>
                <w:p w14:paraId="217C7B34" w14:textId="33C5AB0D">
                  <w:pPr>
                    <w:tabs>
                      <w:tab w:val="left" w:pos="851"/>
                    </w:tabs>
                    <w:ind w:firstLine="567"/>
                    <w:jc w:val="both"/>
                  </w:pPr>
                  <w:r>
                    <w:t>-</w:t>
                    <w:tab/>
                    <w:t xml:space="preserve"> 2024 metais planuojama skolintis investicijų projektams finansuoti 11 037,1 tūkst. Eur, t. y. 2,4 karto arba 6 410,6 tūkst. Eur daugiau negu 2023 metų patvirtintas planas ir 6 proc. arba 663,5 tūkst. Eur mažiau negu 2023 metų patikslintas planas.</w:t>
                  </w:r>
                </w:p>
                <w:p w14:paraId="26AE472E" w14:textId="79CFF392">
                  <w:pPr>
                    <w:suppressAutoHyphens/>
                    <w:ind w:firstLine="567"/>
                    <w:jc w:val="both"/>
                    <w:textAlignment w:val="baseline"/>
                  </w:pPr>
                  <w:r>
                    <w:t>-</w:t>
                    <w:tab/>
                    <w:t xml:space="preserve">Lėšų likutis ataskaitinio laikotarpio pabaigoje (2023-12-31) sudarė 32 383,0 tūkst. Eur, t. y. 42,7 proc. arba 9 699,0 tūkst. Eur daugiau negu 2022 metų lėšų likutis ir skiriamas 2023 m. gruodžio 31 d. buvusiems trumpalaikiams įsipareigojimams bei 2024 metų einamųjų darbų finansavimui. </w:t>
                  </w:r>
                </w:p>
              </w:sdtContent>
            </w:sdt>
            <w:sdt>
              <w:sdtPr>
                <w:alias w:val="poskyris"/>
                <w:tag w:val="part_64cd4c34d32444adbf35b77a950ec159"/>
                <w:lock w:val="sdtLocked"/>
                <w:richText/>
              </w:sdtPr>
              <w:sdtContent>
                <w:p w14:paraId="5FADE56E" w14:textId="55BEF1E8">
                  <w:pPr>
                    <w:suppressAutoHyphens/>
                    <w:ind w:firstLine="567"/>
                    <w:jc w:val="both"/>
                    <w:textAlignment w:val="baseline"/>
                    <w:rPr>
                      <w:b/>
                    </w:rPr>
                  </w:pPr>
                  <w:sdt>
                    <w:sdtPr>
                      <w:alias w:val="Pavadinimas"/>
                      <w:tag w:val="title_64cd4c34d32444adbf35b77a950ec159"/>
                      <w:lock w:val="sdtLocked"/>
                      <w:richText/>
                    </w:sdtPr>
                    <w:sdtContent>
                      <w:r>
                        <w:rPr>
                          <w:b/>
                        </w:rPr>
                        <w:t>Šiaulių miesto savivaldybės 2024 metų biudžeto asignavimai</w:t>
                      </w:r>
                    </w:sdtContent>
                  </w:sdt>
                </w:p>
                <w:p w14:paraId="2D47A539" w14:textId="4AFE6AD1">
                  <w:pPr>
                    <w:ind w:firstLine="600"/>
                    <w:jc w:val="both"/>
                    <w:rPr>
                      <w:lang w:eastAsia="x-none"/>
                    </w:rPr>
                  </w:pPr>
                  <w:r>
                    <w:rPr>
                      <w:szCs w:val="24"/>
                    </w:rPr>
                    <w:t xml:space="preserve">Sprendimo projekto 1.2 p. </w:t>
                  </w:r>
                  <w:r>
                    <w:t>pagal asignavimų valdytojus teikiami tvirtinimui asignavimai programoms vykdyti iš visų savivaldybės biudžeto finansavimo šaltinių - biudžeto pajamų, valstybės biudžeto dotacijų, Europos Sąjungos ir kitos tarptautinės finansinės paramos lėšų</w:t>
                  </w:r>
                  <w:r>
                    <w:rPr>
                      <w:szCs w:val="24"/>
                    </w:rPr>
                    <w:t xml:space="preserve">, skolintų lėšų ir </w:t>
                  </w:r>
                  <w:r>
                    <w:t xml:space="preserve">lėšų likučio ataskaitinio laikotarpio pabaigoje (2023-12-31). </w:t>
                  </w:r>
                  <w:r>
                    <w:rPr>
                      <w:lang w:eastAsia="x-none"/>
                    </w:rPr>
                    <w:t>Planuojant Savivaldybės 2024 metų asignavimus vadovautasi šiais kriterijais:</w:t>
                  </w:r>
                </w:p>
                <w:p w14:paraId="309A43A4" w14:textId="77777777">
                  <w:pPr>
                    <w:ind w:firstLine="567"/>
                    <w:jc w:val="both"/>
                    <w:rPr>
                      <w:lang w:eastAsia="x-none"/>
                    </w:rPr>
                  </w:pPr>
                  <w:r>
                    <w:rPr>
                      <w:lang w:eastAsia="x-none"/>
                    </w:rPr>
                    <w:t>- Valstybės biudžeto dotacijos numatytos vadovaujantis valstybės institucijų ir įstaigų priimtais teisės aktais;</w:t>
                  </w:r>
                </w:p>
                <w:p w14:paraId="2921AC71" w14:textId="57D9C480">
                  <w:pPr>
                    <w:ind w:firstLine="567"/>
                    <w:jc w:val="both"/>
                    <w:rPr>
                      <w:lang w:eastAsia="x-none"/>
                    </w:rPr>
                  </w:pPr>
                  <w:r>
                    <w:rPr>
                      <w:lang w:eastAsia="x-none"/>
                    </w:rPr>
                    <w:t>- Europos Sąjungos ir kitos tarptautinės finansinės paramos lėšos numatytos atsižvelgiant į 2024 metais planuojamas gauti ir panaudoti lėšas;</w:t>
                  </w:r>
                </w:p>
                <w:p w14:paraId="0BE137EE" w14:textId="77777777">
                  <w:pPr>
                    <w:ind w:firstLine="567"/>
                    <w:jc w:val="both"/>
                    <w:rPr>
                      <w:lang w:eastAsia="x-none"/>
                    </w:rPr>
                  </w:pPr>
                  <w:r>
                    <w:rPr>
                      <w:lang w:eastAsia="x-none"/>
                    </w:rPr>
                    <w:t>- paskolų grąžinimas, įsiskolinimų mokėjimas laikantis fiskalinių taisyklių;</w:t>
                  </w:r>
                </w:p>
                <w:p w14:paraId="5A2B66DF" w14:textId="77777777">
                  <w:pPr>
                    <w:ind w:firstLine="567"/>
                    <w:jc w:val="both"/>
                    <w:rPr>
                      <w:lang w:eastAsia="x-none"/>
                    </w:rPr>
                  </w:pPr>
                  <w:r>
                    <w:rPr>
                      <w:lang w:eastAsia="x-none"/>
                    </w:rPr>
                    <w:t>- bendrojo finansavimo užtikrinimas projektams, gaunantiems ES ir kitų tarptautinių fondų paramą;</w:t>
                  </w:r>
                </w:p>
                <w:p w14:paraId="4E1668CE" w14:textId="77777777">
                  <w:pPr>
                    <w:ind w:firstLine="567"/>
                    <w:jc w:val="both"/>
                    <w:rPr>
                      <w:lang w:eastAsia="x-none"/>
                    </w:rPr>
                  </w:pPr>
                  <w:r>
                    <w:rPr>
                      <w:lang w:eastAsia="x-none"/>
                    </w:rPr>
                    <w:t>- atsižvelgiant į finansines galimybes.</w:t>
                  </w:r>
                </w:p>
                <w:p w14:paraId="4CBF80F9" w14:textId="537A0FDB">
                  <w:pPr>
                    <w:ind w:firstLine="567"/>
                    <w:jc w:val="both"/>
                  </w:pPr>
                  <w:r>
                    <w:t>Šiaulių miesto savivaldybės 2024 metų biudžeto projektas suformuotas 12 mėnesių pagal Šiaulių miesto savivaldybės 2023–2025 metų strateginį veiklos planą, 2024–2026 metų strateginio veiklos plano projektą.</w:t>
                  </w:r>
                </w:p>
                <w:p w14:paraId="2FAFB767" w14:textId="4AF6902C">
                  <w:pPr>
                    <w:ind w:firstLine="567"/>
                    <w:jc w:val="both"/>
                    <w:rPr>
                      <w:szCs w:val="24"/>
                    </w:rPr>
                  </w:pPr>
                  <w:r>
                    <w:rPr>
                      <w:szCs w:val="24"/>
                    </w:rPr>
                    <w:t>Šiaulių miesto savivaldybės 2023 metų biudžeto projekto asignavimai paskirstyti 11 programų vykdyti:</w:t>
                  </w:r>
                </w:p>
                <w:p w14:paraId="66F61662" w14:textId="014D5DB1">
                  <w:pPr>
                    <w:ind w:firstLine="8565"/>
                    <w:jc w:val="both"/>
                    <w:rPr>
                      <w:sz w:val="20"/>
                    </w:rPr>
                  </w:pPr>
                  <w:r>
                    <w:rPr>
                      <w:sz w:val="20"/>
                    </w:rPr>
                    <w:t>(tūkst. Eur)</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7"/>
                    <w:gridCol w:w="1416"/>
                    <w:gridCol w:w="1404"/>
                    <w:gridCol w:w="1190"/>
                    <w:gridCol w:w="1337"/>
                    <w:gridCol w:w="1324"/>
                  </w:tblGrid>
                  <w:tr w14:paraId="7619D249" w14:textId="77777777">
                    <w:tc>
                      <w:tcPr>
                        <w:tcW w:w="3183" w:type="dxa"/>
                        <w:vMerge w:val="restart"/>
                        <w:shd w:val="clear" w:color="auto" w:fill="auto"/>
                      </w:tcPr>
                      <w:p w14:paraId="155CF545" w14:textId="77777777">
                        <w:pPr>
                          <w:jc w:val="center"/>
                          <w:rPr>
                            <w:b/>
                            <w:szCs w:val="24"/>
                          </w:rPr>
                        </w:pPr>
                      </w:p>
                      <w:p w14:paraId="2A3A27CB" w14:textId="77777777">
                        <w:pPr>
                          <w:jc w:val="center"/>
                          <w:rPr>
                            <w:b/>
                            <w:szCs w:val="24"/>
                          </w:rPr>
                        </w:pPr>
                        <w:r>
                          <w:rPr>
                            <w:b/>
                            <w:szCs w:val="24"/>
                          </w:rPr>
                          <w:t>Programos pavadinimas</w:t>
                        </w:r>
                      </w:p>
                    </w:tc>
                    <w:tc>
                      <w:tcPr>
                        <w:tcW w:w="2820" w:type="dxa"/>
                        <w:gridSpan w:val="2"/>
                        <w:shd w:val="clear" w:color="auto" w:fill="auto"/>
                      </w:tcPr>
                      <w:p w14:paraId="1415546A" w14:textId="1A48E8E0">
                        <w:pPr>
                          <w:jc w:val="center"/>
                          <w:rPr>
                            <w:b/>
                            <w:szCs w:val="24"/>
                          </w:rPr>
                        </w:pPr>
                        <w:r>
                          <w:rPr>
                            <w:b/>
                            <w:szCs w:val="24"/>
                          </w:rPr>
                          <w:t>2023 m. biudžeto planas</w:t>
                        </w:r>
                      </w:p>
                    </w:tc>
                    <w:tc>
                      <w:tcPr>
                        <w:tcW w:w="1190" w:type="dxa"/>
                        <w:vMerge w:val="restart"/>
                        <w:shd w:val="clear" w:color="auto" w:fill="auto"/>
                      </w:tcPr>
                      <w:p w14:paraId="11542CCB" w14:textId="6BF2C6D1">
                        <w:pPr>
                          <w:jc w:val="center"/>
                          <w:rPr>
                            <w:b/>
                            <w:szCs w:val="24"/>
                          </w:rPr>
                        </w:pPr>
                        <w:r>
                          <w:rPr>
                            <w:b/>
                            <w:szCs w:val="24"/>
                          </w:rPr>
                          <w:t>2024 m. biudžeto projektas</w:t>
                        </w:r>
                      </w:p>
                    </w:tc>
                    <w:tc>
                      <w:tcPr>
                        <w:tcW w:w="2661" w:type="dxa"/>
                        <w:gridSpan w:val="2"/>
                        <w:shd w:val="clear" w:color="auto" w:fill="auto"/>
                      </w:tcPr>
                      <w:p w14:paraId="654729C2" w14:textId="61B651B6">
                        <w:pPr>
                          <w:jc w:val="center"/>
                          <w:rPr>
                            <w:b/>
                            <w:szCs w:val="24"/>
                          </w:rPr>
                        </w:pPr>
                        <w:r>
                          <w:rPr>
                            <w:b/>
                            <w:szCs w:val="24"/>
                          </w:rPr>
                          <w:t>2024 m. +;- palyginti su 2023 m. biudžeto planu</w:t>
                        </w:r>
                      </w:p>
                    </w:tc>
                  </w:tr>
                  <w:tr w14:paraId="41F1035D" w14:textId="77777777">
                    <w:tc>
                      <w:tcPr>
                        <w:tcW w:w="3183" w:type="dxa"/>
                        <w:vMerge/>
                        <w:shd w:val="clear" w:color="auto" w:fill="auto"/>
                      </w:tcPr>
                      <w:p w14:paraId="57A5406A" w14:textId="77777777">
                        <w:pPr>
                          <w:jc w:val="both"/>
                          <w:rPr>
                            <w:szCs w:val="24"/>
                          </w:rPr>
                        </w:pPr>
                      </w:p>
                    </w:tc>
                    <w:tc>
                      <w:tcPr>
                        <w:tcW w:w="1416" w:type="dxa"/>
                        <w:shd w:val="clear" w:color="auto" w:fill="auto"/>
                      </w:tcPr>
                      <w:p w14:paraId="79A5131F" w14:textId="77777777">
                        <w:pPr>
                          <w:jc w:val="both"/>
                          <w:rPr>
                            <w:b/>
                            <w:szCs w:val="24"/>
                          </w:rPr>
                        </w:pPr>
                        <w:r>
                          <w:rPr>
                            <w:b/>
                            <w:szCs w:val="24"/>
                          </w:rPr>
                          <w:t>patvirtintas</w:t>
                        </w:r>
                      </w:p>
                    </w:tc>
                    <w:tc>
                      <w:tcPr>
                        <w:tcW w:w="1404" w:type="dxa"/>
                        <w:shd w:val="clear" w:color="auto" w:fill="auto"/>
                      </w:tcPr>
                      <w:p w14:paraId="4CDB8CB0" w14:textId="77777777">
                        <w:pPr>
                          <w:jc w:val="both"/>
                          <w:rPr>
                            <w:b/>
                            <w:szCs w:val="24"/>
                          </w:rPr>
                        </w:pPr>
                        <w:r>
                          <w:rPr>
                            <w:b/>
                            <w:szCs w:val="24"/>
                          </w:rPr>
                          <w:t>patikslintas</w:t>
                        </w:r>
                      </w:p>
                    </w:tc>
                    <w:tc>
                      <w:tcPr>
                        <w:tcW w:w="1190" w:type="dxa"/>
                        <w:vMerge/>
                        <w:shd w:val="clear" w:color="auto" w:fill="auto"/>
                      </w:tcPr>
                      <w:p w14:paraId="1DB122AB" w14:textId="77777777">
                        <w:pPr>
                          <w:jc w:val="both"/>
                          <w:rPr>
                            <w:szCs w:val="24"/>
                          </w:rPr>
                        </w:pPr>
                      </w:p>
                    </w:tc>
                    <w:tc>
                      <w:tcPr>
                        <w:tcW w:w="1337" w:type="dxa"/>
                        <w:shd w:val="clear" w:color="auto" w:fill="auto"/>
                      </w:tcPr>
                      <w:p w14:paraId="2F8BAEB9" w14:textId="77777777">
                        <w:pPr>
                          <w:jc w:val="both"/>
                          <w:rPr>
                            <w:b/>
                            <w:szCs w:val="24"/>
                          </w:rPr>
                        </w:pPr>
                        <w:r>
                          <w:rPr>
                            <w:b/>
                            <w:szCs w:val="24"/>
                          </w:rPr>
                          <w:t>patvirtintu</w:t>
                        </w:r>
                      </w:p>
                    </w:tc>
                    <w:tc>
                      <w:tcPr>
                        <w:tcW w:w="1324" w:type="dxa"/>
                        <w:shd w:val="clear" w:color="auto" w:fill="auto"/>
                      </w:tcPr>
                      <w:p w14:paraId="1CBAB651" w14:textId="77777777">
                        <w:pPr>
                          <w:jc w:val="both"/>
                          <w:rPr>
                            <w:b/>
                            <w:szCs w:val="24"/>
                          </w:rPr>
                        </w:pPr>
                        <w:r>
                          <w:rPr>
                            <w:b/>
                            <w:szCs w:val="24"/>
                          </w:rPr>
                          <w:t>patikslintu</w:t>
                        </w:r>
                      </w:p>
                    </w:tc>
                  </w:tr>
                  <w:tr w14:paraId="2798EB84" w14:textId="77777777">
                    <w:tc>
                      <w:tcPr>
                        <w:tcW w:w="3183" w:type="dxa"/>
                        <w:shd w:val="clear" w:color="auto" w:fill="auto"/>
                      </w:tcPr>
                      <w:p w14:paraId="561ADAA1" w14:textId="77777777">
                        <w:pPr>
                          <w:rPr>
                            <w:szCs w:val="24"/>
                          </w:rPr>
                        </w:pPr>
                        <w:r>
                          <w:rPr>
                            <w:szCs w:val="24"/>
                          </w:rPr>
                          <w:t>01 Miesto urbanistinės veiklos programa</w:t>
                        </w:r>
                      </w:p>
                    </w:tc>
                    <w:tc>
                      <w:tcPr>
                        <w:tcW w:w="1416" w:type="dxa"/>
                        <w:shd w:val="clear" w:color="auto" w:fill="auto"/>
                      </w:tcPr>
                      <w:p w14:paraId="5F423624" w14:textId="2BC5476B">
                        <w:pPr>
                          <w:jc w:val="center"/>
                          <w:rPr>
                            <w:szCs w:val="24"/>
                          </w:rPr>
                        </w:pPr>
                        <w:r>
                          <w:rPr>
                            <w:szCs w:val="24"/>
                          </w:rPr>
                          <w:t>1 073,0</w:t>
                        </w:r>
                      </w:p>
                    </w:tc>
                    <w:tc>
                      <w:tcPr>
                        <w:tcW w:w="1404" w:type="dxa"/>
                        <w:shd w:val="clear" w:color="auto" w:fill="auto"/>
                      </w:tcPr>
                      <w:p w14:paraId="0A23F340" w14:textId="12C8CCF9">
                        <w:pPr>
                          <w:jc w:val="center"/>
                          <w:rPr>
                            <w:szCs w:val="24"/>
                          </w:rPr>
                        </w:pPr>
                        <w:r>
                          <w:rPr>
                            <w:szCs w:val="24"/>
                          </w:rPr>
                          <w:t>1 082,3</w:t>
                        </w:r>
                      </w:p>
                    </w:tc>
                    <w:tc>
                      <w:tcPr>
                        <w:tcW w:w="1190" w:type="dxa"/>
                        <w:shd w:val="clear" w:color="auto" w:fill="auto"/>
                      </w:tcPr>
                      <w:p w14:paraId="20378E82" w14:textId="09D59C53">
                        <w:pPr>
                          <w:jc w:val="center"/>
                          <w:rPr>
                            <w:szCs w:val="24"/>
                          </w:rPr>
                        </w:pPr>
                        <w:r>
                          <w:rPr>
                            <w:szCs w:val="24"/>
                          </w:rPr>
                          <w:t>1 594,4</w:t>
                        </w:r>
                      </w:p>
                    </w:tc>
                    <w:tc>
                      <w:tcPr>
                        <w:tcW w:w="1337" w:type="dxa"/>
                        <w:shd w:val="clear" w:color="auto" w:fill="auto"/>
                      </w:tcPr>
                      <w:p w14:paraId="0E62C3CE" w14:textId="0C857E9F">
                        <w:pPr>
                          <w:jc w:val="center"/>
                          <w:rPr>
                            <w:szCs w:val="24"/>
                          </w:rPr>
                        </w:pPr>
                        <w:r>
                          <w:rPr>
                            <w:szCs w:val="24"/>
                          </w:rPr>
                          <w:t>521,4</w:t>
                        </w:r>
                      </w:p>
                    </w:tc>
                    <w:tc>
                      <w:tcPr>
                        <w:tcW w:w="1324" w:type="dxa"/>
                        <w:shd w:val="clear" w:color="auto" w:fill="auto"/>
                      </w:tcPr>
                      <w:p w14:paraId="7DFE809C" w14:textId="456CDC57">
                        <w:pPr>
                          <w:jc w:val="center"/>
                          <w:rPr>
                            <w:szCs w:val="24"/>
                          </w:rPr>
                        </w:pPr>
                        <w:r>
                          <w:rPr>
                            <w:szCs w:val="24"/>
                          </w:rPr>
                          <w:t>512,1</w:t>
                        </w:r>
                      </w:p>
                    </w:tc>
                  </w:tr>
                  <w:tr w14:paraId="34A66B04" w14:textId="77777777">
                    <w:tc>
                      <w:tcPr>
                        <w:tcW w:w="3183" w:type="dxa"/>
                        <w:shd w:val="clear" w:color="auto" w:fill="auto"/>
                      </w:tcPr>
                      <w:p w14:paraId="308FF0C2" w14:textId="77777777">
                        <w:pPr>
                          <w:rPr>
                            <w:szCs w:val="24"/>
                          </w:rPr>
                        </w:pPr>
                        <w:r>
                          <w:rPr>
                            <w:szCs w:val="24"/>
                          </w:rPr>
                          <w:t>02 Kultūros plėtros programa</w:t>
                        </w:r>
                      </w:p>
                    </w:tc>
                    <w:tc>
                      <w:tcPr>
                        <w:tcW w:w="1416" w:type="dxa"/>
                        <w:shd w:val="clear" w:color="auto" w:fill="auto"/>
                      </w:tcPr>
                      <w:p w14:paraId="1D141919" w14:textId="15819FB0">
                        <w:pPr>
                          <w:jc w:val="center"/>
                          <w:rPr>
                            <w:szCs w:val="24"/>
                          </w:rPr>
                        </w:pPr>
                        <w:r>
                          <w:rPr>
                            <w:szCs w:val="24"/>
                          </w:rPr>
                          <w:t>9 776,6</w:t>
                        </w:r>
                      </w:p>
                    </w:tc>
                    <w:tc>
                      <w:tcPr>
                        <w:tcW w:w="1404" w:type="dxa"/>
                        <w:shd w:val="clear" w:color="auto" w:fill="auto"/>
                      </w:tcPr>
                      <w:p w14:paraId="271386A9" w14:textId="21AA93EF">
                        <w:pPr>
                          <w:jc w:val="center"/>
                          <w:rPr>
                            <w:szCs w:val="24"/>
                          </w:rPr>
                        </w:pPr>
                        <w:r>
                          <w:rPr>
                            <w:szCs w:val="24"/>
                          </w:rPr>
                          <w:t>10 219,8</w:t>
                        </w:r>
                      </w:p>
                    </w:tc>
                    <w:tc>
                      <w:tcPr>
                        <w:tcW w:w="1190" w:type="dxa"/>
                        <w:shd w:val="clear" w:color="auto" w:fill="auto"/>
                      </w:tcPr>
                      <w:p w14:paraId="3321CC2D" w14:textId="025356AA">
                        <w:pPr>
                          <w:jc w:val="center"/>
                          <w:rPr>
                            <w:szCs w:val="24"/>
                          </w:rPr>
                        </w:pPr>
                        <w:r>
                          <w:rPr>
                            <w:szCs w:val="24"/>
                          </w:rPr>
                          <w:t>8 552,2</w:t>
                        </w:r>
                      </w:p>
                    </w:tc>
                    <w:tc>
                      <w:tcPr>
                        <w:tcW w:w="1337" w:type="dxa"/>
                        <w:shd w:val="clear" w:color="auto" w:fill="auto"/>
                      </w:tcPr>
                      <w:p w14:paraId="32A29877" w14:textId="15CDAA55">
                        <w:pPr>
                          <w:jc w:val="center"/>
                          <w:rPr>
                            <w:szCs w:val="24"/>
                          </w:rPr>
                        </w:pPr>
                        <w:r>
                          <w:rPr>
                            <w:szCs w:val="24"/>
                          </w:rPr>
                          <w:t>-1 224,4</w:t>
                        </w:r>
                      </w:p>
                    </w:tc>
                    <w:tc>
                      <w:tcPr>
                        <w:tcW w:w="1324" w:type="dxa"/>
                        <w:shd w:val="clear" w:color="auto" w:fill="auto"/>
                      </w:tcPr>
                      <w:p w14:paraId="22BFD6F6" w14:textId="7321AEAF">
                        <w:pPr>
                          <w:jc w:val="center"/>
                          <w:rPr>
                            <w:szCs w:val="24"/>
                          </w:rPr>
                        </w:pPr>
                        <w:r>
                          <w:rPr>
                            <w:szCs w:val="24"/>
                          </w:rPr>
                          <w:t>-1 667,6</w:t>
                        </w:r>
                      </w:p>
                    </w:tc>
                  </w:tr>
                  <w:tr w14:paraId="4ADC6FDC" w14:textId="77777777">
                    <w:tc>
                      <w:tcPr>
                        <w:tcW w:w="3183" w:type="dxa"/>
                        <w:shd w:val="clear" w:color="auto" w:fill="auto"/>
                      </w:tcPr>
                      <w:p w14:paraId="6F645583" w14:textId="77777777">
                        <w:pPr>
                          <w:rPr>
                            <w:szCs w:val="24"/>
                          </w:rPr>
                        </w:pPr>
                        <w:r>
                          <w:rPr>
                            <w:szCs w:val="24"/>
                          </w:rPr>
                          <w:t>03 Aplinkos apsaugos programa</w:t>
                        </w:r>
                      </w:p>
                    </w:tc>
                    <w:tc>
                      <w:tcPr>
                        <w:tcW w:w="1416" w:type="dxa"/>
                        <w:shd w:val="clear" w:color="auto" w:fill="auto"/>
                      </w:tcPr>
                      <w:p w14:paraId="7731735B" w14:textId="33D525A1">
                        <w:pPr>
                          <w:jc w:val="center"/>
                          <w:rPr>
                            <w:szCs w:val="24"/>
                          </w:rPr>
                        </w:pPr>
                        <w:r>
                          <w:rPr>
                            <w:szCs w:val="24"/>
                          </w:rPr>
                          <w:t>8 203,6</w:t>
                        </w:r>
                      </w:p>
                    </w:tc>
                    <w:tc>
                      <w:tcPr>
                        <w:tcW w:w="1404" w:type="dxa"/>
                        <w:shd w:val="clear" w:color="auto" w:fill="auto"/>
                      </w:tcPr>
                      <w:p w14:paraId="3F235222" w14:textId="6FC11DB7">
                        <w:pPr>
                          <w:jc w:val="center"/>
                          <w:rPr>
                            <w:szCs w:val="24"/>
                          </w:rPr>
                        </w:pPr>
                        <w:r>
                          <w:rPr>
                            <w:szCs w:val="24"/>
                          </w:rPr>
                          <w:t>8 436,1</w:t>
                        </w:r>
                      </w:p>
                    </w:tc>
                    <w:tc>
                      <w:tcPr>
                        <w:tcW w:w="1190" w:type="dxa"/>
                        <w:shd w:val="clear" w:color="auto" w:fill="auto"/>
                      </w:tcPr>
                      <w:p w14:paraId="4912C7BB" w14:textId="4310B644">
                        <w:pPr>
                          <w:jc w:val="center"/>
                          <w:rPr>
                            <w:szCs w:val="24"/>
                          </w:rPr>
                        </w:pPr>
                        <w:r>
                          <w:rPr>
                            <w:szCs w:val="24"/>
                          </w:rPr>
                          <w:t>6 740,3</w:t>
                        </w:r>
                      </w:p>
                    </w:tc>
                    <w:tc>
                      <w:tcPr>
                        <w:tcW w:w="1337" w:type="dxa"/>
                        <w:shd w:val="clear" w:color="auto" w:fill="auto"/>
                      </w:tcPr>
                      <w:p w14:paraId="7085218E" w14:textId="238E76EE">
                        <w:pPr>
                          <w:jc w:val="center"/>
                          <w:rPr>
                            <w:szCs w:val="24"/>
                          </w:rPr>
                        </w:pPr>
                        <w:r>
                          <w:rPr>
                            <w:szCs w:val="24"/>
                          </w:rPr>
                          <w:t>-1 463,3</w:t>
                        </w:r>
                      </w:p>
                    </w:tc>
                    <w:tc>
                      <w:tcPr>
                        <w:tcW w:w="1324" w:type="dxa"/>
                        <w:shd w:val="clear" w:color="auto" w:fill="auto"/>
                      </w:tcPr>
                      <w:p w14:paraId="3E652F82" w14:textId="4E85587B">
                        <w:pPr>
                          <w:jc w:val="center"/>
                          <w:rPr>
                            <w:szCs w:val="24"/>
                          </w:rPr>
                        </w:pPr>
                        <w:r>
                          <w:rPr>
                            <w:szCs w:val="24"/>
                          </w:rPr>
                          <w:t>-1 695,8</w:t>
                        </w:r>
                      </w:p>
                    </w:tc>
                  </w:tr>
                  <w:tr w14:paraId="420035E1" w14:textId="77777777">
                    <w:tc>
                      <w:tcPr>
                        <w:tcW w:w="3183" w:type="dxa"/>
                        <w:shd w:val="clear" w:color="auto" w:fill="auto"/>
                      </w:tcPr>
                      <w:p w14:paraId="05BC1867" w14:textId="77777777">
                        <w:pPr>
                          <w:rPr>
                            <w:szCs w:val="24"/>
                          </w:rPr>
                        </w:pPr>
                        <w:r>
                          <w:rPr>
                            <w:szCs w:val="24"/>
                          </w:rPr>
                          <w:t>04 Miesto infrastruktūros objektų priežiūros, modernizavimo ir plėtros programa</w:t>
                        </w:r>
                      </w:p>
                    </w:tc>
                    <w:tc>
                      <w:tcPr>
                        <w:tcW w:w="1416" w:type="dxa"/>
                        <w:shd w:val="clear" w:color="auto" w:fill="auto"/>
                      </w:tcPr>
                      <w:p w14:paraId="1C00D3DA" w14:textId="3EBFE351">
                        <w:pPr>
                          <w:jc w:val="center"/>
                          <w:rPr>
                            <w:szCs w:val="24"/>
                          </w:rPr>
                        </w:pPr>
                        <w:r>
                          <w:rPr>
                            <w:szCs w:val="24"/>
                          </w:rPr>
                          <w:t>22 232,9</w:t>
                        </w:r>
                      </w:p>
                    </w:tc>
                    <w:tc>
                      <w:tcPr>
                        <w:tcW w:w="1404" w:type="dxa"/>
                        <w:shd w:val="clear" w:color="auto" w:fill="auto"/>
                      </w:tcPr>
                      <w:p w14:paraId="66CC2105" w14:textId="28F936E0">
                        <w:pPr>
                          <w:jc w:val="center"/>
                          <w:rPr>
                            <w:szCs w:val="24"/>
                          </w:rPr>
                        </w:pPr>
                        <w:r>
                          <w:rPr>
                            <w:szCs w:val="24"/>
                          </w:rPr>
                          <w:t>31 775,2</w:t>
                        </w:r>
                      </w:p>
                    </w:tc>
                    <w:tc>
                      <w:tcPr>
                        <w:tcW w:w="1190" w:type="dxa"/>
                        <w:shd w:val="clear" w:color="auto" w:fill="auto"/>
                      </w:tcPr>
                      <w:p w14:paraId="401B99F4" w14:textId="39D8326B">
                        <w:pPr>
                          <w:jc w:val="center"/>
                          <w:rPr>
                            <w:szCs w:val="24"/>
                          </w:rPr>
                        </w:pPr>
                        <w:r>
                          <w:rPr>
                            <w:szCs w:val="24"/>
                          </w:rPr>
                          <w:t>37 707,4</w:t>
                        </w:r>
                      </w:p>
                    </w:tc>
                    <w:tc>
                      <w:tcPr>
                        <w:tcW w:w="1337" w:type="dxa"/>
                        <w:shd w:val="clear" w:color="auto" w:fill="auto"/>
                      </w:tcPr>
                      <w:p w14:paraId="7DEDF702" w14:textId="1F4B1A91">
                        <w:pPr>
                          <w:jc w:val="center"/>
                          <w:rPr>
                            <w:szCs w:val="24"/>
                          </w:rPr>
                        </w:pPr>
                        <w:r>
                          <w:rPr>
                            <w:szCs w:val="24"/>
                          </w:rPr>
                          <w:t>15 474,5</w:t>
                        </w:r>
                      </w:p>
                    </w:tc>
                    <w:tc>
                      <w:tcPr>
                        <w:tcW w:w="1324" w:type="dxa"/>
                        <w:shd w:val="clear" w:color="auto" w:fill="auto"/>
                      </w:tcPr>
                      <w:p w14:paraId="2D2A11F9" w14:textId="097A1FF5">
                        <w:pPr>
                          <w:jc w:val="center"/>
                          <w:rPr>
                            <w:szCs w:val="24"/>
                          </w:rPr>
                        </w:pPr>
                        <w:r>
                          <w:rPr>
                            <w:szCs w:val="24"/>
                          </w:rPr>
                          <w:t>5 932,2</w:t>
                        </w:r>
                      </w:p>
                    </w:tc>
                  </w:tr>
                  <w:tr w14:paraId="6B9886EF" w14:textId="77777777">
                    <w:tc>
                      <w:tcPr>
                        <w:tcW w:w="3183" w:type="dxa"/>
                        <w:shd w:val="clear" w:color="auto" w:fill="auto"/>
                      </w:tcPr>
                      <w:p w14:paraId="1D1FC9F7" w14:textId="77777777">
                        <w:pPr>
                          <w:rPr>
                            <w:szCs w:val="24"/>
                          </w:rPr>
                        </w:pPr>
                        <w:r>
                          <w:rPr>
                            <w:szCs w:val="24"/>
                          </w:rPr>
                          <w:t>05 Miesto ekonominės plėtros programa</w:t>
                        </w:r>
                      </w:p>
                    </w:tc>
                    <w:tc>
                      <w:tcPr>
                        <w:tcW w:w="1416" w:type="dxa"/>
                        <w:shd w:val="clear" w:color="auto" w:fill="auto"/>
                      </w:tcPr>
                      <w:p w14:paraId="6793B84F" w14:textId="7A972BE0">
                        <w:pPr>
                          <w:jc w:val="center"/>
                          <w:rPr>
                            <w:szCs w:val="24"/>
                          </w:rPr>
                        </w:pPr>
                        <w:r>
                          <w:rPr>
                            <w:szCs w:val="24"/>
                          </w:rPr>
                          <w:t>5 422,8</w:t>
                        </w:r>
                      </w:p>
                    </w:tc>
                    <w:tc>
                      <w:tcPr>
                        <w:tcW w:w="1404" w:type="dxa"/>
                        <w:shd w:val="clear" w:color="auto" w:fill="auto"/>
                      </w:tcPr>
                      <w:p w14:paraId="291295A7" w14:textId="4E211F5D">
                        <w:pPr>
                          <w:jc w:val="center"/>
                          <w:rPr>
                            <w:szCs w:val="24"/>
                          </w:rPr>
                        </w:pPr>
                        <w:r>
                          <w:rPr>
                            <w:szCs w:val="24"/>
                          </w:rPr>
                          <w:t>21 008,2</w:t>
                        </w:r>
                      </w:p>
                    </w:tc>
                    <w:tc>
                      <w:tcPr>
                        <w:tcW w:w="1190" w:type="dxa"/>
                        <w:shd w:val="clear" w:color="auto" w:fill="auto"/>
                      </w:tcPr>
                      <w:p w14:paraId="4903F12C" w14:textId="5CE5CD2D">
                        <w:pPr>
                          <w:jc w:val="center"/>
                          <w:rPr>
                            <w:szCs w:val="24"/>
                          </w:rPr>
                        </w:pPr>
                        <w:r>
                          <w:rPr>
                            <w:szCs w:val="24"/>
                          </w:rPr>
                          <w:t>3 815,6</w:t>
                        </w:r>
                      </w:p>
                    </w:tc>
                    <w:tc>
                      <w:tcPr>
                        <w:tcW w:w="1337" w:type="dxa"/>
                        <w:shd w:val="clear" w:color="auto" w:fill="auto"/>
                      </w:tcPr>
                      <w:p w14:paraId="37480618" w14:textId="2C11F072">
                        <w:pPr>
                          <w:jc w:val="center"/>
                          <w:rPr>
                            <w:szCs w:val="24"/>
                          </w:rPr>
                        </w:pPr>
                        <w:r>
                          <w:rPr>
                            <w:szCs w:val="24"/>
                          </w:rPr>
                          <w:t>-1 607,2</w:t>
                        </w:r>
                      </w:p>
                    </w:tc>
                    <w:tc>
                      <w:tcPr>
                        <w:tcW w:w="1324" w:type="dxa"/>
                        <w:shd w:val="clear" w:color="auto" w:fill="auto"/>
                      </w:tcPr>
                      <w:p w14:paraId="611E89C7" w14:textId="085846D6">
                        <w:pPr>
                          <w:jc w:val="center"/>
                          <w:rPr>
                            <w:szCs w:val="24"/>
                          </w:rPr>
                        </w:pPr>
                        <w:r>
                          <w:rPr>
                            <w:szCs w:val="24"/>
                          </w:rPr>
                          <w:t>-17 192,6</w:t>
                        </w:r>
                      </w:p>
                    </w:tc>
                  </w:tr>
                  <w:tr w14:paraId="5692C6B9" w14:textId="77777777">
                    <w:tc>
                      <w:tcPr>
                        <w:tcW w:w="3183" w:type="dxa"/>
                        <w:shd w:val="clear" w:color="auto" w:fill="auto"/>
                      </w:tcPr>
                      <w:p w14:paraId="557D7163" w14:textId="5E130BDE">
                        <w:pPr>
                          <w:rPr>
                            <w:szCs w:val="24"/>
                          </w:rPr>
                        </w:pPr>
                        <w:r>
                          <w:rPr>
                            <w:szCs w:val="24"/>
                          </w:rPr>
                          <w:t>06 Turto valdymo ir privatizavimo programa</w:t>
                        </w:r>
                      </w:p>
                    </w:tc>
                    <w:tc>
                      <w:tcPr>
                        <w:tcW w:w="1416" w:type="dxa"/>
                        <w:shd w:val="clear" w:color="auto" w:fill="auto"/>
                      </w:tcPr>
                      <w:p w14:paraId="4873D8D4" w14:textId="05D7847C">
                        <w:pPr>
                          <w:jc w:val="center"/>
                          <w:rPr>
                            <w:szCs w:val="24"/>
                          </w:rPr>
                        </w:pPr>
                        <w:r>
                          <w:rPr>
                            <w:szCs w:val="24"/>
                          </w:rPr>
                          <w:t>1 624,5</w:t>
                        </w:r>
                      </w:p>
                    </w:tc>
                    <w:tc>
                      <w:tcPr>
                        <w:tcW w:w="1404" w:type="dxa"/>
                        <w:shd w:val="clear" w:color="auto" w:fill="auto"/>
                      </w:tcPr>
                      <w:p w14:paraId="1F520C24" w14:textId="06303B8A">
                        <w:pPr>
                          <w:jc w:val="center"/>
                          <w:rPr>
                            <w:szCs w:val="24"/>
                          </w:rPr>
                        </w:pPr>
                        <w:r>
                          <w:rPr>
                            <w:szCs w:val="24"/>
                          </w:rPr>
                          <w:t>1 659,5</w:t>
                        </w:r>
                      </w:p>
                    </w:tc>
                    <w:tc>
                      <w:tcPr>
                        <w:tcW w:w="1190" w:type="dxa"/>
                        <w:shd w:val="clear" w:color="auto" w:fill="auto"/>
                      </w:tcPr>
                      <w:p w14:paraId="29A893BA" w14:textId="5FDBF87E">
                        <w:pPr>
                          <w:jc w:val="center"/>
                          <w:rPr>
                            <w:szCs w:val="24"/>
                          </w:rPr>
                        </w:pPr>
                        <w:r>
                          <w:rPr>
                            <w:szCs w:val="24"/>
                          </w:rPr>
                          <w:t>1 712,0</w:t>
                        </w:r>
                      </w:p>
                    </w:tc>
                    <w:tc>
                      <w:tcPr>
                        <w:tcW w:w="1337" w:type="dxa"/>
                        <w:shd w:val="clear" w:color="auto" w:fill="auto"/>
                      </w:tcPr>
                      <w:p w14:paraId="43380775" w14:textId="413E67BA">
                        <w:pPr>
                          <w:jc w:val="center"/>
                          <w:rPr>
                            <w:szCs w:val="24"/>
                          </w:rPr>
                        </w:pPr>
                        <w:r>
                          <w:rPr>
                            <w:szCs w:val="24"/>
                          </w:rPr>
                          <w:t>87,5</w:t>
                        </w:r>
                      </w:p>
                    </w:tc>
                    <w:tc>
                      <w:tcPr>
                        <w:tcW w:w="1324" w:type="dxa"/>
                        <w:shd w:val="clear" w:color="auto" w:fill="auto"/>
                      </w:tcPr>
                      <w:p w14:paraId="5782F8E1" w14:textId="4CAE8E97">
                        <w:pPr>
                          <w:jc w:val="center"/>
                          <w:rPr>
                            <w:szCs w:val="24"/>
                          </w:rPr>
                        </w:pPr>
                        <w:r>
                          <w:rPr>
                            <w:szCs w:val="24"/>
                          </w:rPr>
                          <w:t>52,5</w:t>
                        </w:r>
                      </w:p>
                    </w:tc>
                  </w:tr>
                  <w:tr w14:paraId="431E85A2" w14:textId="77777777">
                    <w:tc>
                      <w:tcPr>
                        <w:tcW w:w="3183" w:type="dxa"/>
                        <w:shd w:val="clear" w:color="auto" w:fill="auto"/>
                      </w:tcPr>
                      <w:p w14:paraId="7FDA7CD1" w14:textId="77777777">
                        <w:pPr>
                          <w:rPr>
                            <w:szCs w:val="24"/>
                          </w:rPr>
                        </w:pPr>
                        <w:r>
                          <w:rPr>
                            <w:szCs w:val="24"/>
                          </w:rPr>
                          <w:t>07 Sporto plėtros programa</w:t>
                        </w:r>
                      </w:p>
                      <w:p w14:paraId="57DE9221" w14:textId="40956602">
                        <w:pPr>
                          <w:rPr>
                            <w:szCs w:val="24"/>
                          </w:rPr>
                        </w:pPr>
                      </w:p>
                    </w:tc>
                    <w:tc>
                      <w:tcPr>
                        <w:tcW w:w="1416" w:type="dxa"/>
                        <w:shd w:val="clear" w:color="auto" w:fill="auto"/>
                      </w:tcPr>
                      <w:p w14:paraId="1098DD8C" w14:textId="6F307551">
                        <w:pPr>
                          <w:jc w:val="center"/>
                          <w:rPr>
                            <w:szCs w:val="24"/>
                          </w:rPr>
                        </w:pPr>
                        <w:r>
                          <w:rPr>
                            <w:szCs w:val="24"/>
                          </w:rPr>
                          <w:t>11 269,6</w:t>
                        </w:r>
                      </w:p>
                    </w:tc>
                    <w:tc>
                      <w:tcPr>
                        <w:tcW w:w="1404" w:type="dxa"/>
                        <w:shd w:val="clear" w:color="auto" w:fill="auto"/>
                      </w:tcPr>
                      <w:p w14:paraId="53780A5E" w14:textId="316F742A">
                        <w:pPr>
                          <w:jc w:val="center"/>
                          <w:rPr>
                            <w:szCs w:val="24"/>
                          </w:rPr>
                        </w:pPr>
                        <w:r>
                          <w:rPr>
                            <w:szCs w:val="24"/>
                          </w:rPr>
                          <w:t>9 306,1</w:t>
                        </w:r>
                      </w:p>
                    </w:tc>
                    <w:tc>
                      <w:tcPr>
                        <w:tcW w:w="1190" w:type="dxa"/>
                        <w:shd w:val="clear" w:color="auto" w:fill="auto"/>
                      </w:tcPr>
                      <w:p w14:paraId="3F328F11" w14:textId="262BFBA4">
                        <w:pPr>
                          <w:jc w:val="center"/>
                          <w:rPr>
                            <w:szCs w:val="24"/>
                          </w:rPr>
                        </w:pPr>
                        <w:r>
                          <w:rPr>
                            <w:szCs w:val="24"/>
                          </w:rPr>
                          <w:t>17 963,2</w:t>
                        </w:r>
                      </w:p>
                    </w:tc>
                    <w:tc>
                      <w:tcPr>
                        <w:tcW w:w="1337" w:type="dxa"/>
                        <w:shd w:val="clear" w:color="auto" w:fill="auto"/>
                      </w:tcPr>
                      <w:p w14:paraId="11A74DA1" w14:textId="4E57D787">
                        <w:pPr>
                          <w:jc w:val="center"/>
                          <w:rPr>
                            <w:szCs w:val="24"/>
                          </w:rPr>
                        </w:pPr>
                        <w:r>
                          <w:rPr>
                            <w:szCs w:val="24"/>
                          </w:rPr>
                          <w:t>6 693,6</w:t>
                        </w:r>
                      </w:p>
                    </w:tc>
                    <w:tc>
                      <w:tcPr>
                        <w:tcW w:w="1324" w:type="dxa"/>
                        <w:shd w:val="clear" w:color="auto" w:fill="auto"/>
                      </w:tcPr>
                      <w:p w14:paraId="5A59D3C8" w14:textId="71E40F54">
                        <w:pPr>
                          <w:ind w:firstLine="62"/>
                          <w:jc w:val="center"/>
                          <w:rPr>
                            <w:szCs w:val="24"/>
                          </w:rPr>
                        </w:pPr>
                        <w:r>
                          <w:rPr>
                            <w:szCs w:val="24"/>
                          </w:rPr>
                          <w:t>8 657,1</w:t>
                        </w:r>
                      </w:p>
                    </w:tc>
                  </w:tr>
                  <w:tr w14:paraId="5FF263C5" w14:textId="77777777">
                    <w:tc>
                      <w:tcPr>
                        <w:tcW w:w="3183" w:type="dxa"/>
                        <w:shd w:val="clear" w:color="auto" w:fill="auto"/>
                      </w:tcPr>
                      <w:p w14:paraId="04F979DD" w14:textId="77777777">
                        <w:pPr>
                          <w:rPr>
                            <w:szCs w:val="24"/>
                          </w:rPr>
                        </w:pPr>
                        <w:r>
                          <w:rPr>
                            <w:szCs w:val="24"/>
                          </w:rPr>
                          <w:t>08 Švietimo prieinamumo ir kokybės užtikrinimo programa</w:t>
                        </w:r>
                      </w:p>
                    </w:tc>
                    <w:tc>
                      <w:tcPr>
                        <w:tcW w:w="1416" w:type="dxa"/>
                        <w:shd w:val="clear" w:color="auto" w:fill="auto"/>
                      </w:tcPr>
                      <w:p w14:paraId="71C4B6E0" w14:textId="6D07EAC8">
                        <w:pPr>
                          <w:jc w:val="center"/>
                          <w:rPr>
                            <w:szCs w:val="24"/>
                          </w:rPr>
                        </w:pPr>
                        <w:r>
                          <w:rPr>
                            <w:szCs w:val="24"/>
                          </w:rPr>
                          <w:t>108 295,3</w:t>
                        </w:r>
                      </w:p>
                    </w:tc>
                    <w:tc>
                      <w:tcPr>
                        <w:tcW w:w="1404" w:type="dxa"/>
                        <w:shd w:val="clear" w:color="auto" w:fill="auto"/>
                      </w:tcPr>
                      <w:p w14:paraId="22A893EE" w14:textId="75EF52DC">
                        <w:pPr>
                          <w:jc w:val="center"/>
                          <w:rPr>
                            <w:szCs w:val="24"/>
                          </w:rPr>
                        </w:pPr>
                        <w:r>
                          <w:rPr>
                            <w:szCs w:val="24"/>
                          </w:rPr>
                          <w:t>110 332,1</w:t>
                        </w:r>
                      </w:p>
                    </w:tc>
                    <w:tc>
                      <w:tcPr>
                        <w:tcW w:w="1190" w:type="dxa"/>
                        <w:shd w:val="clear" w:color="auto" w:fill="auto"/>
                      </w:tcPr>
                      <w:p w14:paraId="383FE24F" w14:textId="001FD076">
                        <w:pPr>
                          <w:jc w:val="center"/>
                          <w:rPr>
                            <w:szCs w:val="24"/>
                          </w:rPr>
                        </w:pPr>
                        <w:r>
                          <w:rPr>
                            <w:szCs w:val="24"/>
                          </w:rPr>
                          <w:t>130 403,8</w:t>
                        </w:r>
                      </w:p>
                    </w:tc>
                    <w:tc>
                      <w:tcPr>
                        <w:tcW w:w="1337" w:type="dxa"/>
                        <w:shd w:val="clear" w:color="auto" w:fill="auto"/>
                      </w:tcPr>
                      <w:p w14:paraId="05D9CA2B" w14:textId="54DC4C68">
                        <w:pPr>
                          <w:jc w:val="center"/>
                          <w:rPr>
                            <w:szCs w:val="24"/>
                          </w:rPr>
                        </w:pPr>
                        <w:r>
                          <w:rPr>
                            <w:szCs w:val="24"/>
                          </w:rPr>
                          <w:t>22 108,5</w:t>
                        </w:r>
                      </w:p>
                    </w:tc>
                    <w:tc>
                      <w:tcPr>
                        <w:tcW w:w="1324" w:type="dxa"/>
                        <w:shd w:val="clear" w:color="auto" w:fill="auto"/>
                      </w:tcPr>
                      <w:p w14:paraId="0F2D8274" w14:textId="705092DB">
                        <w:pPr>
                          <w:jc w:val="center"/>
                          <w:rPr>
                            <w:szCs w:val="24"/>
                          </w:rPr>
                        </w:pPr>
                        <w:r>
                          <w:rPr>
                            <w:szCs w:val="24"/>
                          </w:rPr>
                          <w:t>20 071,7</w:t>
                        </w:r>
                      </w:p>
                    </w:tc>
                  </w:tr>
                  <w:tr w14:paraId="0FDE82CB" w14:textId="77777777">
                    <w:tc>
                      <w:tcPr>
                        <w:tcW w:w="3183" w:type="dxa"/>
                        <w:shd w:val="clear" w:color="auto" w:fill="auto"/>
                      </w:tcPr>
                      <w:p w14:paraId="70EA6F47" w14:textId="77777777">
                        <w:pPr>
                          <w:rPr>
                            <w:szCs w:val="24"/>
                          </w:rPr>
                        </w:pPr>
                        <w:r>
                          <w:rPr>
                            <w:szCs w:val="24"/>
                          </w:rPr>
                          <w:t>09 Bendruomenės sveikatinimo programa</w:t>
                        </w:r>
                      </w:p>
                    </w:tc>
                    <w:tc>
                      <w:tcPr>
                        <w:tcW w:w="1416" w:type="dxa"/>
                        <w:shd w:val="clear" w:color="auto" w:fill="auto"/>
                      </w:tcPr>
                      <w:p w14:paraId="6CBBFA84" w14:textId="14A6142F">
                        <w:pPr>
                          <w:jc w:val="center"/>
                          <w:rPr>
                            <w:szCs w:val="24"/>
                          </w:rPr>
                        </w:pPr>
                        <w:r>
                          <w:rPr>
                            <w:szCs w:val="24"/>
                          </w:rPr>
                          <w:t>3 936,5</w:t>
                        </w:r>
                      </w:p>
                    </w:tc>
                    <w:tc>
                      <w:tcPr>
                        <w:tcW w:w="1404" w:type="dxa"/>
                        <w:shd w:val="clear" w:color="auto" w:fill="auto"/>
                      </w:tcPr>
                      <w:p w14:paraId="02868062" w14:textId="01F03D8E">
                        <w:pPr>
                          <w:jc w:val="center"/>
                          <w:rPr>
                            <w:szCs w:val="24"/>
                          </w:rPr>
                        </w:pPr>
                        <w:r>
                          <w:rPr>
                            <w:szCs w:val="24"/>
                          </w:rPr>
                          <w:t>3 421,1</w:t>
                        </w:r>
                      </w:p>
                    </w:tc>
                    <w:tc>
                      <w:tcPr>
                        <w:tcW w:w="1190" w:type="dxa"/>
                        <w:shd w:val="clear" w:color="auto" w:fill="auto"/>
                      </w:tcPr>
                      <w:p w14:paraId="7CF7EEC3" w14:textId="47B75A15">
                        <w:pPr>
                          <w:jc w:val="center"/>
                          <w:rPr>
                            <w:szCs w:val="24"/>
                          </w:rPr>
                        </w:pPr>
                        <w:r>
                          <w:rPr>
                            <w:szCs w:val="24"/>
                          </w:rPr>
                          <w:t>6 788,7</w:t>
                        </w:r>
                      </w:p>
                    </w:tc>
                    <w:tc>
                      <w:tcPr>
                        <w:tcW w:w="1337" w:type="dxa"/>
                        <w:shd w:val="clear" w:color="auto" w:fill="auto"/>
                      </w:tcPr>
                      <w:p w14:paraId="4E8FB3C4" w14:textId="01C6C1CA">
                        <w:pPr>
                          <w:jc w:val="center"/>
                          <w:rPr>
                            <w:szCs w:val="24"/>
                          </w:rPr>
                        </w:pPr>
                        <w:r>
                          <w:rPr>
                            <w:szCs w:val="24"/>
                          </w:rPr>
                          <w:t>2 852,2</w:t>
                        </w:r>
                      </w:p>
                    </w:tc>
                    <w:tc>
                      <w:tcPr>
                        <w:tcW w:w="1324" w:type="dxa"/>
                        <w:shd w:val="clear" w:color="auto" w:fill="auto"/>
                      </w:tcPr>
                      <w:p w14:paraId="79F03998" w14:textId="24F84280">
                        <w:pPr>
                          <w:jc w:val="center"/>
                          <w:rPr>
                            <w:szCs w:val="24"/>
                          </w:rPr>
                        </w:pPr>
                        <w:r>
                          <w:rPr>
                            <w:szCs w:val="24"/>
                          </w:rPr>
                          <w:t>3 367,6</w:t>
                        </w:r>
                      </w:p>
                    </w:tc>
                  </w:tr>
                  <w:tr w14:paraId="3DCA20E1" w14:textId="77777777">
                    <w:tc>
                      <w:tcPr>
                        <w:tcW w:w="3183" w:type="dxa"/>
                        <w:shd w:val="clear" w:color="auto" w:fill="auto"/>
                      </w:tcPr>
                      <w:p w14:paraId="664C61E9" w14:textId="77777777">
                        <w:pPr>
                          <w:rPr>
                            <w:szCs w:val="24"/>
                          </w:rPr>
                        </w:pPr>
                        <w:r>
                          <w:rPr>
                            <w:szCs w:val="24"/>
                          </w:rPr>
                          <w:t>10 Socialinės paramos įgyvendinimo programa</w:t>
                        </w:r>
                      </w:p>
                    </w:tc>
                    <w:tc>
                      <w:tcPr>
                        <w:tcW w:w="1416" w:type="dxa"/>
                        <w:shd w:val="clear" w:color="auto" w:fill="auto"/>
                      </w:tcPr>
                      <w:p w14:paraId="1B552261" w14:textId="2F47A436">
                        <w:pPr>
                          <w:jc w:val="center"/>
                          <w:rPr>
                            <w:szCs w:val="24"/>
                          </w:rPr>
                        </w:pPr>
                        <w:r>
                          <w:rPr>
                            <w:szCs w:val="24"/>
                          </w:rPr>
                          <w:t>29 707,9</w:t>
                        </w:r>
                      </w:p>
                    </w:tc>
                    <w:tc>
                      <w:tcPr>
                        <w:tcW w:w="1404" w:type="dxa"/>
                        <w:shd w:val="clear" w:color="auto" w:fill="auto"/>
                      </w:tcPr>
                      <w:p w14:paraId="2C14AAF2" w14:textId="5DC7E779">
                        <w:pPr>
                          <w:jc w:val="center"/>
                          <w:rPr>
                            <w:szCs w:val="24"/>
                          </w:rPr>
                        </w:pPr>
                        <w:r>
                          <w:rPr>
                            <w:szCs w:val="24"/>
                          </w:rPr>
                          <w:t>36 053,1</w:t>
                        </w:r>
                      </w:p>
                    </w:tc>
                    <w:tc>
                      <w:tcPr>
                        <w:tcW w:w="1190" w:type="dxa"/>
                        <w:shd w:val="clear" w:color="auto" w:fill="auto"/>
                      </w:tcPr>
                      <w:p w14:paraId="2FEED93C" w14:textId="4207CE21">
                        <w:pPr>
                          <w:jc w:val="center"/>
                          <w:rPr>
                            <w:szCs w:val="24"/>
                          </w:rPr>
                        </w:pPr>
                        <w:r>
                          <w:rPr>
                            <w:szCs w:val="24"/>
                          </w:rPr>
                          <w:t>28 346,8</w:t>
                        </w:r>
                      </w:p>
                    </w:tc>
                    <w:tc>
                      <w:tcPr>
                        <w:tcW w:w="1337" w:type="dxa"/>
                        <w:shd w:val="clear" w:color="auto" w:fill="auto"/>
                      </w:tcPr>
                      <w:p w14:paraId="7910AC09" w14:textId="25A139FB">
                        <w:pPr>
                          <w:jc w:val="center"/>
                          <w:rPr>
                            <w:szCs w:val="24"/>
                          </w:rPr>
                        </w:pPr>
                        <w:r>
                          <w:rPr>
                            <w:szCs w:val="24"/>
                          </w:rPr>
                          <w:t>-1 361,1</w:t>
                        </w:r>
                      </w:p>
                    </w:tc>
                    <w:tc>
                      <w:tcPr>
                        <w:tcW w:w="1324" w:type="dxa"/>
                        <w:shd w:val="clear" w:color="auto" w:fill="auto"/>
                      </w:tcPr>
                      <w:p w14:paraId="0FA4BBED" w14:textId="2E01B877">
                        <w:pPr>
                          <w:jc w:val="center"/>
                          <w:rPr>
                            <w:szCs w:val="24"/>
                          </w:rPr>
                        </w:pPr>
                        <w:r>
                          <w:rPr>
                            <w:szCs w:val="24"/>
                          </w:rPr>
                          <w:t>-7 706,3</w:t>
                        </w:r>
                      </w:p>
                    </w:tc>
                  </w:tr>
                  <w:tr w14:paraId="17B65ABF" w14:textId="77777777">
                    <w:tc>
                      <w:tcPr>
                        <w:tcW w:w="3183" w:type="dxa"/>
                        <w:shd w:val="clear" w:color="auto" w:fill="auto"/>
                      </w:tcPr>
                      <w:p w14:paraId="0E5C30E8" w14:textId="77777777">
                        <w:pPr>
                          <w:rPr>
                            <w:szCs w:val="24"/>
                          </w:rPr>
                        </w:pPr>
                        <w:r>
                          <w:rPr>
                            <w:szCs w:val="24"/>
                          </w:rPr>
                          <w:t>11 Savivaldybės veiklos programa</w:t>
                        </w:r>
                      </w:p>
                    </w:tc>
                    <w:tc>
                      <w:tcPr>
                        <w:tcW w:w="1416" w:type="dxa"/>
                        <w:shd w:val="clear" w:color="auto" w:fill="auto"/>
                      </w:tcPr>
                      <w:p w14:paraId="01CCED9B" w14:textId="54836658">
                        <w:pPr>
                          <w:jc w:val="center"/>
                          <w:rPr>
                            <w:szCs w:val="24"/>
                          </w:rPr>
                        </w:pPr>
                        <w:r>
                          <w:rPr>
                            <w:szCs w:val="24"/>
                          </w:rPr>
                          <w:t>21 609,7</w:t>
                        </w:r>
                      </w:p>
                    </w:tc>
                    <w:tc>
                      <w:tcPr>
                        <w:tcW w:w="1404" w:type="dxa"/>
                        <w:shd w:val="clear" w:color="auto" w:fill="auto"/>
                      </w:tcPr>
                      <w:p w14:paraId="2DC40510" w14:textId="5111DA0F">
                        <w:pPr>
                          <w:jc w:val="center"/>
                          <w:rPr>
                            <w:szCs w:val="24"/>
                          </w:rPr>
                        </w:pPr>
                        <w:r>
                          <w:rPr>
                            <w:szCs w:val="24"/>
                          </w:rPr>
                          <w:t>23 480,9</w:t>
                        </w:r>
                      </w:p>
                    </w:tc>
                    <w:tc>
                      <w:tcPr>
                        <w:tcW w:w="1190" w:type="dxa"/>
                        <w:shd w:val="clear" w:color="auto" w:fill="auto"/>
                      </w:tcPr>
                      <w:p w14:paraId="540301AB" w14:textId="2C14809E">
                        <w:pPr>
                          <w:jc w:val="center"/>
                          <w:rPr>
                            <w:szCs w:val="24"/>
                          </w:rPr>
                        </w:pPr>
                        <w:r>
                          <w:rPr>
                            <w:szCs w:val="24"/>
                          </w:rPr>
                          <w:t>28 494,1</w:t>
                        </w:r>
                      </w:p>
                    </w:tc>
                    <w:tc>
                      <w:tcPr>
                        <w:tcW w:w="1337" w:type="dxa"/>
                        <w:shd w:val="clear" w:color="auto" w:fill="auto"/>
                      </w:tcPr>
                      <w:p w14:paraId="1263D936" w14:textId="46816573">
                        <w:pPr>
                          <w:jc w:val="center"/>
                          <w:rPr>
                            <w:szCs w:val="24"/>
                          </w:rPr>
                        </w:pPr>
                        <w:r>
                          <w:rPr>
                            <w:szCs w:val="24"/>
                          </w:rPr>
                          <w:t>6 884,4</w:t>
                        </w:r>
                      </w:p>
                    </w:tc>
                    <w:tc>
                      <w:tcPr>
                        <w:tcW w:w="1324" w:type="dxa"/>
                        <w:shd w:val="clear" w:color="auto" w:fill="auto"/>
                      </w:tcPr>
                      <w:p w14:paraId="1B90A929" w14:textId="68A4F88A">
                        <w:pPr>
                          <w:jc w:val="center"/>
                          <w:rPr>
                            <w:szCs w:val="24"/>
                          </w:rPr>
                        </w:pPr>
                        <w:r>
                          <w:rPr>
                            <w:szCs w:val="24"/>
                          </w:rPr>
                          <w:t>5 013,2</w:t>
                        </w:r>
                      </w:p>
                    </w:tc>
                  </w:tr>
                  <w:tr w14:paraId="5F54510E" w14:textId="77777777">
                    <w:trPr>
                      <w:trHeight w:val="457"/>
                    </w:trPr>
                    <w:tc>
                      <w:tcPr>
                        <w:tcW w:w="3183" w:type="dxa"/>
                        <w:shd w:val="clear" w:color="auto" w:fill="auto"/>
                      </w:tcPr>
                      <w:p w14:paraId="49C4047D" w14:textId="77777777">
                        <w:pPr>
                          <w:jc w:val="right"/>
                          <w:rPr>
                            <w:b/>
                            <w:bCs/>
                            <w:szCs w:val="24"/>
                          </w:rPr>
                        </w:pPr>
                        <w:r>
                          <w:rPr>
                            <w:b/>
                            <w:bCs/>
                            <w:szCs w:val="24"/>
                          </w:rPr>
                          <w:t>Iš viso</w:t>
                        </w:r>
                      </w:p>
                    </w:tc>
                    <w:tc>
                      <w:tcPr>
                        <w:tcW w:w="1416" w:type="dxa"/>
                        <w:shd w:val="clear" w:color="auto" w:fill="auto"/>
                      </w:tcPr>
                      <w:p w14:paraId="7FED049A" w14:textId="467087A4">
                        <w:pPr>
                          <w:jc w:val="center"/>
                          <w:rPr>
                            <w:b/>
                            <w:bCs/>
                            <w:szCs w:val="24"/>
                          </w:rPr>
                        </w:pPr>
                        <w:r>
                          <w:rPr>
                            <w:b/>
                            <w:bCs/>
                            <w:szCs w:val="24"/>
                          </w:rPr>
                          <w:t>223 152,4</w:t>
                        </w:r>
                      </w:p>
                    </w:tc>
                    <w:tc>
                      <w:tcPr>
                        <w:tcW w:w="1404" w:type="dxa"/>
                        <w:shd w:val="clear" w:color="auto" w:fill="auto"/>
                      </w:tcPr>
                      <w:p w14:paraId="42D675F1" w14:textId="518421C2">
                        <w:pPr>
                          <w:jc w:val="center"/>
                          <w:rPr>
                            <w:b/>
                            <w:bCs/>
                            <w:szCs w:val="24"/>
                          </w:rPr>
                        </w:pPr>
                        <w:r>
                          <w:rPr>
                            <w:b/>
                            <w:bCs/>
                            <w:szCs w:val="24"/>
                          </w:rPr>
                          <w:t>256 774,4</w:t>
                        </w:r>
                      </w:p>
                    </w:tc>
                    <w:tc>
                      <w:tcPr>
                        <w:tcW w:w="1190" w:type="dxa"/>
                        <w:shd w:val="clear" w:color="auto" w:fill="auto"/>
                      </w:tcPr>
                      <w:p w14:paraId="38776AE7" w14:textId="5F9F752C">
                        <w:pPr>
                          <w:jc w:val="center"/>
                          <w:rPr>
                            <w:b/>
                            <w:bCs/>
                            <w:szCs w:val="24"/>
                          </w:rPr>
                        </w:pPr>
                        <w:r>
                          <w:rPr>
                            <w:b/>
                            <w:bCs/>
                            <w:szCs w:val="24"/>
                          </w:rPr>
                          <w:t>272 118,5</w:t>
                        </w:r>
                      </w:p>
                    </w:tc>
                    <w:tc>
                      <w:tcPr>
                        <w:tcW w:w="1337" w:type="dxa"/>
                        <w:shd w:val="clear" w:color="auto" w:fill="auto"/>
                      </w:tcPr>
                      <w:p w14:paraId="584CFD47" w14:textId="5BF57D0D">
                        <w:pPr>
                          <w:jc w:val="center"/>
                          <w:rPr>
                            <w:b/>
                            <w:bCs/>
                            <w:szCs w:val="24"/>
                          </w:rPr>
                        </w:pPr>
                        <w:r>
                          <w:rPr>
                            <w:b/>
                            <w:bCs/>
                            <w:szCs w:val="24"/>
                          </w:rPr>
                          <w:t>48 966,1</w:t>
                        </w:r>
                      </w:p>
                    </w:tc>
                    <w:tc>
                      <w:tcPr>
                        <w:tcW w:w="1324" w:type="dxa"/>
                        <w:shd w:val="clear" w:color="auto" w:fill="auto"/>
                      </w:tcPr>
                      <w:p w14:paraId="1C9D7313" w14:textId="645180EC">
                        <w:pPr>
                          <w:jc w:val="center"/>
                          <w:rPr>
                            <w:b/>
                            <w:bCs/>
                            <w:szCs w:val="24"/>
                          </w:rPr>
                        </w:pPr>
                        <w:r>
                          <w:rPr>
                            <w:b/>
                            <w:bCs/>
                            <w:szCs w:val="24"/>
                          </w:rPr>
                          <w:t>15 344,1</w:t>
                        </w:r>
                      </w:p>
                    </w:tc>
                  </w:tr>
                </w:tbl>
                <w:p w14:paraId="40B665EB" w14:textId="77777777">
                  <w:pPr>
                    <w:jc w:val="both"/>
                    <w:rPr>
                      <w:sz w:val="16"/>
                      <w:szCs w:val="16"/>
                    </w:rPr>
                  </w:pPr>
                </w:p>
                <w:p w14:paraId="48DE5373" w14:textId="1A63E3AD">
                  <w:pPr>
                    <w:ind w:firstLine="720"/>
                    <w:jc w:val="both"/>
                    <w:rPr>
                      <w:szCs w:val="24"/>
                    </w:rPr>
                  </w:pPr>
                  <w:r>
                    <w:rPr>
                      <w:szCs w:val="24"/>
                    </w:rPr>
                    <w:t xml:space="preserve">Šiaulių miesto savivaldybės 2024 metų biudžeto projekto asignavimų didžiausia dalis –  47,9 proc. – tenka Švietimo prieinamumo ir kokybės užtikrinimo programai. Miesto infrastruktūros objektų priežiūros, modernizavimo ir plėtros programai tenka apie 13,9 proc. Socialinės paramos įgyvendinimo programai ir Savivaldybės veiklos programai tenka po 10,5 proc. nuo visų biudžeto asignavimų. </w:t>
                  </w:r>
                </w:p>
                <w:p w14:paraId="72E0D768" w14:textId="5FB71CEA">
                  <w:pPr>
                    <w:tabs>
                      <w:tab w:val="left" w:pos="567"/>
                    </w:tabs>
                    <w:ind w:firstLine="567"/>
                    <w:jc w:val="both"/>
                  </w:pPr>
                  <w:r>
                    <w:rPr>
                      <w:b/>
                      <w:szCs w:val="24"/>
                      <w:shd w:val="clear" w:color="auto" w:fill="FFFFFF"/>
                    </w:rPr>
                    <w:t xml:space="preserve">Priėmus sprendimą, galimos pasekmės. </w:t>
                  </w:r>
                  <w:r>
                    <w:rPr>
                      <w:color w:val="000000"/>
                    </w:rPr>
                    <w:t xml:space="preserve">Teigiamos – paskirstomi asignavimai programoms, numatytoms </w:t>
                  </w:r>
                  <w:r>
                    <w:t>Šiaulių miesto savivaldybės 2024–2026 metų strateginiame veiklos plane,</w:t>
                  </w:r>
                  <w:r>
                    <w:rPr>
                      <w:szCs w:val="24"/>
                    </w:rPr>
                    <w:t xml:space="preserve"> kuriam pritarė Strateginė plėtros taryba</w:t>
                  </w:r>
                  <w:r>
                    <w:t xml:space="preserve"> vykdyti pagal Šiaulių miesto savivaldybės 2024 metų biudžeto finansines galimybes. Neigiamos – nenumatoma. </w:t>
                  </w:r>
                </w:p>
                <w:p w14:paraId="1BFA75D1" w14:textId="458D6F1A">
                  <w:pPr>
                    <w:tabs>
                      <w:tab w:val="left" w:pos="855"/>
                    </w:tabs>
                    <w:ind w:firstLine="567"/>
                    <w:jc w:val="both"/>
                    <w:rPr>
                      <w:color w:val="000000"/>
                    </w:rPr>
                  </w:pPr>
                  <w:r>
                    <w:rPr>
                      <w:b/>
                      <w:color w:val="000000"/>
                    </w:rPr>
                    <w:t>Sprendimui įgyvendinti reikalingos lėšos.</w:t>
                  </w:r>
                  <w:r>
                    <w:rPr>
                      <w:color w:val="000000"/>
                    </w:rPr>
                    <w:t xml:space="preserve"> Savivaldybės biudžeto pajamų iš kitų finansavimo šaltinių lėšos.</w:t>
                  </w:r>
                </w:p>
                <w:p w14:paraId="3CD142E0" w14:textId="05C2E184">
                  <w:pPr>
                    <w:tabs>
                      <w:tab w:val="left" w:pos="855"/>
                    </w:tabs>
                    <w:ind w:firstLine="567"/>
                    <w:jc w:val="both"/>
                    <w:rPr>
                      <w:szCs w:val="24"/>
                    </w:rPr>
                  </w:pPr>
                  <w:r>
                    <w:rPr>
                      <w:b/>
                      <w:szCs w:val="24"/>
                      <w:shd w:val="clear" w:color="auto" w:fill="FFFFFF"/>
                    </w:rPr>
                    <w:t>Priėmus sprendimą, keičiami ar pripažįstami negaliojančiais teisės aktai</w:t>
                  </w:r>
                  <w:r>
                    <w:rPr>
                      <w:b/>
                      <w:szCs w:val="24"/>
                    </w:rPr>
                    <w:t xml:space="preserve">. </w:t>
                  </w:r>
                  <w:r>
                    <w:rPr>
                      <w:szCs w:val="24"/>
                    </w:rPr>
                    <w:t>Nėra.</w:t>
                  </w:r>
                </w:p>
                <w:p w14:paraId="1ABEC96F" w14:textId="7606B45B">
                  <w:pPr>
                    <w:ind w:firstLine="567"/>
                    <w:jc w:val="both"/>
                    <w:rPr>
                      <w:lang w:eastAsia="ar-SA"/>
                    </w:rPr>
                  </w:pPr>
                  <w:r>
                    <w:rPr>
                      <w:b/>
                      <w:bCs/>
                    </w:rPr>
                    <w:t>Sprendimui įgyvendinti reikalingi priimti papildomi teisės aktai:</w:t>
                  </w:r>
                  <w:r>
                    <w:t xml:space="preserve"> Savivaldybės mero patvirtinti savivaldybės biudžeto pajamų ir programų finansavimo bei programų vykdytojų veiklos planai. </w:t>
                  </w:r>
                </w:p>
                <w:p w14:paraId="5C2A38FE" w14:textId="4565ADE1">
                  <w:pPr>
                    <w:tabs>
                      <w:tab w:val="left" w:pos="1296"/>
                    </w:tabs>
                    <w:ind w:firstLine="567"/>
                    <w:jc w:val="both"/>
                    <w:rPr>
                      <w:szCs w:val="24"/>
                      <w:shd w:val="clear" w:color="auto" w:fill="FFFFFF"/>
                    </w:rPr>
                  </w:pPr>
                  <w:r>
                    <w:rPr>
                      <w:b/>
                      <w:szCs w:val="24"/>
                      <w:shd w:val="clear" w:color="auto" w:fill="FFFFFF"/>
                    </w:rPr>
                    <w:t xml:space="preserve">Sprendimo projekto antikorupcinis vertinimas. </w:t>
                  </w:r>
                  <w:r>
                    <w:rPr>
                      <w:rFonts w:eastAsia="Calibri"/>
                      <w:szCs w:val="24"/>
                    </w:rPr>
                    <w:t>Vertinimas neatliekamas.</w:t>
                  </w:r>
                </w:p>
                <w:p w14:paraId="2B608DC3" w14:textId="405A6C40">
                  <w:pPr>
                    <w:tabs>
                      <w:tab w:val="left" w:pos="1296"/>
                    </w:tabs>
                    <w:ind w:firstLine="540"/>
                    <w:jc w:val="both"/>
                  </w:pPr>
                  <w:r>
                    <w:rPr>
                      <w:b/>
                      <w:szCs w:val="24"/>
                      <w:shd w:val="clear" w:color="auto" w:fill="FFFFFF"/>
                    </w:rPr>
                    <w:t>Sprendimo projektą parengė</w:t>
                  </w:r>
                  <w:r>
                    <w:rPr>
                      <w:szCs w:val="24"/>
                      <w:shd w:val="clear" w:color="auto" w:fill="FFFFFF"/>
                    </w:rPr>
                    <w:t xml:space="preserve"> </w:t>
                  </w:r>
                  <w:r>
                    <w:rPr>
                      <w:lang w:eastAsia="ar-SA"/>
                    </w:rPr>
                    <w:t>Strateginio planavimo ir finansų skyrius</w:t>
                  </w:r>
                  <w:r>
                    <w:rPr>
                      <w:szCs w:val="24"/>
                      <w:shd w:val="clear" w:color="auto" w:fill="FFFFFF"/>
                    </w:rPr>
                    <w:t xml:space="preserve">. Tiesioginis rengėjas – </w:t>
                  </w:r>
                  <w:r>
                    <w:rPr>
                      <w:lang w:eastAsia="ar-SA"/>
                    </w:rPr>
                    <w:t xml:space="preserve">skyriaus vedėja Vaida Kalasevičienė, tel. 38 34 27, skyriaus patarėja </w:t>
                  </w:r>
                  <w:r>
                    <w:t xml:space="preserve">Irena Paliulytė, tel. 59 62 71, vyr. specialistė Dovilė Jozonienė, tel. 59 62 73, vyr. specialistė Janina Rusteikienė, tel. 59 62 93, vyr. specialistė Greta Kačinskienė, tel. 59 62 75. </w:t>
                  </w:r>
                </w:p>
                <w:p w14:paraId="00AD0DE0" w14:textId="77777777">
                  <w:pPr>
                    <w:tabs>
                      <w:tab w:val="left" w:pos="855"/>
                    </w:tabs>
                    <w:ind w:firstLine="567"/>
                    <w:jc w:val="both"/>
                    <w:rPr>
                      <w:rFonts w:eastAsia="Calibri"/>
                      <w:szCs w:val="24"/>
                    </w:rPr>
                  </w:pPr>
                  <w:r>
                    <w:rPr>
                      <w:b/>
                      <w:szCs w:val="24"/>
                      <w:shd w:val="clear" w:color="auto" w:fill="FFFFFF"/>
                    </w:rPr>
                    <w:t>N</w:t>
                  </w:r>
                  <w:r>
                    <w:rPr>
                      <w:rFonts w:eastAsia="Calibri"/>
                      <w:b/>
                      <w:szCs w:val="24"/>
                    </w:rPr>
                    <w:t xml:space="preserve">umatomo teisinio reguliavimo poveikio vertinimo rezultatai. </w:t>
                  </w:r>
                  <w:r>
                    <w:rPr>
                      <w:rFonts w:eastAsia="Calibri"/>
                      <w:szCs w:val="24"/>
                    </w:rPr>
                    <w:t>Vertinimas neatliekamas.</w:t>
                  </w:r>
                </w:p>
                <w:p w14:paraId="09F9F430" w14:textId="28071859">
                  <w:pPr>
                    <w:tabs>
                      <w:tab w:val="left" w:pos="855"/>
                    </w:tabs>
                    <w:ind w:firstLine="567"/>
                    <w:jc w:val="both"/>
                    <w:rPr>
                      <w:rFonts w:eastAsia="Calibri"/>
                      <w:szCs w:val="24"/>
                    </w:rPr>
                  </w:pPr>
                </w:p>
                <w:p w14:paraId="333DDC7C" w14:textId="674045D4">
                  <w:pPr>
                    <w:tabs>
                      <w:tab w:val="left" w:pos="855"/>
                    </w:tabs>
                    <w:ind w:firstLine="567"/>
                    <w:jc w:val="both"/>
                    <w:rPr>
                      <w:rFonts w:eastAsia="Calibri"/>
                      <w:szCs w:val="24"/>
                    </w:rPr>
                  </w:pPr>
                </w:p>
                <w:p w14:paraId="27C3CC7B" w14:textId="1D8844D5">
                  <w:pPr>
                    <w:tabs>
                      <w:tab w:val="left" w:pos="855"/>
                    </w:tabs>
                    <w:ind w:firstLine="567"/>
                    <w:jc w:val="both"/>
                    <w:rPr>
                      <w:rFonts w:eastAsia="Calibri"/>
                      <w:szCs w:val="24"/>
                    </w:rPr>
                  </w:pPr>
                </w:p>
                <w:p w14:paraId="0FC5510F" w14:textId="77777777">
                  <w:pPr>
                    <w:tabs>
                      <w:tab w:val="left" w:pos="855"/>
                    </w:tabs>
                    <w:ind w:firstLine="567"/>
                    <w:jc w:val="both"/>
                    <w:rPr>
                      <w:rFonts w:eastAsia="Calibri"/>
                      <w:szCs w:val="24"/>
                    </w:rPr>
                  </w:pPr>
                </w:p>
                <w:p w14:paraId="215452D0" w14:textId="77777777">
                  <w:pPr>
                    <w:tabs>
                      <w:tab w:val="left" w:pos="855"/>
                    </w:tabs>
                    <w:jc w:val="both"/>
                    <w:rPr>
                      <w:rFonts w:eastAsia="Calibri"/>
                      <w:szCs w:val="24"/>
                    </w:rPr>
                  </w:pPr>
                </w:p>
              </w:sdtContent>
            </w:sdt>
          </w:sdtContent>
        </w:sdt>
        <w:sdt>
          <w:sdtPr>
            <w:alias w:val="signatura"/>
            <w:tag w:val="part_ed7feea86107499cb93e50ed9db78503"/>
            <w:lock w:val="sdtLocked"/>
            <w:richText/>
          </w:sdtPr>
          <w:sdtContent>
            <w:p w14:paraId="1BFB3B13" w14:textId="2E972505">
              <w:pPr>
                <w:tabs>
                  <w:tab w:val="left" w:pos="855"/>
                </w:tabs>
                <w:jc w:val="both"/>
                <w:rPr>
                  <w:lang w:eastAsia="ar-SA"/>
                </w:rPr>
              </w:pPr>
              <w:r>
                <w:rPr>
                  <w:lang w:eastAsia="ar-SA"/>
                </w:rPr>
                <w:t xml:space="preserve">Strateginio planavimo ir finansų skyriaus vedėja    </w:t>
                <w:tab/>
                <w:tab/>
                <w:t xml:space="preserve">                   Vaida Kalasevičienė</w:t>
              </w:r>
            </w:p>
            <w:p w14:paraId="101619A7" w14:textId="77777777">
              <w:pPr>
                <w:tabs>
                  <w:tab w:val="left" w:pos="855"/>
                </w:tabs>
                <w:ind w:firstLine="567"/>
                <w:jc w:val="both"/>
                <w:rPr>
                  <w:rFonts w:eastAsia="Calibri"/>
                  <w:szCs w:val="24"/>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C1B3136" w14:textId="77777777">
      <w:r>
        <w:separator/>
      </w:r>
    </w:p>
  </w:endnote>
  <w:endnote w:type="continuationSeparator" w:id="0">
    <w:p w14:paraId="61E3B637"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5C6390" w14:textId="77777777">
    <w:pPr>
      <w:tabs>
        <w:tab w:val="center" w:pos="4819"/>
        <w:tab w:val="right" w:pos="9638"/>
      </w:tabs>
      <w:rPr>
        <w:lang w:val="x-none"/>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6CC7A5" w14:textId="77777777">
    <w:pPr>
      <w:tabs>
        <w:tab w:val="center" w:pos="4819"/>
        <w:tab w:val="right" w:pos="9638"/>
      </w:tabs>
      <w:rPr>
        <w:lang w:val="x-none"/>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8C5E5E" w14:textId="77777777">
    <w:pPr>
      <w:tabs>
        <w:tab w:val="center" w:pos="4819"/>
        <w:tab w:val="right" w:pos="9638"/>
      </w:tabs>
      <w:rPr>
        <w:lang w:val="x-none"/>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4CA809E" w14:textId="77777777">
      <w:r>
        <w:separator/>
      </w:r>
    </w:p>
  </w:footnote>
  <w:footnote w:type="continuationSeparator" w:id="0">
    <w:p w14:paraId="1BD727CD"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E55B1C" w14:textId="77777777">
    <w:pPr>
      <w:framePr w:wrap="auto" w:vAnchor="text" w:hAnchor="margin" w:xAlign="center" w:y="1"/>
      <w:tabs>
        <w:tab w:val="center" w:pos="4153"/>
        <w:tab w:val="right" w:pos="8306"/>
      </w:tabs>
      <w:rPr>
        <w:lang w:val="x-none"/>
      </w:rPr>
    </w:pPr>
    <w:r>
      <w:rPr>
        <w:lang w:val="x-none"/>
      </w:rPr>
      <w:fldChar w:fldCharType="begin"/>
    </w:r>
    <w:r>
      <w:rPr>
        <w:lang w:val="x-none"/>
      </w:rPr>
      <w:instrText xml:space="preserve">PAGE  </w:instrText>
    </w:r>
    <w:r>
      <w:rPr>
        <w:lang w:val="x-none"/>
      </w:rPr>
      <w:fldChar w:fldCharType="end"/>
    </w:r>
  </w:p>
  <w:p w14:paraId="48E4EF1A" w14:textId="77777777">
    <w:pPr>
      <w:tabs>
        <w:tab w:val="center" w:pos="4153"/>
        <w:tab w:val="right" w:pos="8306"/>
      </w:tabs>
      <w:rPr>
        <w:lang w:val="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B6954C" w14:textId="77777777">
    <w:pPr>
      <w:tabs>
        <w:tab w:val="center" w:pos="4153"/>
        <w:tab w:val="right" w:pos="8306"/>
      </w:tabs>
      <w:jc w:val="center"/>
      <w:rPr>
        <w:lang w:val="x-none"/>
      </w:rPr>
    </w:pPr>
    <w:r>
      <w:rPr>
        <w:lang w:val="x-none"/>
      </w:rPr>
      <w:fldChar w:fldCharType="begin"/>
    </w:r>
    <w:r>
      <w:rPr>
        <w:lang w:val="x-none"/>
      </w:rPr>
      <w:instrText>PAGE   \* MERGEFORMAT</w:instrText>
    </w:r>
    <w:r>
      <w:rPr>
        <w:lang w:val="x-none"/>
      </w:rPr>
      <w:fldChar w:fldCharType="separate"/>
    </w:r>
    <w:r>
      <w:t>4</w:t>
    </w:r>
    <w:r>
      <w:rPr>
        <w:lang w:val="x-none"/>
      </w:rPr>
      <w:fldChar w:fldCharType="end"/>
    </w:r>
  </w:p>
  <w:p w14:paraId="1A8A83D7" w14:textId="77777777">
    <w:pPr>
      <w:tabs>
        <w:tab w:val="center" w:pos="4153"/>
        <w:tab w:val="right" w:pos="8306"/>
      </w:tabs>
      <w:rPr>
        <w:lang w:val="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CBA949" w14:textId="77777777">
    <w:pPr>
      <w:tabs>
        <w:tab w:val="center" w:pos="4153"/>
        <w:tab w:val="right" w:pos="8306"/>
      </w:tabs>
      <w:rPr>
        <w:lang w:val="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34E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481D32"/>
  <w15:docId w15:val="{4AD0EC1D-9B8A-45B0-964E-98396276B9F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9477372">
      <w:bodyDiv w:val="1"/>
      <w:marLeft w:val="0"/>
      <w:marRight w:val="0"/>
      <w:marTop w:val="0"/>
      <w:marBottom w:val="0"/>
      <w:divBdr>
        <w:top w:val="none" w:sz="0" w:space="0" w:color="auto"/>
        <w:left w:val="none" w:sz="0" w:space="0" w:color="auto"/>
        <w:bottom w:val="none" w:sz="0" w:space="0" w:color="auto"/>
        <w:right w:val="none" w:sz="0" w:space="0" w:color="auto"/>
      </w:divBdr>
    </w:div>
    <w:div w:id="520776142">
      <w:bodyDiv w:val="1"/>
      <w:marLeft w:val="0"/>
      <w:marRight w:val="0"/>
      <w:marTop w:val="0"/>
      <w:marBottom w:val="0"/>
      <w:divBdr>
        <w:top w:val="none" w:sz="0" w:space="0" w:color="auto"/>
        <w:left w:val="none" w:sz="0" w:space="0" w:color="auto"/>
        <w:bottom w:val="none" w:sz="0" w:space="0" w:color="auto"/>
        <w:right w:val="none" w:sz="0" w:space="0" w:color="auto"/>
      </w:divBdr>
    </w:div>
    <w:div w:id="600527011">
      <w:bodyDiv w:val="1"/>
      <w:marLeft w:val="0"/>
      <w:marRight w:val="0"/>
      <w:marTop w:val="0"/>
      <w:marBottom w:val="0"/>
      <w:divBdr>
        <w:top w:val="none" w:sz="0" w:space="0" w:color="auto"/>
        <w:left w:val="none" w:sz="0" w:space="0" w:color="auto"/>
        <w:bottom w:val="none" w:sz="0" w:space="0" w:color="auto"/>
        <w:right w:val="none" w:sz="0" w:space="0" w:color="auto"/>
      </w:divBdr>
    </w:div>
    <w:div w:id="843790038">
      <w:bodyDiv w:val="1"/>
      <w:marLeft w:val="0"/>
      <w:marRight w:val="0"/>
      <w:marTop w:val="0"/>
      <w:marBottom w:val="0"/>
      <w:divBdr>
        <w:top w:val="none" w:sz="0" w:space="0" w:color="auto"/>
        <w:left w:val="none" w:sz="0" w:space="0" w:color="auto"/>
        <w:bottom w:val="none" w:sz="0" w:space="0" w:color="auto"/>
        <w:right w:val="none" w:sz="0" w:space="0" w:color="auto"/>
      </w:divBdr>
    </w:div>
    <w:div w:id="985429590">
      <w:bodyDiv w:val="1"/>
      <w:marLeft w:val="0"/>
      <w:marRight w:val="0"/>
      <w:marTop w:val="0"/>
      <w:marBottom w:val="0"/>
      <w:divBdr>
        <w:top w:val="none" w:sz="0" w:space="0" w:color="auto"/>
        <w:left w:val="none" w:sz="0" w:space="0" w:color="auto"/>
        <w:bottom w:val="none" w:sz="0" w:space="0" w:color="auto"/>
        <w:right w:val="none" w:sz="0" w:space="0" w:color="auto"/>
      </w:divBdr>
    </w:div>
    <w:div w:id="1687244793">
      <w:bodyDiv w:val="1"/>
      <w:marLeft w:val="0"/>
      <w:marRight w:val="0"/>
      <w:marTop w:val="0"/>
      <w:marBottom w:val="0"/>
      <w:divBdr>
        <w:top w:val="none" w:sz="0" w:space="0" w:color="auto"/>
        <w:left w:val="none" w:sz="0" w:space="0" w:color="auto"/>
        <w:bottom w:val="none" w:sz="0" w:space="0" w:color="auto"/>
        <w:right w:val="none" w:sz="0" w:space="0" w:color="auto"/>
      </w:divBdr>
    </w:div>
    <w:div w:id="1832720831">
      <w:bodyDiv w:val="1"/>
      <w:marLeft w:val="0"/>
      <w:marRight w:val="0"/>
      <w:marTop w:val="0"/>
      <w:marBottom w:val="0"/>
      <w:divBdr>
        <w:top w:val="none" w:sz="0" w:space="0" w:color="auto"/>
        <w:left w:val="none" w:sz="0" w:space="0" w:color="auto"/>
        <w:bottom w:val="none" w:sz="0" w:space="0" w:color="auto"/>
        <w:right w:val="none" w:sz="0" w:space="0" w:color="auto"/>
      </w:divBdr>
    </w:div>
    <w:div w:id="1970670721">
      <w:bodyDiv w:val="1"/>
      <w:marLeft w:val="0"/>
      <w:marRight w:val="0"/>
      <w:marTop w:val="0"/>
      <w:marBottom w:val="0"/>
      <w:divBdr>
        <w:top w:val="none" w:sz="0" w:space="0" w:color="auto"/>
        <w:left w:val="none" w:sz="0" w:space="0" w:color="auto"/>
        <w:bottom w:val="none" w:sz="0" w:space="0" w:color="auto"/>
        <w:right w:val="none" w:sz="0" w:space="0" w:color="auto"/>
      </w:divBdr>
    </w:div>
    <w:div w:id="20573894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ffcdc3310a554944acfd18ce946493ff" PartId="98f268ffde01471db55d43a771c6daf7">
    <Part Type="skyrius" Nr="999" Title="SPRENDIMO „DĖL ŠIAULIŲ MIESTO SAVIVALDYBĖS 2024 METŲ BIUDŽETO PATVIRTINIMO“ PROJEKTO AIŠKINAMASIS RAŠTAS" DocPartId="01fe93d1d2f8458187f3374272f52ee1" PartId="4247fefbdccf4fce8600f41b8c491664">
      <Part Type="poskyris" Title="Parengto sprendimo projekto tikslas ir uždaviniai." DocPartId="099149076e4b4657a49f5d671771fb07" PartId="34ac114f827b448bb95cbd96c3db12ff"/>
      <Part Type="poskyris" Title="Šiuo metu galiojančios teisinio reguliavimo nuostatos." DocPartId="d8eb04c9033b48178a49e3db1dccdb6f" PartId="277c8b120a544caf87030dc27a70cd60"/>
      <Part Type="poskyris" Title="Šiaulių miesto savivaldybės 2024 metų biudžeto pajamos ir kiti finansavimo šaltiniai" DocPartId="3f64b75e461846018fb06bb0163326a4" PartId="f354a6a89f9044a98168c2734bdc9357"/>
      <Part Type="poskyris" Title="Šiaulių miesto savivaldybės 2024 metų biudžeto pajamos ir kiti finansavimo šaltiniai" DocPartId="8091bb8bef5b46c5ac40a5cbf5bb2b98" PartId="12fa71b95892404d82566748561ce997"/>
      <Part Type="poskyris" Title="Šiaulių miesto savivaldybės 2024 metų biudžeto asignavimai" DocPartId="bf403dcef55e4238adcb3ebcde62a8fb" PartId="64cd4c34d32444adbf35b77a950ec159"/>
    </Part>
    <Part Type="signatura" DocPartId="04a234927c5947f3af77f0be8e57b9d2" PartId="ed7feea86107499cb93e50ed9db78503"/>
  </Part>
</Parts>
</file>

<file path=customXml/itemProps1.xml><?xml version="1.0" encoding="utf-8"?>
<ds:datastoreItem xmlns:ds="http://schemas.openxmlformats.org/officeDocument/2006/customXml" ds:itemID="{5F8DE82C-4FC3-4307-9AD4-FFFA04F0C769}">
  <ds:schemaRefs>
    <ds:schemaRef ds:uri="http://schemas.openxmlformats.org/officeDocument/2006/bibliography"/>
  </ds:schemaRefs>
</ds:datastoreItem>
</file>

<file path=customXml/itemProps2.xml><?xml version="1.0" encoding="utf-8"?>
<ds:datastoreItem xmlns:ds="http://schemas.openxmlformats.org/officeDocument/2006/customXml" ds:itemID="{4C507B16-DB49-400A-B6DE-5EC940ECD72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1789</Words>
  <Characters>11128</Characters>
  <Application>Microsoft Office Word</Application>
  <DocSecurity>4</DocSecurity>
  <Lines>337</Lines>
  <Paragraphs>226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12691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2024-01-17T16:22:00Z</dcterms:created>
  <dc:creator>Irmina Volskienė</dc:creator>
  <lastModifiedBy>adlibuser</lastModifiedBy>
  <lastPrinted>2023-01-16T05:26:00Z</lastPrinted>
  <dcterms:modified xsi:type="dcterms:W3CDTF">2024-01-17T16:22:00Z</dcterms:modified>
  <revision>2</revision>
</coreProperties>
</file>