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ad4bcccb6a47908994aa50a3dad3b1"/>
        <w:lock w:val="sdtLocked"/>
        <w:richText/>
      </w:sdtPr>
      <w:sdtContent>
        <w:p>
          <w:pPr>
            <w:tabs>
              <w:tab w:val="center" w:pos="4819"/>
              <w:tab w:val="right" w:pos="9638"/>
            </w:tabs>
          </w:pPr>
        </w:p>
        <w:p>
          <w:pPr>
            <w:jc w:val="center"/>
            <w:rPr>
              <w:b/>
              <w:color w:val="000000"/>
              <w:sz w:val="22"/>
              <w:szCs w:val="22"/>
            </w:rPr>
          </w:pPr>
          <w:r>
            <w:rPr>
              <w:b/>
              <w:color w:val="000000"/>
              <w:sz w:val="22"/>
              <w:szCs w:val="22"/>
            </w:rPr>
            <w:t>NUMATOMO TEISINIO REGULIAVIMO POVEIKIO VERTINIMO PAŽYMA</w:t>
          </w:r>
        </w:p>
        <w:p>
          <w:pPr>
            <w:rPr>
              <w:b/>
              <w:color w:val="0000FF"/>
              <w:sz w:val="22"/>
              <w:szCs w:val="22"/>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Cs w:val="24"/>
                    <w:shd w:val="clear" w:color="auto" w:fill="DBE5F1"/>
                  </w:rPr>
                </w:pPr>
                <w:r>
                  <w:rPr>
                    <w:b/>
                    <w:szCs w:val="24"/>
                    <w:shd w:val="clear" w:color="auto" w:fill="DBE5F1"/>
                  </w:rPr>
                  <w:t>Projekto pavadinimas</w:t>
                </w:r>
              </w:p>
            </w:tc>
            <w:tc>
              <w:tcPr>
                <w:tcW w:w="7337" w:type="dxa"/>
                <w:shd w:val="clear" w:color="auto" w:fill="DBE5F1"/>
              </w:tcPr>
              <w:p>
                <w:pPr>
                  <w:jc w:val="both"/>
                  <w:rPr>
                    <w:szCs w:val="24"/>
                  </w:rPr>
                </w:pPr>
                <w:r>
                  <w:t xml:space="preserve">Lietuvos Respublikos </w:t>
                </w:r>
                <w:r>
                  <w:rPr>
                    <w:bCs/>
                  </w:rPr>
                  <w:t>atsinaujinančių išteklių energetikos įstatymo Nr. XI-1375 1, 2, 3, 5, 11, 13, 14, 16, 18, 20, 20</w:t>
                </w:r>
                <w:r>
                  <w:rPr>
                    <w:bCs/>
                    <w:vertAlign w:val="superscript"/>
                  </w:rPr>
                  <w:t>1</w:t>
                </w:r>
                <w:r>
                  <w:rPr>
                    <w:bCs/>
                  </w:rPr>
                  <w:t>, 21, 22, 23, 26, 29, 49, 50, 55, 56, 57, 63 straipsnių, dvyliktojo skirsnio pavadinimo pakeitimo, 54 straipsnio pripažinimo netekusiu galios ir Įstatymo papildymo 15</w:t>
                </w:r>
                <w:r>
                  <w:rPr>
                    <w:bCs/>
                    <w:vertAlign w:val="superscript"/>
                  </w:rPr>
                  <w:t>1</w:t>
                </w:r>
                <w:r>
                  <w:rPr>
                    <w:bCs/>
                  </w:rPr>
                  <w:t xml:space="preserve"> straipsniu įstatymo Nr. XIV-1001 10 ir 15 straipsnių pakeitimo įstatymo projektas, </w:t>
                </w:r>
                <w:r>
                  <w:t>Lietuvos Respublikos atsinaujinančių išteklių energetikos įstatymo Nr. XI-1375 5 straipsnio pakeitimo ir Įstatymo papildymo 22</w:t>
                </w:r>
                <w:r>
                  <w:rPr>
                    <w:vertAlign w:val="superscript"/>
                  </w:rPr>
                  <w:t>1</w:t>
                </w:r>
                <w:r>
                  <w:t xml:space="preserve"> straipsniu įstatymo projektas, Lietuvos Respublikos</w:t>
                </w:r>
                <w:r>
                  <w:rPr>
                    <w:b/>
                    <w:bCs/>
                    <w:caps/>
                  </w:rPr>
                  <w:t xml:space="preserve"> </w:t>
                </w:r>
                <w:r>
                  <w:t>atsinaujinančių išteklių energetikos įstatymo Nr. XI-1375 2, 3, 5, 6, 11, 13, 14, 20</w:t>
                </w:r>
                <w:r>
                  <w:rPr>
                    <w:vertAlign w:val="superscript"/>
                  </w:rPr>
                  <w:t>1</w:t>
                </w:r>
                <w:r>
                  <w:t>, 20</w:t>
                </w:r>
                <w:r>
                  <w:rPr>
                    <w:vertAlign w:val="superscript"/>
                  </w:rPr>
                  <w:t>2</w:t>
                </w:r>
                <w:r>
                  <w:t>, 22, 30, 32, 48, 49, 51 straipsnių pakeitimo ir Įstatymo papildymo 13</w:t>
                </w:r>
                <w:r>
                  <w:rPr>
                    <w:vertAlign w:val="superscript"/>
                  </w:rPr>
                  <w:t>1</w:t>
                </w:r>
                <w:r>
                  <w:t>, 20</w:t>
                </w:r>
                <w:r>
                  <w:rPr>
                    <w:vertAlign w:val="superscript"/>
                  </w:rPr>
                  <w:t>3</w:t>
                </w:r>
                <w:r>
                  <w:t xml:space="preserve"> straipsniais įstatymo Nr. XIV-1169 7 straipsnio pakeitimo įstatymo projektas</w:t>
                </w:r>
                <w:r>
                  <w:rPr>
                    <w:b/>
                    <w:bCs/>
                  </w:rPr>
                  <w:t xml:space="preserve"> </w:t>
                </w:r>
                <w:r>
                  <w:t xml:space="preserve">ir Lietuvos Respublikos elektros energetikos įstatymo </w:t>
                  <w:br/>
                  <w:t xml:space="preserve">Nr. VIII-1881 </w:t>
                </w:r>
                <w:r>
                  <w:rPr>
                    <w:lang w:val="en-US"/>
                  </w:rPr>
                  <w:t xml:space="preserve">16, </w:t>
                </w:r>
                <w:r>
                  <w:t>21</w:t>
                </w:r>
                <w:r>
                  <w:rPr>
                    <w:vertAlign w:val="superscript"/>
                  </w:rPr>
                  <w:t>1</w:t>
                </w:r>
                <w:r>
                  <w:t>, 22, 31 ir 73</w:t>
                </w:r>
                <w:r>
                  <w:rPr>
                    <w:vertAlign w:val="superscript"/>
                  </w:rPr>
                  <w:t>2</w:t>
                </w:r>
                <w:r>
                  <w:t xml:space="preserve"> straipsnių pakeitimo įstatymo projektas </w:t>
                </w:r>
                <w:r>
                  <w:rPr>
                    <w:color w:val="000000"/>
                  </w:rPr>
                  <w:t>(toliau – Įstatymų projektai).</w:t>
                </w:r>
              </w:p>
            </w:tc>
          </w:tr>
        </w:tbl>
        <w:p>
          <w:pPr>
            <w:rPr>
              <w:szCs w:val="24"/>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Cs w:val="24"/>
                  </w:rPr>
                </w:pPr>
                <w:r>
                  <w:rPr>
                    <w:b/>
                    <w:szCs w:val="24"/>
                    <w:shd w:val="clear" w:color="auto" w:fill="DBE5F1"/>
                  </w:rPr>
                  <w:t>Projekto rengėjas</w:t>
                </w:r>
              </w:p>
            </w:tc>
            <w:tc>
              <w:tcPr>
                <w:tcW w:w="7337" w:type="dxa"/>
                <w:shd w:val="clear" w:color="auto" w:fill="DBE5F1"/>
                <w:hideMark/>
              </w:tcPr>
              <w:p>
                <w:pPr>
                  <w:jc w:val="both"/>
                  <w:rPr>
                    <w:b/>
                    <w:szCs w:val="24"/>
                  </w:rPr>
                </w:pPr>
                <w:r>
                  <w:rPr>
                    <w:szCs w:val="24"/>
                  </w:rPr>
                  <w:t>Lietuvos Respublikos energetikos ministerija</w:t>
                </w:r>
              </w:p>
            </w:tc>
          </w:tr>
        </w:tbl>
        <w:p>
          <w:pPr>
            <w:rPr>
              <w:szCs w:val="24"/>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b/>
                    <w:szCs w:val="24"/>
                  </w:rPr>
                </w:pPr>
                <w:r>
                  <w:rPr>
                    <w:b/>
                    <w:szCs w:val="24"/>
                  </w:rPr>
                  <w:t>Projekto tikslas</w:t>
                </w:r>
              </w:p>
            </w:tc>
            <w:tc>
              <w:tcPr>
                <w:tcW w:w="7337" w:type="dxa"/>
                <w:shd w:val="clear" w:color="auto" w:fill="DBE5F1"/>
                <w:hideMark/>
              </w:tcPr>
              <w:p>
                <w:pPr>
                  <w:rPr>
                    <w:sz w:val="10"/>
                    <w:szCs w:val="10"/>
                  </w:rPr>
                </w:pPr>
              </w:p>
              <w:p>
                <w:pPr>
                  <w:jc w:val="both"/>
                  <w:rPr>
                    <w:szCs w:val="24"/>
                  </w:rPr>
                </w:pPr>
                <w:r>
                  <w:rPr>
                    <w:szCs w:val="24"/>
                  </w:rPr>
                  <w:t>Įstatymų projektais siekiama įtvirtinti galimybę vykdyti konkursą dėl leidimo naudoti Lietuvos Respublikos teritorinės jūros ir (ar) Lietuvos Respublikos išskirtinės ekonominės zonos Baltijos jūroje dalį (dalis) (toliau – jūrinė teritorija) atsinaujinančius energijos išteklius naudojančių elektrinių plėtrai ir eksploatacijai, nes tai turėtų padėti užtikrinti</w:t>
                </w:r>
                <w:r>
                  <w:t xml:space="preserve"> spartesnę elektros energijos iš atsinaujinančių energijos išteklių gamybos pajėgumų plėtrą Lietuvos jūrinėje teritorijoje, energetinę nepriklausomybę ir energetinį saugumą.</w:t>
                </w:r>
              </w:p>
              <w:p>
                <w:pPr>
                  <w:rPr>
                    <w:sz w:val="10"/>
                    <w:szCs w:val="10"/>
                  </w:rPr>
                </w:pPr>
              </w:p>
              <w:p>
                <w:pPr>
                  <w:jc w:val="both"/>
                  <w:rPr>
                    <w:szCs w:val="24"/>
                  </w:rPr>
                </w:pPr>
              </w:p>
              <w:p>
                <w:pPr>
                  <w:jc w:val="both"/>
                  <w:rPr>
                    <w:b/>
                    <w:szCs w:val="24"/>
                  </w:rPr>
                </w:pPr>
              </w:p>
            </w:tc>
          </w:tr>
        </w:tbl>
        <w:p>
          <w:pPr>
            <w:rPr>
              <w:szCs w:val="24"/>
            </w:rPr>
          </w:pPr>
        </w:p>
        <w:tbl>
          <w:tblPr>
            <w:tblW w:w="0" w:type="auto"/>
            <w:tblLook w:val="00A0" w:firstRow="1" w:lastRow="0" w:firstColumn="1" w:lastColumn="0" w:noHBand="0" w:noVBand="0"/>
          </w:tblPr>
          <w:tblGrid>
            <w:gridCol w:w="2164"/>
            <w:gridCol w:w="7334"/>
          </w:tblGrid>
          <w:tr>
            <w:trPr>
              <w:trHeight w:val="415"/>
            </w:trPr>
            <w:tc>
              <w:tcPr>
                <w:tcW w:w="2164" w:type="dxa"/>
                <w:shd w:val="clear" w:color="auto" w:fill="DBE5F1"/>
              </w:tcPr>
              <w:p>
                <w:pPr>
                  <w:rPr>
                    <w:szCs w:val="24"/>
                  </w:rPr>
                </w:pPr>
              </w:p>
            </w:tc>
            <w:tc>
              <w:tcPr>
                <w:tcW w:w="7334" w:type="dxa"/>
                <w:shd w:val="clear" w:color="auto" w:fill="DBE5F1"/>
                <w:hideMark/>
              </w:tcPr>
              <w:p>
                <w:pPr>
                  <w:jc w:val="center"/>
                  <w:rPr>
                    <w:b/>
                    <w:szCs w:val="24"/>
                  </w:rPr>
                </w:pPr>
                <w:r>
                  <w:rPr>
                    <w:b/>
                    <w:szCs w:val="24"/>
                  </w:rPr>
                  <w:t xml:space="preserve">Siūlomo projekto poveikio įvertinimas </w:t>
                </w:r>
              </w:p>
              <w:p>
                <w:pPr>
                  <w:jc w:val="center"/>
                  <w:rPr>
                    <w:b/>
                    <w:szCs w:val="24"/>
                  </w:rPr>
                </w:pPr>
                <w:r>
                  <w:rPr>
                    <w:b/>
                    <w:szCs w:val="24"/>
                  </w:rPr>
                  <w:t>(</w:t>
                </w:r>
                <w:r>
                  <w:rPr>
                    <w:b/>
                    <w:bCs/>
                    <w:szCs w:val="24"/>
                  </w:rPr>
                  <w:t xml:space="preserve">teigiamos ir (ar) neigiamos pasekmės) </w:t>
                </w:r>
              </w:p>
            </w:tc>
          </w:tr>
        </w:tbl>
        <w:p>
          <w:pPr>
            <w:rPr>
              <w:szCs w:val="24"/>
            </w:rPr>
          </w:pPr>
        </w:p>
        <w:tbl>
          <w:tblPr>
            <w:tblW w:w="0" w:type="auto"/>
            <w:tblLook w:val="00A0" w:firstRow="1" w:lastRow="0" w:firstColumn="1" w:lastColumn="0" w:noHBand="0" w:noVBand="0"/>
          </w:tblPr>
          <w:tblGrid>
            <w:gridCol w:w="1418"/>
            <w:gridCol w:w="8080"/>
          </w:tblGrid>
          <w:tr>
            <w:tc>
              <w:tcPr>
                <w:tcW w:w="1418" w:type="dxa"/>
                <w:shd w:val="clear" w:color="auto" w:fill="DBE5F1"/>
              </w:tcPr>
              <w:p>
                <w:pPr>
                  <w:rPr>
                    <w:b/>
                    <w:szCs w:val="24"/>
                  </w:rPr>
                </w:pPr>
                <w:r>
                  <w:rPr>
                    <w:b/>
                    <w:szCs w:val="24"/>
                  </w:rPr>
                  <w:t xml:space="preserve">Poveikis atitinkamai </w:t>
                </w:r>
              </w:p>
              <w:p>
                <w:pPr>
                  <w:rPr>
                    <w:b/>
                    <w:sz w:val="22"/>
                    <w:szCs w:val="22"/>
                  </w:rPr>
                </w:pPr>
                <w:r>
                  <w:rPr>
                    <w:b/>
                    <w:szCs w:val="24"/>
                  </w:rPr>
                  <w:t>sričiai</w:t>
                </w:r>
              </w:p>
            </w:tc>
            <w:tc>
              <w:tcPr>
                <w:tcW w:w="8080" w:type="dxa"/>
              </w:tcPr>
              <w:p>
                <w:pPr>
                  <w:tabs>
                    <w:tab w:val="left" w:pos="270"/>
                  </w:tabs>
                  <w:jc w:val="both"/>
                </w:pPr>
                <w:r>
                  <w:t xml:space="preserve">Teigiamas poveikis energetikos sektoriui bus, kai Lietuvos jūrinėje teritorijoje bus įrengtos atsinaujinančius energijos išteklius naudojančios elektrinės ir jos gamins elektros energiją. Remiantis Lietuvos Respublikos energetikos ministerijos užsakymu atliktos studijos </w:t>
                </w:r>
                <w:r>
                  <w:rPr>
                    <w:iCs/>
                  </w:rPr>
                  <w:t>„Investicinės pagalbos poreikio vėjo elektrinių plėtrai Lietuvos teritorinės jūros ir (ar) Lietuvos išskirtinės ekonomikos zonos Baltijos jūroje dalyje, nustatymas ir šių elektrinių plėtros poveikio šalies ekonomikai įvertinimas“</w:t>
                </w:r>
                <w:r>
                  <w:rPr>
                    <w:iCs/>
                    <w:vertAlign w:val="superscript"/>
                  </w:rPr>
                  <w:footnoteReference w:id="1"/>
                </w:r>
                <w:r>
                  <w:rPr>
                    <w:iCs/>
                  </w:rPr>
                  <w:t xml:space="preserve"> </w:t>
                </w:r>
                <w:r>
                  <w:t>rezultatais, Lietuvos jūrinėje teritorijoje įrengtas vienas vėjo elektrinių parkas pagamins apie 2,5–3 TWh elektros energijos per metus. Tai sudarys apie 25 % Lietuvos elektros energijos poreikio (poreikis apie 13 TWh, suvartojimas – apie 12 TWh). Remiantis atliktais preliminariais vertinimais, vienas vėjo elektrinių projektas pritrauks daugiau kaip 1 mlrd. investicijų, padės sukurti daugiau kaip 1 300 naujų darbo vietų, kasmet bus surenkama 8 mln. daugiau mokesčių, bus paskatinta transporto, statybos sektoriaus bei Klaipėdos uosto plėtra, įrengtas ir veikiantis vienas vėjo elektrinių parkas padės iki 30 %</w:t>
                </w:r>
                <w:r>
                  <w:rPr>
                    <w:b/>
                    <w:bCs/>
                  </w:rPr>
                  <w:t xml:space="preserve"> </w:t>
                </w:r>
                <w:r>
                  <w:t>sumažinti elektros energijos importą. Jeigu Lietuvos jūrinėje teritorijoje bus įrengti du vėjo elektrinių parkai, jie pagamins daugiau kaip 50 % Lietuvai reikalingos elektros energijos ir pritrauks daugiau kaip 2 mlrd. investicijų.</w:t>
                </w:r>
              </w:p>
            </w:tc>
          </w:tr>
        </w:tbl>
        <w:p>
          <w:pPr>
            <w:rPr>
              <w:sz w:val="22"/>
              <w:szCs w:val="22"/>
            </w:rPr>
          </w:pPr>
        </w:p>
        <w:tbl>
          <w:tblPr>
            <w:tblW w:w="9363" w:type="dxa"/>
            <w:tblLayout w:type="fixed"/>
            <w:tblLook w:val="00A0" w:firstRow="1" w:lastRow="0" w:firstColumn="1" w:lastColumn="0" w:noHBand="0" w:noVBand="0"/>
          </w:tblPr>
          <w:tblGrid>
            <w:gridCol w:w="1418"/>
            <w:gridCol w:w="7945"/>
          </w:tblGrid>
          <w:tr>
            <w:tc>
              <w:tcPr>
                <w:tcW w:w="1418" w:type="dxa"/>
                <w:shd w:val="clear" w:color="auto" w:fill="DBE5F1"/>
                <w:hideMark/>
              </w:tcPr>
              <w:p>
                <w:pPr>
                  <w:rPr>
                    <w:b/>
                    <w:szCs w:val="24"/>
                  </w:rPr>
                </w:pPr>
                <w:r>
                  <w:rPr>
                    <w:b/>
                    <w:szCs w:val="24"/>
                  </w:rPr>
                  <w:t xml:space="preserve">Poveikis </w:t>
                </w:r>
              </w:p>
              <w:p>
                <w:pPr>
                  <w:rPr>
                    <w:b/>
                    <w:szCs w:val="24"/>
                  </w:rPr>
                </w:pPr>
                <w:r>
                  <w:rPr>
                    <w:b/>
                    <w:szCs w:val="24"/>
                  </w:rPr>
                  <w:t>valstybės finansams</w:t>
                </w:r>
              </w:p>
            </w:tc>
            <w:tc>
              <w:tcPr>
                <w:tcW w:w="7945" w:type="dxa"/>
                <w:hideMark/>
              </w:tcPr>
              <w:p>
                <w:pPr>
                  <w:tabs>
                    <w:tab w:val="left" w:pos="851"/>
                    <w:tab w:val="left" w:pos="993"/>
                    <w:tab w:val="left" w:pos="1276"/>
                  </w:tabs>
                  <w:jc w:val="both"/>
                  <w:rPr>
                    <w:szCs w:val="24"/>
                  </w:rPr>
                </w:pPr>
                <w:r>
                  <w:rPr>
                    <w:szCs w:val="24"/>
                  </w:rPr>
                  <w:t>Numatomas teigiamas poveikis valstybės finansams, nes laimėjęs Įstatymų projekte (22</w:t>
                </w:r>
                <w:r>
                  <w:rPr>
                    <w:szCs w:val="24"/>
                    <w:vertAlign w:val="superscript"/>
                  </w:rPr>
                  <w:t xml:space="preserve">1 </w:t>
                </w:r>
                <w:r>
                  <w:rPr>
                    <w:szCs w:val="24"/>
                  </w:rPr>
                  <w:t xml:space="preserve">str.) numatytą konkursą, kuriame bus varžomasi dėl plėtros teritorijos, vystytojas nebus remiamas valstybės ar elektros energijos vartotojų, o priešingai įsipareigos sumokėti vystymo mokestį. Be to, konkurso laimėtojui bus taikomi Vyriausybės nustatyti reikalavimai, susiję su </w:t>
                </w:r>
                <w:r>
                  <w:rPr>
                    <w:color w:val="000000"/>
                    <w:szCs w:val="24"/>
                  </w:rPr>
                  <w:t>šiltnamio efektą sukeliančių dujų išmetimo mažinimo tikslais, investicijomis į aplinkos apsaugą, parama vietos bendruomenėms, mažų ir vidutinių įmonių įtraukimu į projekto įgyvendinimą ir (ar) naudojimąsi infrastruktūra</w:t>
                </w:r>
                <w:r>
                  <w:rPr>
                    <w:szCs w:val="24"/>
                  </w:rPr>
                  <w:t xml:space="preserve">, kaip šiuo metu galiojančiame </w:t>
                </w:r>
                <w:r>
                  <w:rPr>
                    <w:color w:val="000000"/>
                    <w:szCs w:val="24"/>
                  </w:rPr>
                  <w:t>Reikalavimų asmenims, siekiantiems įgyti bei įgijusiems teisę plėtoti ir eksploatuoti atsinaujinančius energijos išteklius naudojančias elektrines</w:t>
                </w:r>
                <w:r>
                  <w:rPr>
                    <w:b/>
                    <w:bCs/>
                    <w:caps/>
                    <w:color w:val="000000"/>
                    <w:szCs w:val="24"/>
                  </w:rPr>
                  <w:t> </w:t>
                </w:r>
                <w:r>
                  <w:rPr>
                    <w:color w:val="000000"/>
                    <w:szCs w:val="24"/>
                  </w:rPr>
                  <w:t>jūrinėje teritorijoje, ir jūrinės teritorijos tyrimų bei kitų veiksmų atlikimo išlaidų kompensavimo apraše</w:t>
                </w:r>
                <w:r>
                  <w:rPr>
                    <w:color w:val="000000"/>
                    <w:szCs w:val="24"/>
                    <w:vertAlign w:val="superscript"/>
                  </w:rPr>
                  <w:footnoteReference w:id="2"/>
                </w:r>
                <w:r>
                  <w:rPr>
                    <w:color w:val="000000"/>
                    <w:szCs w:val="24"/>
                  </w:rPr>
                  <w:t xml:space="preserve">, taikomame </w:t>
                </w:r>
                <w:r>
                  <w:rPr>
                    <w:szCs w:val="24"/>
                  </w:rPr>
                  <w:t>kitam konkursui dėl leidimo naudoti jūrinę teritoriją atsinaujinančius išteklius naudojančioms elektrinėms plėtoti ir eksploatuoti, kuriame konkurso dalyviai gali siekti paramos.</w:t>
                </w:r>
              </w:p>
              <w:p>
                <w:pPr>
                  <w:tabs>
                    <w:tab w:val="left" w:pos="851"/>
                    <w:tab w:val="left" w:pos="993"/>
                    <w:tab w:val="left" w:pos="1276"/>
                  </w:tabs>
                  <w:ind w:firstLine="124"/>
                  <w:jc w:val="both"/>
                  <w:rPr>
                    <w:szCs w:val="24"/>
                  </w:rPr>
                </w:pPr>
              </w:p>
              <w:p>
                <w:pPr>
                  <w:tabs>
                    <w:tab w:val="left" w:pos="851"/>
                    <w:tab w:val="left" w:pos="993"/>
                  </w:tabs>
                  <w:ind w:left="720"/>
                  <w:jc w:val="both"/>
                  <w:rPr>
                    <w:sz w:val="22"/>
                    <w:szCs w:val="22"/>
                  </w:rPr>
                </w:pPr>
              </w:p>
            </w:tc>
          </w:tr>
          <w:tr>
            <w:tc>
              <w:tcPr>
                <w:tcW w:w="1418" w:type="dxa"/>
                <w:shd w:val="clear" w:color="auto" w:fill="DBE5F1"/>
              </w:tcPr>
              <w:p>
                <w:pPr>
                  <w:rPr>
                    <w:b/>
                    <w:szCs w:val="24"/>
                  </w:rPr>
                </w:pPr>
              </w:p>
            </w:tc>
            <w:tc>
              <w:tcPr>
                <w:tcW w:w="7945" w:type="dxa"/>
              </w:tcPr>
              <w:p>
                <w:pPr>
                  <w:jc w:val="both"/>
                  <w:rPr>
                    <w:szCs w:val="24"/>
                  </w:rPr>
                </w:pPr>
              </w:p>
            </w:tc>
          </w:tr>
        </w:tbl>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5"/>
            <w:gridCol w:w="7377"/>
          </w:tblGrid>
          <w:tr>
            <w:trPr>
              <w:trHeight w:val="1566"/>
            </w:trPr>
            <w:tc>
              <w:tcPr>
                <w:tcW w:w="2005" w:type="dxa"/>
                <w:tcBorders>
                  <w:top w:val="nil"/>
                  <w:left w:val="nil"/>
                  <w:bottom w:val="nil"/>
                  <w:right w:val="nil"/>
                </w:tcBorders>
                <w:shd w:val="clear" w:color="auto" w:fill="DBE5F1"/>
              </w:tcPr>
              <w:p>
                <w:pPr>
                  <w:shd w:val="clear" w:color="auto" w:fill="DBE5F1"/>
                  <w:rPr>
                    <w:b/>
                    <w:szCs w:val="24"/>
                  </w:rPr>
                </w:pPr>
                <w:r>
                  <w:rPr>
                    <w:b/>
                    <w:szCs w:val="24"/>
                  </w:rPr>
                  <w:t>Poveikis administracinei naštai</w:t>
                </w:r>
              </w:p>
              <w:p>
                <w:pPr>
                  <w:rPr>
                    <w:szCs w:val="24"/>
                  </w:rPr>
                </w:pPr>
              </w:p>
            </w:tc>
            <w:tc>
              <w:tcPr>
                <w:tcW w:w="7377" w:type="dxa"/>
                <w:tcBorders>
                  <w:top w:val="nil"/>
                  <w:left w:val="nil"/>
                  <w:bottom w:val="nil"/>
                  <w:right w:val="nil"/>
                </w:tcBorders>
                <w:hideMark/>
              </w:tcPr>
              <w:p>
                <w:pPr>
                  <w:jc w:val="both"/>
                  <w:rPr>
                    <w:szCs w:val="24"/>
                  </w:rPr>
                </w:pPr>
                <w:r>
                  <w:rPr>
                    <w:szCs w:val="24"/>
                  </w:rPr>
                  <w:t>Konkurso dalyviai ir jo laimėtojai turės teikti Įstatymų projektuose nurodytus dokumentus Valstybinei energetikos reguliavimo tarybai, elektros energijos perdavimo sistemos operatoriui, nustatytą informaciją – VšĮ Lietuvos energetikos agentūrai. Poveikio administracinei naštai apskaičiavimo ataskaita pateikta kartu su Įstatymų projektais.</w:t>
                </w:r>
              </w:p>
            </w:tc>
          </w:tr>
        </w:tbl>
        <w:p>
          <w:pPr>
            <w:rPr>
              <w:i/>
              <w:szCs w:val="24"/>
            </w:rPr>
          </w:pPr>
        </w:p>
        <w:tbl>
          <w:tblPr>
            <w:tblW w:w="9391" w:type="dxa"/>
            <w:tblLook w:val="00A0" w:firstRow="1" w:lastRow="0" w:firstColumn="1" w:lastColumn="0" w:noHBand="0" w:noVBand="0"/>
          </w:tblPr>
          <w:tblGrid>
            <w:gridCol w:w="9391"/>
          </w:tblGrid>
          <w:tr>
            <w:trPr>
              <w:trHeight w:val="458"/>
            </w:trPr>
            <w:tc>
              <w:tcPr>
                <w:tcW w:w="9391" w:type="dxa"/>
                <w:vMerge w:val="restart"/>
                <w:shd w:val="clear" w:color="auto" w:fill="DBE5F1"/>
                <w:hideMark/>
              </w:tcPr>
              <w:p>
                <w:pPr>
                  <w:rPr>
                    <w:b/>
                    <w:szCs w:val="24"/>
                  </w:rPr>
                </w:pPr>
                <w:r>
                  <w:rPr>
                    <w:b/>
                    <w:szCs w:val="24"/>
                  </w:rPr>
                  <w:t>Kita svarbi informacija</w:t>
                </w:r>
              </w:p>
              <w:p>
                <w:pPr>
                  <w:jc w:val="both"/>
                  <w:rPr>
                    <w:szCs w:val="24"/>
                  </w:rPr>
                </w:pPr>
                <w:r>
                  <w:rPr>
                    <w:szCs w:val="24"/>
                  </w:rPr>
                  <w:t xml:space="preserve">Nėra. </w:t>
                </w:r>
              </w:p>
            </w:tc>
          </w:tr>
          <w:tr>
            <w:trPr>
              <w:trHeight w:val="458"/>
            </w:trPr>
            <w:tc>
              <w:tcPr>
                <w:tcW w:w="0" w:type="auto"/>
                <w:vMerge/>
                <w:vAlign w:val="center"/>
                <w:hideMark/>
              </w:tcPr>
              <w:p>
                <w:pPr>
                  <w:rPr>
                    <w:b/>
                    <w:szCs w:val="24"/>
                  </w:rPr>
                </w:pPr>
              </w:p>
            </w:tc>
          </w:tr>
          <w:tr>
            <w:trPr>
              <w:trHeight w:val="458"/>
            </w:trPr>
            <w:tc>
              <w:tcPr>
                <w:tcW w:w="0" w:type="auto"/>
                <w:vMerge/>
                <w:vAlign w:val="center"/>
                <w:hideMark/>
              </w:tcPr>
              <w:p>
                <w:pPr>
                  <w:rPr>
                    <w:b/>
                    <w:szCs w:val="24"/>
                  </w:rPr>
                </w:pPr>
              </w:p>
            </w:tc>
          </w:tr>
        </w:tbl>
        <w:sdt>
          <w:sdtPr>
            <w:alias w:val="lentele"/>
            <w:tag w:val="part_1c89b57f48ef4446973f561ecfa89652"/>
            <w:lock w:val="sdtLocked"/>
            <w:richText/>
          </w:sdtPr>
          <w:sdtContent>
            <w:p>
              <w:pPr>
                <w:jc w:val="both"/>
                <w:rPr>
                  <w:b/>
                  <w:szCs w:val="24"/>
                </w:rPr>
              </w:pPr>
              <w:sdt>
                <w:sdtPr>
                  <w:alias w:val="Pavadinimas"/>
                  <w:tag w:val="title_1c89b57f48ef4446973f561ecfa89652"/>
                  <w:lock w:val="sdtLocked"/>
                  <w:richText/>
                </w:sdtPr>
                <w:sdtContent>
                  <w:r>
                    <w:rPr>
                      <w:b/>
                      <w:szCs w:val="24"/>
                    </w:rPr>
                    <w:t>Informacija apie asmenį ir instituciją, atsakingą už poveikio vertinimą</w:t>
                  </w:r>
                </w:sdtContent>
              </w:sdt>
            </w:p>
            <w:p>
              <w:pPr>
                <w:ind w:left="1296"/>
                <w:jc w:val="both"/>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65"/>
                <w:gridCol w:w="7097"/>
              </w:tblGrid>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Jevgenija Jankevič</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Tvarios energetikos politikos grupės patarėja</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Energetikos ministerija</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Cs w:val="24"/>
                      </w:rPr>
                    </w:pPr>
                    <w:r>
                      <w:rPr>
                        <w:szCs w:val="24"/>
                      </w:rPr>
                      <w:t>Tel. 8 602 47 359, el. p. jevgenija.jankevic@enmin.lt</w:t>
                    </w:r>
                  </w:p>
                </w:tc>
              </w:tr>
            </w:tbl>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851" w:right="567" w:bottom="567"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rPr>
          <w:sz w:val="20"/>
        </w:rPr>
      </w:pPr>
      <w:r>
        <w:rPr>
          <w:sz w:val="20"/>
          <w:vertAlign w:val="superscript"/>
        </w:rPr>
        <w:footnoteRef/>
      </w:r>
      <w:r>
        <w:rPr>
          <w:sz w:val="20"/>
        </w:rPr>
        <w:t xml:space="preserve"> Studija skelbiama Energetikos ministerijos interneto svetainėje </w:t>
      </w:r>
      <w:r>
        <w:rPr>
          <w:color w:val="0563C1"/>
          <w:sz w:val="20"/>
          <w:u w:val="single"/>
        </w:rPr>
        <w:t>https://enmin.lrv.lt/uploads/enmin/documents/files/Galutin%C4%97%20ataskaita.pdf</w:t>
      </w:r>
      <w:r>
        <w:rPr>
          <w:color w:val="0563C1"/>
          <w:sz w:val="20"/>
          <w:u w:val="single"/>
        </w:rPr>
        <w:t>.</w:t>
      </w:r>
      <w:r>
        <w:rPr>
          <w:sz w:val="20"/>
        </w:rPr>
        <w:t xml:space="preserve"> </w:t>
      </w:r>
    </w:p>
  </w:footnote>
  <w:footnote w:id="2">
    <w:p>
      <w:pPr>
        <w:jc w:val="both"/>
        <w:rPr>
          <w:sz w:val="20"/>
        </w:rPr>
      </w:pPr>
      <w:r>
        <w:rPr>
          <w:sz w:val="20"/>
          <w:vertAlign w:val="superscript"/>
        </w:rPr>
        <w:footnoteRef/>
      </w:r>
      <w:r>
        <w:rPr>
          <w:sz w:val="20"/>
        </w:rPr>
        <w:t xml:space="preserve"> </w:t>
      </w:r>
      <w:r>
        <w:rPr>
          <w:color w:val="000000"/>
          <w:sz w:val="20"/>
        </w:rPr>
        <w:t>Reikalavimų asmenims, siekiantiems įgyti bei įgijusiems teisę plėtoti ir eksploatuoti atsinaujinančius energijos išteklius naudojančias elektrines</w:t>
      </w:r>
      <w:r>
        <w:rPr>
          <w:b/>
          <w:bCs/>
          <w:caps/>
          <w:color w:val="000000"/>
          <w:sz w:val="20"/>
        </w:rPr>
        <w:t> </w:t>
      </w:r>
      <w:r>
        <w:rPr>
          <w:color w:val="000000"/>
          <w:sz w:val="20"/>
        </w:rPr>
        <w:t>jūrinėje teritorijoje, ir jūrinės teritorijos tyrimų bei kitų veiksmų atlikimo išlaidų kompensavimo aprašas, patvirtintas Lietuvos Respublikos Vyriausybės 2022 m. spalio 19 d. nutarimu Nr. 1049 „Dėl Reikalavimų asmenims, siekiantiems įgyti bei įgijusiems teisę plėtoti ir eksploatuoti atsinaujinančius energijos išteklius naudojančias elektrines</w:t>
      </w:r>
      <w:r>
        <w:rPr>
          <w:b/>
          <w:bCs/>
          <w:caps/>
          <w:color w:val="000000"/>
          <w:sz w:val="20"/>
        </w:rPr>
        <w:t> </w:t>
      </w:r>
      <w:r>
        <w:rPr>
          <w:color w:val="000000"/>
          <w:sz w:val="20"/>
        </w:rPr>
        <w:t>jūrinėje teritorijoje, ir jūrinės teritorijos tyrimų bei kitų veiksmų atlikimo išlaidų kompensavimo aprašo 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B0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5E5300-065E-42AD-ABD8-D7ADA4A361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0561576">
      <w:bodyDiv w:val="1"/>
      <w:marLeft w:val="0"/>
      <w:marRight w:val="0"/>
      <w:marTop w:val="0"/>
      <w:marBottom w:val="0"/>
      <w:divBdr>
        <w:top w:val="none" w:sz="0" w:space="0" w:color="auto"/>
        <w:left w:val="none" w:sz="0" w:space="0" w:color="auto"/>
        <w:bottom w:val="none" w:sz="0" w:space="0" w:color="auto"/>
        <w:right w:val="none" w:sz="0" w:space="0" w:color="auto"/>
      </w:divBdr>
    </w:div>
    <w:div w:id="1941599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10" ma:contentTypeDescription="Kurkite naują dokumentą." ma:contentTypeScope="" ma:versionID="d1c7c057f989dc64cc87a39b75055967">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b36f34df9b6f78c0bfb50ade3783bbd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56559f6a3ce4bcab994aa9e98553315" PartId="f1ad4bcccb6a47908994aa50a3dad3b1">
    <Part Type="lentele" Title="Informacija apie asmenį ir instituciją, atsakingą už poveikio vertinimą" DocPartId="c18ff982537943e09e1dd7666a3fd8ce" PartId="1c89b57f48ef4446973f561ecfa89652"/>
  </Part>
</Parts>
</file>

<file path=customXml/itemProps1.xml><?xml version="1.0" encoding="utf-8"?>
<ds:datastoreItem xmlns:ds="http://schemas.openxmlformats.org/officeDocument/2006/customXml" ds:itemID="{F407EFB9-EBEB-4788-A8C7-355F3EB8B1D1}">
  <ds:schemaRefs>
    <ds:schemaRef ds:uri="http://schemas.microsoft.com/sharepoint/v3/contenttype/forms"/>
  </ds:schemaRefs>
</ds:datastoreItem>
</file>

<file path=customXml/itemProps2.xml><?xml version="1.0" encoding="utf-8"?>
<ds:datastoreItem xmlns:ds="http://schemas.openxmlformats.org/officeDocument/2006/customXml" ds:itemID="{261E5DB4-9936-4482-9ACE-78DD6FD08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3E496B-AD5D-474A-B826-02619DE79108}">
  <ds:schemaRefs>
    <ds:schemaRef ds:uri="http://purl.org/dc/elements/1.1/"/>
    <ds:schemaRef ds:uri="http://schemas.microsoft.com/office/2006/metadata/properties"/>
    <ds:schemaRef ds:uri="http://purl.org/dc/dcmitype/"/>
    <ds:schemaRef ds:uri="http://schemas.microsoft.com/office/2006/documentManagement/types"/>
    <ds:schemaRef ds:uri="01b67f5c-2d3d-4e26-9104-860f284410e8"/>
    <ds:schemaRef ds:uri="http://purl.org/dc/terms/"/>
    <ds:schemaRef ds:uri="http://schemas.microsoft.com/office/infopath/2007/PartnerControls"/>
    <ds:schemaRef ds:uri="http://schemas.openxmlformats.org/package/2006/metadata/core-properties"/>
    <ds:schemaRef ds:uri="66af4d0a-6674-47fb-9139-f13fcb70dbc4"/>
    <ds:schemaRef ds:uri="http://www.w3.org/XML/1998/namespace"/>
  </ds:schemaRefs>
</ds:datastoreItem>
</file>

<file path=customXml/itemProps4.xml><?xml version="1.0" encoding="utf-8"?>
<ds:datastoreItem xmlns:ds="http://schemas.openxmlformats.org/officeDocument/2006/customXml" ds:itemID="{643AF3E9-8485-4F69-9974-11E182C70A82}">
  <ds:schemaRefs>
    <ds:schemaRef ds:uri="http://schemas.openxmlformats.org/officeDocument/2006/bibliography"/>
  </ds:schemaRefs>
</ds:datastoreItem>
</file>

<file path=customXml/itemProps5.xml><?xml version="1.0" encoding="utf-8"?>
<ds:datastoreItem xmlns:ds="http://schemas.openxmlformats.org/officeDocument/2006/customXml" ds:itemID="{B51F4602-448F-44CD-8A0D-9BDC50ABA0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604</Words>
  <Characters>4343</Characters>
  <Application>Microsoft Office Word</Application>
  <DocSecurity>4</DocSecurity>
  <Lines>108</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4915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2022-10-31T15:10:00Z</dcterms:created>
  <dc:creator>Aurimas Salapėta</dc:creator>
  <lastModifiedBy>adlibuser</lastModifiedBy>
  <lastPrinted>2018-08-10T07:02:00Z</lastPrinted>
  <dcterms:modified xsi:type="dcterms:W3CDTF">2022-10-31T15:10:00Z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