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2e4147f72074910a785311749ecea66"/>
        <w:lock w:val="sdtLocked"/>
        <w:richText/>
      </w:sdtPr>
      <w:sdtContent>
        <w:p>
          <w:pPr>
            <w:framePr w:w="1575" w:h="1080" w:hRule="exact" w:hSpace="180" w:wrap="auto" w:vAnchor="text" w:hAnchor="page" w:x="5662" w:y="14"/>
            <w:tabs>
              <w:tab w:val="center" w:pos="4153"/>
              <w:tab w:val="right" w:pos="8306"/>
            </w:tabs>
            <w:overflowPunct w:val="0"/>
            <w:textAlignment w:val="baseline"/>
            <w:rPr>
              <w:rFonts w:ascii="TimesLT" w:hAnsi="TimesLT"/>
              <w:lang w:val="en-GB"/>
            </w:rPr>
          </w:pPr>
        </w:p>
        <w:p>
          <w:pPr>
            <w:framePr w:w="1575" w:h="1080" w:hRule="exact" w:hSpace="180" w:wrap="auto" w:vAnchor="text" w:hAnchor="page" w:x="5662" w:y="14"/>
            <w:overflowPunct w:val="0"/>
            <w:jc w:val="center"/>
            <w:textAlignment w:val="baseline"/>
            <w:rPr>
              <w:sz w:val="8"/>
            </w:rPr>
          </w:pPr>
          <w:r>
            <w:rPr>
              <w:rFonts w:ascii="TimesLT" w:hAnsi="TimesLT"/>
              <w:sz w:val="8"/>
              <w:lang w:val="en-US"/>
            </w:rPr>
            <w:drawing>
              <wp:inline distT="0" distB="0" distL="0" distR="0" wp14:anchorId="61495090" wp14:editId="54A48A24">
                <wp:extent cx="1000125" cy="684770"/>
                <wp:effectExtent l="0" t="0" r="0" b="1270"/>
                <wp:docPr id="1085379912" name="Paveikslėlis 3" descr="Paveikslėlis, kuriame yra eskizas, piešimas, Linijinis piešimas, iliustracija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5379912" name="Paveikslėlis 3" descr="Paveikslėlis, kuriame yra eskizas, piešimas, Linijinis piešimas, iliustracija  Automatiškai sugeneruotas aprašyma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00125" cy="684770"/>
                        </a:xfrm>
                        <a:prstGeom prst="rect">
                          <a:avLst/>
                        </a:prstGeom>
                        <a:noFill/>
                        <a:ln>
                          <a:noFill/>
                        </a:ln>
                      </pic:spPr>
                    </pic:pic>
                  </a:graphicData>
                </a:graphic>
              </wp:inline>
            </w:drawing>
          </w:r>
          <w:r>
            <w:rPr>
              <w:rFonts w:cs="Tahoma"/>
              <w:b/>
              <w:color w:val="000000"/>
              <w:spacing w:val="20"/>
              <w:sz w:val="26"/>
              <w:szCs w:val="26"/>
              <w:lang w:val="en-US"/>
            </w:rPr>
            <w:drawing>
              <wp:inline distT="0" distB="0" distL="0" distR="0" wp14:anchorId="47545B26" wp14:editId="0A399301">
                <wp:extent cx="525145" cy="621030"/>
                <wp:effectExtent l="0" t="0" r="8255" b="7620"/>
                <wp:docPr id="2" name="Picture 3" descr="Paveikslėlis, kuriame yra eskizas, piešimas, iliustracija, Linijinis piešim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Paveikslėlis, kuriame yra eskizas, piešimas, iliustracija, Linijinis piešimas  Automatiškai sugeneruotas aprašyma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5145" cy="621030"/>
                        </a:xfrm>
                        <a:prstGeom prst="rect">
                          <a:avLst/>
                        </a:prstGeom>
                        <a:solidFill>
                          <a:srgbClr val="FFFFFF">
                            <a:alpha val="0"/>
                          </a:srgbClr>
                        </a:solidFill>
                        <a:ln>
                          <a:noFill/>
                        </a:ln>
                      </pic:spPr>
                    </pic:pic>
                  </a:graphicData>
                </a:graphic>
              </wp:inline>
            </w:drawing>
          </w:r>
        </w:p>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p>
        <w:p>
          <w:pPr>
            <w:overflowPunct w:val="0"/>
            <w:jc w:val="center"/>
            <w:textAlignment w:val="baseline"/>
            <w:rPr>
              <w:b/>
            </w:rPr>
          </w:pPr>
          <w:r>
            <w:rPr>
              <w:b/>
              <w:sz w:val="28"/>
            </w:rPr>
            <w:t>LIETUVOS RESPUBLIKOS ŽEMĖS ŪKIO MINISTERIJA</w:t>
          </w:r>
        </w:p>
        <w:p>
          <w:pPr>
            <w:overflowPunct w:val="0"/>
            <w:jc w:val="center"/>
            <w:textAlignment w:val="baseline"/>
          </w:pPr>
        </w:p>
        <w:p>
          <w:pPr>
            <w:overflowPunct w:val="0"/>
            <w:jc w:val="center"/>
            <w:textAlignment w:val="baseline"/>
            <w:rPr>
              <w:sz w:val="18"/>
              <w:szCs w:val="18"/>
            </w:rPr>
          </w:pPr>
          <w:r>
            <w:rPr>
              <w:sz w:val="18"/>
              <w:szCs w:val="18"/>
            </w:rPr>
            <w:t xml:space="preserve">Biudžetinė įstaiga, Gedimino pr. 19, 01103 Vilnius, tel. +370 5 239 1001, </w:t>
          </w:r>
        </w:p>
        <w:p>
          <w:pPr>
            <w:overflowPunct w:val="0"/>
            <w:jc w:val="center"/>
            <w:textAlignment w:val="baseline"/>
            <w:rPr>
              <w:sz w:val="18"/>
              <w:szCs w:val="18"/>
            </w:rPr>
          </w:pPr>
          <w:r>
            <w:rPr>
              <w:sz w:val="18"/>
              <w:szCs w:val="18"/>
            </w:rPr>
            <w:t xml:space="preserve">El. paštas </w:t>
          </w:r>
          <w:r>
            <w:rPr>
              <w:color w:val="0000FF"/>
              <w:sz w:val="18"/>
              <w:szCs w:val="18"/>
              <w:u w:val="single"/>
            </w:rPr>
            <w:t>zum@zum.lt</w:t>
          </w:r>
          <w:r>
            <w:rPr>
              <w:color w:val="0000FF"/>
              <w:sz w:val="18"/>
              <w:szCs w:val="18"/>
              <w:u w:val="single"/>
            </w:rPr>
            <w:t xml:space="preserve">, </w:t>
          </w:r>
          <w:r>
            <w:rPr>
              <w:color w:val="0000FF"/>
              <w:sz w:val="18"/>
              <w:szCs w:val="18"/>
              <w:u w:val="single"/>
            </w:rPr>
            <w:t>http://www.zum.lt</w:t>
          </w:r>
        </w:p>
        <w:p>
          <w:pPr>
            <w:pBdr>
              <w:bottom w:val="single" w:sz="4" w:space="1" w:color="auto"/>
            </w:pBdr>
            <w:overflowPunct w:val="0"/>
            <w:jc w:val="center"/>
            <w:textAlignment w:val="baseline"/>
            <w:rPr>
              <w:sz w:val="18"/>
              <w:szCs w:val="18"/>
            </w:rPr>
          </w:pPr>
          <w:r>
            <w:rPr>
              <w:sz w:val="18"/>
              <w:szCs w:val="18"/>
            </w:rPr>
            <w:t>Duomenys kaupiami ir saugomi Juridinių asmenų registre, kodas 188675190</w:t>
          </w:r>
        </w:p>
        <w:p>
          <w:pPr>
            <w:overflowPunct w:val="0"/>
            <w:jc w:val="center"/>
            <w:textAlignment w:val="baseline"/>
          </w:pPr>
        </w:p>
        <w:tbl>
          <w:tblPr>
            <w:tblW w:w="0" w:type="auto"/>
            <w:tblLook w:val="04A0" w:firstRow="1" w:lastRow="0" w:firstColumn="1" w:lastColumn="0" w:noHBand="0" w:noVBand="1"/>
          </w:tblPr>
          <w:tblGrid>
            <w:gridCol w:w="4796"/>
            <w:gridCol w:w="296"/>
            <w:gridCol w:w="1726"/>
            <w:gridCol w:w="530"/>
            <w:gridCol w:w="2291"/>
          </w:tblGrid>
          <w:tr>
            <w:tc>
              <w:tcPr>
                <w:tcW w:w="4920" w:type="dxa"/>
                <w:vMerge w:val="restart"/>
              </w:tcPr>
              <w:p>
                <w:pPr>
                  <w:overflowPunct w:val="0"/>
                  <w:jc w:val="both"/>
                  <w:textAlignment w:val="baseline"/>
                </w:pPr>
                <w:r>
                  <w:t>UAB ILTE</w:t>
                </w:r>
              </w:p>
            </w:tc>
            <w:tc>
              <w:tcPr>
                <w:tcW w:w="296" w:type="dxa"/>
              </w:tcPr>
              <w:p>
                <w:pPr>
                  <w:overflowPunct w:val="0"/>
                  <w:jc w:val="both"/>
                  <w:textAlignment w:val="baseline"/>
                </w:pPr>
              </w:p>
            </w:tc>
            <w:tc>
              <w:tcPr>
                <w:tcW w:w="1755" w:type="dxa"/>
                <w:tcBorders>
                  <w:bottom w:val="single" w:sz="4" w:space="0" w:color="auto"/>
                </w:tcBorders>
              </w:tcPr>
              <w:p>
                <w:pPr>
                  <w:overflowPunct w:val="0"/>
                  <w:jc w:val="both"/>
                  <w:textAlignment w:val="baseline"/>
                </w:pPr>
                <w:r>
                  <w:t>2024-10-</w:t>
                </w:r>
              </w:p>
            </w:tc>
            <w:tc>
              <w:tcPr>
                <w:tcW w:w="530" w:type="dxa"/>
              </w:tcPr>
              <w:p>
                <w:pPr>
                  <w:overflowPunct w:val="0"/>
                  <w:jc w:val="both"/>
                  <w:textAlignment w:val="baseline"/>
                </w:pPr>
                <w:r>
                  <w:t>Nr.</w:t>
                </w:r>
              </w:p>
            </w:tc>
            <w:tc>
              <w:tcPr>
                <w:tcW w:w="2354" w:type="dxa"/>
                <w:tcBorders>
                  <w:bottom w:val="single" w:sz="4" w:space="0" w:color="auto"/>
                </w:tcBorders>
              </w:tcPr>
              <w:p>
                <w:pPr>
                  <w:overflowPunct w:val="0"/>
                  <w:jc w:val="both"/>
                  <w:textAlignment w:val="baseline"/>
                </w:pPr>
              </w:p>
            </w:tc>
          </w:tr>
          <w:tr>
            <w:tc>
              <w:tcPr>
                <w:tcW w:w="4920" w:type="dxa"/>
                <w:vMerge/>
              </w:tcPr>
              <w:p>
                <w:pPr>
                  <w:overflowPunct w:val="0"/>
                  <w:jc w:val="both"/>
                  <w:textAlignment w:val="baseline"/>
                </w:pPr>
              </w:p>
            </w:tc>
            <w:tc>
              <w:tcPr>
                <w:tcW w:w="296" w:type="dxa"/>
              </w:tcPr>
              <w:p>
                <w:pPr>
                  <w:rPr>
                    <w:sz w:val="10"/>
                    <w:szCs w:val="10"/>
                  </w:rPr>
                </w:pPr>
              </w:p>
              <w:p>
                <w:pPr>
                  <w:overflowPunct w:val="0"/>
                  <w:jc w:val="both"/>
                  <w:textAlignment w:val="baseline"/>
                </w:pPr>
                <w:r>
                  <w:t>Į</w:t>
                </w:r>
              </w:p>
            </w:tc>
            <w:tc>
              <w:tcPr>
                <w:tcW w:w="1755" w:type="dxa"/>
                <w:tcBorders>
                  <w:top w:val="single" w:sz="4" w:space="0" w:color="auto"/>
                  <w:bottom w:val="single" w:sz="4" w:space="0" w:color="auto"/>
                </w:tcBorders>
              </w:tcPr>
              <w:p>
                <w:pPr>
                  <w:rPr>
                    <w:sz w:val="10"/>
                    <w:szCs w:val="10"/>
                  </w:rPr>
                </w:pPr>
              </w:p>
              <w:p>
                <w:pPr>
                  <w:overflowPunct w:val="0"/>
                  <w:jc w:val="both"/>
                  <w:textAlignment w:val="baseline"/>
                </w:pPr>
              </w:p>
            </w:tc>
            <w:tc>
              <w:tcPr>
                <w:tcW w:w="530" w:type="dxa"/>
              </w:tcPr>
              <w:p>
                <w:pPr>
                  <w:rPr>
                    <w:sz w:val="10"/>
                    <w:szCs w:val="10"/>
                  </w:rPr>
                </w:pPr>
              </w:p>
              <w:p>
                <w:pPr>
                  <w:overflowPunct w:val="0"/>
                  <w:jc w:val="both"/>
                  <w:textAlignment w:val="baseline"/>
                </w:pPr>
                <w:r>
                  <w:t>Nr.</w:t>
                </w:r>
              </w:p>
            </w:tc>
            <w:tc>
              <w:tcPr>
                <w:tcW w:w="2354" w:type="dxa"/>
                <w:tcBorders>
                  <w:top w:val="single" w:sz="4" w:space="0" w:color="auto"/>
                  <w:bottom w:val="single" w:sz="4" w:space="0" w:color="auto"/>
                </w:tcBorders>
              </w:tcPr>
              <w:p>
                <w:pPr>
                  <w:rPr>
                    <w:sz w:val="10"/>
                    <w:szCs w:val="10"/>
                  </w:rPr>
                </w:pPr>
              </w:p>
              <w:p>
                <w:pPr>
                  <w:overflowPunct w:val="0"/>
                  <w:jc w:val="both"/>
                  <w:textAlignment w:val="baseline"/>
                </w:pPr>
              </w:p>
            </w:tc>
          </w:tr>
          <w:tr>
            <w:trPr>
              <w:trHeight w:val="113"/>
            </w:trPr>
            <w:tc>
              <w:tcPr>
                <w:tcW w:w="4920" w:type="dxa"/>
                <w:vMerge/>
              </w:tcPr>
              <w:p>
                <w:pPr>
                  <w:overflowPunct w:val="0"/>
                  <w:jc w:val="both"/>
                  <w:textAlignment w:val="baseline"/>
                </w:pPr>
              </w:p>
            </w:tc>
            <w:tc>
              <w:tcPr>
                <w:tcW w:w="296" w:type="dxa"/>
              </w:tcPr>
              <w:p>
                <w:pPr>
                  <w:rPr>
                    <w:sz w:val="10"/>
                    <w:szCs w:val="10"/>
                  </w:rPr>
                </w:pPr>
              </w:p>
              <w:p>
                <w:pPr>
                  <w:overflowPunct w:val="0"/>
                  <w:jc w:val="both"/>
                  <w:textAlignment w:val="baseline"/>
                </w:pPr>
              </w:p>
            </w:tc>
            <w:tc>
              <w:tcPr>
                <w:tcW w:w="1755" w:type="dxa"/>
                <w:tcBorders>
                  <w:top w:val="single" w:sz="4" w:space="0" w:color="auto"/>
                </w:tcBorders>
              </w:tcPr>
              <w:p>
                <w:pPr>
                  <w:rPr>
                    <w:sz w:val="10"/>
                    <w:szCs w:val="10"/>
                  </w:rPr>
                </w:pPr>
              </w:p>
              <w:p>
                <w:pPr>
                  <w:overflowPunct w:val="0"/>
                  <w:jc w:val="both"/>
                  <w:textAlignment w:val="baseline"/>
                </w:pPr>
              </w:p>
            </w:tc>
            <w:tc>
              <w:tcPr>
                <w:tcW w:w="530" w:type="dxa"/>
              </w:tcPr>
              <w:p>
                <w:pPr>
                  <w:rPr>
                    <w:sz w:val="10"/>
                    <w:szCs w:val="10"/>
                  </w:rPr>
                </w:pPr>
              </w:p>
              <w:p>
                <w:pPr>
                  <w:overflowPunct w:val="0"/>
                  <w:jc w:val="both"/>
                  <w:textAlignment w:val="baseline"/>
                </w:pPr>
              </w:p>
            </w:tc>
            <w:tc>
              <w:tcPr>
                <w:tcW w:w="2354" w:type="dxa"/>
                <w:tcBorders>
                  <w:top w:val="single" w:sz="4" w:space="0" w:color="auto"/>
                </w:tcBorders>
              </w:tcPr>
              <w:p>
                <w:pPr>
                  <w:rPr>
                    <w:sz w:val="10"/>
                    <w:szCs w:val="10"/>
                  </w:rPr>
                </w:pPr>
              </w:p>
              <w:p>
                <w:pPr>
                  <w:overflowPunct w:val="0"/>
                  <w:jc w:val="both"/>
                  <w:textAlignment w:val="baseline"/>
                </w:pPr>
              </w:p>
            </w:tc>
          </w:tr>
        </w:tbl>
        <w:p>
          <w:pPr>
            <w:overflowPunct w:val="0"/>
            <w:jc w:val="both"/>
            <w:textAlignment w:val="baseline"/>
          </w:pPr>
        </w:p>
        <w:sdt>
          <w:sdtPr>
            <w:alias w:val="skirsnis"/>
            <w:tag w:val="part_1873dce1347f45dcb210b5b740e2b375"/>
            <w:lock w:val="sdtLocked"/>
            <w:richText/>
          </w:sdtPr>
          <w:sdtContent>
            <w:p>
              <w:pPr>
                <w:overflowPunct w:val="0"/>
                <w:jc w:val="both"/>
                <w:textAlignment w:val="baseline"/>
                <w:rPr>
                  <w:b/>
                  <w:caps/>
                  <w:szCs w:val="24"/>
                </w:rPr>
              </w:pPr>
              <w:sdt>
                <w:sdtPr>
                  <w:alias w:val="Pavadinimas"/>
                  <w:tag w:val="title_1873dce1347f45dcb210b5b740e2b375"/>
                  <w:lock w:val="sdtLocked"/>
                  <w:richText/>
                </w:sdtPr>
                <w:sdtContent>
                  <w:r>
                    <w:rPr>
                      <w:b/>
                      <w:bCs/>
                      <w:color w:val="000000"/>
                      <w:szCs w:val="24"/>
                    </w:rPr>
                    <w:t>DĖL ŽEMĖS ŪKIO MINISTRO 2015 M. RUGSĖJO 16 D. ĮSAKYMO NR. 3D-691 „</w:t>
                  </w:r>
                  <w:r>
                    <w:rPr>
                      <w:b/>
                      <w:szCs w:val="24"/>
                    </w:rPr>
                    <w:t>DĖL PALŪKANŲ, KURIAS SUMOKĖJO ŪKIO SUBJEKTAI, UŽSIIMANTYS PIRMINE ŽEMĖS ŪKIO PRODUKTŲ GAMYBA, PERDIRBIMU IR (AR) PREKYBA, UŽ PASKOLAS APYVARTINĖMS LĖŠOMS PAPILDYTI IR (AR) BIOLOGINIAM TURTUI ĮSIGYTI IR PAGAL FAKTORINGO SUTARTIS APYVARTINĖMS LĖŠOMS PAPILDYTI SU INDIVIDUALIA GARANTIJA, KOMPENSAVIMO TAISYKLIŲ PATVIRTINIMO</w:t>
                  </w:r>
                  <w:r>
                    <w:rPr>
                      <w:b/>
                      <w:bCs/>
                      <w:color w:val="000000"/>
                      <w:szCs w:val="24"/>
                    </w:rPr>
                    <w:t>“ PAKEITIMO</w:t>
                  </w:r>
                </w:sdtContent>
              </w:sdt>
            </w:p>
            <w:p>
              <w:pPr>
                <w:overflowPunct w:val="0"/>
                <w:jc w:val="both"/>
                <w:textAlignment w:val="baseline"/>
                <w:rPr>
                  <w:szCs w:val="24"/>
                </w:rPr>
              </w:pPr>
            </w:p>
            <w:p>
              <w:pPr>
                <w:overflowPunct w:val="0"/>
                <w:spacing w:line="288" w:lineRule="auto"/>
                <w:ind w:firstLine="720"/>
                <w:jc w:val="both"/>
                <w:textAlignment w:val="baseline"/>
                <w:rPr>
                  <w:szCs w:val="24"/>
                </w:rPr>
              </w:pPr>
              <w:r>
                <w:rPr>
                  <w:szCs w:val="24"/>
                </w:rPr>
                <w:t>Teikiame derinti Lietuvos Respublikos žemės ūkio ministro įsakymo „</w:t>
              </w:r>
              <w:r>
                <w:rPr>
                  <w:color w:val="000000"/>
                  <w:szCs w:val="24"/>
                </w:rPr>
                <w:t xml:space="preserve">Dėl </w:t>
              </w:r>
              <w:r>
                <w:rPr>
                  <w:color w:val="000000"/>
                  <w:szCs w:val="24"/>
                  <w:lang w:eastAsia="lt-LT"/>
                </w:rPr>
                <w:t xml:space="preserve">žemės ūkio ministro 2015 m. rugsėjo 16 d. įsakymo Nr. 3D-691 „Dėl </w:t>
              </w:r>
              <w:r>
                <w:rPr>
                  <w:szCs w:val="24"/>
                </w:rPr>
                <w:t xml:space="preserve">Palūkanų, kurias sumokėjo ūkio subjektai, užsiimantys pirmine žemės ūkio produktų gamyba, perdirbimu ir (ar) prekyba, už paskolas apyvartinėms lėšoms papildyti ir (ar) biologiniam turtui įsigyti ir pagal faktoringo sutartis apyvartinėms lėšoms papildyti su individualia garantija, kompensavimo taisyklių </w:t>
              </w:r>
              <w:r>
                <w:rPr>
                  <w:color w:val="000000"/>
                  <w:szCs w:val="24"/>
                  <w:lang w:eastAsia="lt-LT"/>
                </w:rPr>
                <w:t>patvirtinimo“</w:t>
              </w:r>
              <w:r>
                <w:rPr>
                  <w:color w:val="000000"/>
                  <w:szCs w:val="24"/>
                </w:rPr>
                <w:t xml:space="preserve"> </w:t>
              </w:r>
              <w:r>
                <w:rPr>
                  <w:szCs w:val="24"/>
                </w:rPr>
                <w:t>pakeitimo“ projektą (toliau – Įsakymo projektas).</w:t>
              </w:r>
            </w:p>
            <w:p>
              <w:pPr>
                <w:overflowPunct w:val="0"/>
                <w:spacing w:line="288" w:lineRule="auto"/>
                <w:ind w:firstLine="720"/>
                <w:jc w:val="both"/>
                <w:textAlignment w:val="baseline"/>
                <w:rPr>
                  <w:szCs w:val="24"/>
                </w:rPr>
              </w:pPr>
              <w:r>
                <w:rPr>
                  <w:szCs w:val="24"/>
                </w:rPr>
                <w:t xml:space="preserve">Įsakymo projektu siūloma patikslinti palūkanų kompensavimą administruojančios institucijos pavadinimą: </w:t>
              </w:r>
              <w:r>
                <w:rPr>
                  <w:szCs w:val="24"/>
                  <w:lang w:eastAsia="en-GB"/>
                </w:rPr>
                <w:t>2024 m. rugpjūčio 30 d. UAB </w:t>
              </w:r>
              <w:r>
                <w:rPr>
                  <w:caps/>
                  <w:szCs w:val="24"/>
                  <w:lang w:eastAsia="en-GB"/>
                </w:rPr>
                <w:t>„</w:t>
              </w:r>
              <w:r>
                <w:rPr>
                  <w:szCs w:val="24"/>
                  <w:lang w:eastAsia="en-GB"/>
                </w:rPr>
                <w:t>Investicijų ir verslo garantijos</w:t>
              </w:r>
              <w:r>
                <w:rPr>
                  <w:caps/>
                  <w:szCs w:val="24"/>
                  <w:lang w:eastAsia="en-GB"/>
                </w:rPr>
                <w:t>“</w:t>
              </w:r>
              <w:r>
                <w:rPr>
                  <w:szCs w:val="24"/>
                  <w:lang w:eastAsia="en-GB"/>
                </w:rPr>
                <w:t xml:space="preserve"> pavadinimas pakeistas į UAB ILTE (toliau – ILTE), vadovaujantis Lietuvos Respublikos finansų ministro 2024 m. liepos 12 d. įsakymu Nr. 1K-238 „Dėl uždarosios akcinės bendrovės „Investicijų ir verslo garantijos“ pavadinimo pakeitimo ir Finansų ministro 2022 m. liepos 4 d. įsakymo Nr. 1K-245 „Dėl uždarosios akcinės bendrovės „Investicijų ir verslo garantijos“ įstatų patvirtinimo“ pakeitimo“.</w:t>
              </w:r>
            </w:p>
            <w:p>
              <w:pPr>
                <w:overflowPunct w:val="0"/>
                <w:spacing w:line="288" w:lineRule="auto"/>
                <w:ind w:firstLine="720"/>
                <w:jc w:val="both"/>
                <w:textAlignment w:val="baseline"/>
                <w:rPr>
                  <w:szCs w:val="24"/>
                </w:rPr>
              </w:pPr>
              <w:r>
                <w:rPr>
                  <w:szCs w:val="24"/>
                </w:rPr>
                <w:t xml:space="preserve">Atsižvelgiant į tai, kad apyvartinės lėšos yra labai svarbios žemės ūkio sektoriuje veikiantiems subjektams dėl nenumatytų išlaidų susidūrus su nepalankiais klimato reiškiniais (pavyzdžiui, šių metų </w:t>
              </w:r>
              <w:r>
                <w:rPr>
                  <w:rFonts w:eastAsia="Symbol"/>
                  <w:szCs w:val="24"/>
                </w:rPr>
                <w:t xml:space="preserve">liepos 28–29 d. </w:t>
              </w:r>
              <w:r>
                <w:rPr>
                  <w:szCs w:val="24"/>
                </w:rPr>
                <w:t>praūžusi audra) ir savalaikiams atsiskaitymams už paslaugas, prekes bei darbo jėgą, ir siekiant, kad palūkanų kompensacijos greičiau pasiektų pagalbos gavėjus, Įsakymo projektu siūloma patikslinti Palūkanų, kurias sumokėjo ūkio subjektai, užsiimantys pirmine žemės ūkio produktų gamyba, perdirbimu ir (ar) prekyba, už paskolas apyvartinėms lėšoms papildyti ir (ar) biologiniam turtui įsigyti ir pagal faktoringo sutartis apyvartinėms lėšoms papildyti su individualia garantija, kompensavimo taisyklių</w:t>
              </w:r>
              <w:r>
                <w:rPr>
                  <w:szCs w:val="24"/>
                  <w:lang w:eastAsia="lt-LT"/>
                </w:rPr>
                <w:t xml:space="preserve"> (toliau – Taisyklės)</w:t>
              </w:r>
              <w:r>
                <w:rPr>
                  <w:szCs w:val="24"/>
                </w:rPr>
                <w:t xml:space="preserve"> nuostatas, nustatant palūkanų, sumokėtų už paskolas apyvartinėms lėšoms papildyti ir (ar) biologiniam turtui įsigyti ir pagal faktoringo sutartis apyvartinėms lėšoms papildyti, kompensacijų išmokėjimą kartą per mėnesį </w:t>
              </w:r>
              <w:r>
                <w:rPr>
                  <w:szCs w:val="24"/>
                  <w:bdr w:val="none" w:sz="0" w:space="0" w:color="auto" w:frame="1"/>
                </w:rPr>
                <w:t>vietoje dabar nustatyto kompensavimo kas ketvirtį</w:t>
              </w:r>
              <w:r>
                <w:rPr>
                  <w:szCs w:val="24"/>
                </w:rPr>
                <w:t>. Įsakymo projektu siūloma nustatyti, kad šis pakeitimas įsigaliotų nuo 2024 m. lapkričio 1 d. Finansų įstaigoms dėl reikalingų atlikti informacinių technologijų pakeitimų (kai kurios finansų įstaigos ataskaitoms teikti yra atitinkamai pritaikiusios savo informacines sistemas, kurių pakeitimas gali užtrukti iki 6 mėn.) iki pirmiau nurodytos datos negalinčioms prisitaikyti ir kas mėnesį ILTE teikti duomenis apie finansų įstaigoms sumokėtas palūkanas (ILTE atlikta šiuo metu ataskaitas teikiančių finansų įstaigų apklausa parodė, kad tokių galėtų būti vos keletas), siūloma nustatyti pereinamąjį prisitaikymo laikotarpį – iki 2025 m. kovo 31 d.</w:t>
              </w:r>
            </w:p>
            <w:p>
              <w:pPr>
                <w:overflowPunct w:val="0"/>
                <w:spacing w:line="288" w:lineRule="auto"/>
                <w:ind w:firstLine="720"/>
                <w:jc w:val="both"/>
                <w:textAlignment w:val="baseline"/>
                <w:rPr>
                  <w:szCs w:val="24"/>
                  <w:lang w:eastAsia="en-GB"/>
                </w:rPr>
              </w:pPr>
              <w:r>
                <w:rPr>
                  <w:szCs w:val="24"/>
                </w:rPr>
                <w:t xml:space="preserve">Šiuo metu Taisyklėse nustatyta, kad ILTE pažymas apie lėšų poreikį palūkanoms kompensuoti (toliau – pažymos) Žemės ūkio ministerijai (toliau – Ministerija) teikia ketvirčiui pasibaigus iki pirmojo mėnesio 15 d. ILTE duomenis apie pagalbos gavėjų sumokėtas palūkanas gauna iš daugiau nei 60 finansų įstaigų, kurios, vadovaudamiesi su ILTE sudarytomis bendradarbiavimo sutartimis, ataskaitas teikia iki mėnesio 10 d. (neretai pasitaiko ir vėlavimų). Kadangi ILTE </w:t>
              </w:r>
              <w:r>
                <w:rPr>
                  <w:szCs w:val="24"/>
                  <w:lang w:eastAsia="en-GB"/>
                </w:rPr>
                <w:t xml:space="preserve">pagalbos gavėjams </w:t>
              </w:r>
              <w:r>
                <w:rPr>
                  <w:szCs w:val="24"/>
                  <w:lang w:eastAsia="lt-LT"/>
                </w:rPr>
                <w:t xml:space="preserve">mokėtinos pagalbos sumos apskaičiavimo ir pažymų pateikimo Ministerijos procesas </w:t>
              </w:r>
              <w:r>
                <w:rPr>
                  <w:szCs w:val="24"/>
                </w:rPr>
                <w:t xml:space="preserve">nėra visiškai automatizuotas, jo administravimas reikalauja nemažų žmogiškųjų išteklių. Taip pat ILTE administruoja ir daugiau priemonių, kurių finansų įstaigų teikiamų ataskaitų administravimo terminai yra panašūs, t. y. šios ataskaitos gaunamos iki mėnesio 10 d. ir turi būti suadministruotos iki mėnesio 20 d. Todėl, siekiant ILTE atsakingų darbuotojų didėjančio darbo krūvio optimalesnio paskirstymo, darbo kokybės išlaikymo ir finansų įstaigų teikiamų ataskaitų administravimo terminų suvienodinimo su kitų ILTE administruojamų priemonių atitinkamais terminais, </w:t>
              </w:r>
              <w:r>
                <w:rPr>
                  <w:szCs w:val="24"/>
                  <w:lang w:eastAsia="en-GB"/>
                </w:rPr>
                <w:t xml:space="preserve">Įsakymo projektu siūloma nustatyti, kad ILTE pažymos Ministerijai pateikiamos </w:t>
              </w:r>
              <w:r>
                <w:rPr>
                  <w:szCs w:val="24"/>
                  <w:lang w:eastAsia="lt-LT"/>
                </w:rPr>
                <w:t>mėnesiui pasibaigus iki kito mėnesio 20 d.</w:t>
              </w:r>
            </w:p>
            <w:p>
              <w:pPr>
                <w:overflowPunct w:val="0"/>
                <w:spacing w:line="288" w:lineRule="auto"/>
                <w:ind w:firstLine="720"/>
                <w:jc w:val="both"/>
                <w:textAlignment w:val="baseline"/>
                <w:rPr>
                  <w:szCs w:val="24"/>
                </w:rPr>
              </w:pPr>
              <w:r>
                <w:rPr>
                  <w:szCs w:val="24"/>
                </w:rPr>
                <w:t>Įsakymo projektu taip pat siūloma Taisykles</w:t>
              </w:r>
              <w:r>
                <w:rPr>
                  <w:szCs w:val="24"/>
                  <w:lang w:eastAsia="lt-LT"/>
                </w:rPr>
                <w:t xml:space="preserve"> </w:t>
              </w:r>
              <w:r>
                <w:rPr>
                  <w:szCs w:val="24"/>
                </w:rPr>
                <w:t xml:space="preserve">papildyti nuostata, kuria ILTE pavedama, prieš išmokant palūkanų kompensaciją pagalbos gavėjui, patikrinti, ar pagalbos gavėjui </w:t>
              </w:r>
              <w:r>
                <w:rPr>
                  <w:szCs w:val="24"/>
                  <w:lang w:eastAsia="lt-LT"/>
                </w:rPr>
                <w:t>nėra iškelta bankroto ir (ar) restruktūrizavimo byla.</w:t>
              </w:r>
            </w:p>
            <w:p>
              <w:pPr>
                <w:spacing w:line="288" w:lineRule="auto"/>
                <w:ind w:firstLine="720"/>
                <w:jc w:val="both"/>
                <w:rPr>
                  <w:szCs w:val="24"/>
                </w:rPr>
              </w:pPr>
              <w:r>
                <w:rPr>
                  <w:szCs w:val="24"/>
                </w:rPr>
                <w:t>Įsakymo projektui įgyvendinti nereikalingi institucijų ir (ar) įstaigų informacinių sistemų pakeitimai.</w:t>
              </w:r>
            </w:p>
            <w:p>
              <w:pPr>
                <w:spacing w:line="288" w:lineRule="auto"/>
                <w:ind w:firstLine="720"/>
                <w:jc w:val="both"/>
                <w:rPr>
                  <w:szCs w:val="24"/>
                </w:rPr>
              </w:pPr>
              <w:r>
                <w:rPr>
                  <w:szCs w:val="24"/>
                </w:rPr>
                <w:t xml:space="preserve">Įsakymo projektas bus skelbiamas Lietuvos Respublikos Seimo kanceliarijos teisės aktų informacinės sistemos </w:t>
              </w:r>
              <w:r>
                <w:rPr>
                  <w:rFonts w:eastAsia="Andale Sans UI"/>
                  <w:spacing w:val="4"/>
                  <w:szCs w:val="24"/>
                  <w:lang w:bidi="en-US"/>
                </w:rPr>
                <w:t>Projektų registravimo posistemyje</w:t>
              </w:r>
              <w:r>
                <w:rPr>
                  <w:szCs w:val="24"/>
                </w:rPr>
                <w:t xml:space="preserve"> 10 darbo dienų.</w:t>
              </w:r>
            </w:p>
            <w:p>
              <w:pPr>
                <w:spacing w:line="288" w:lineRule="auto"/>
                <w:ind w:firstLine="720"/>
                <w:jc w:val="both"/>
                <w:rPr>
                  <w:szCs w:val="24"/>
                </w:rPr>
              </w:pPr>
              <w:r>
                <w:rPr>
                  <w:szCs w:val="24"/>
                </w:rPr>
                <w:t>Įsakymo projektas bus derinamas su ILTE.</w:t>
              </w:r>
            </w:p>
            <w:p>
              <w:pPr>
                <w:overflowPunct w:val="0"/>
                <w:spacing w:line="288" w:lineRule="auto"/>
                <w:ind w:firstLine="720"/>
                <w:jc w:val="both"/>
                <w:textAlignment w:val="baseline"/>
                <w:rPr>
                  <w:szCs w:val="24"/>
                </w:rPr>
              </w:pPr>
              <w:r>
                <w:rPr>
                  <w:szCs w:val="24"/>
                </w:rPr>
                <w:t>Atliktas antikorupcinis vertinimas.</w:t>
              </w:r>
            </w:p>
            <w:p>
              <w:pPr>
                <w:overflowPunct w:val="0"/>
                <w:spacing w:line="288" w:lineRule="auto"/>
                <w:ind w:firstLine="720"/>
                <w:jc w:val="both"/>
                <w:textAlignment w:val="baseline"/>
                <w:rPr>
                  <w:szCs w:val="24"/>
                </w:rPr>
              </w:pPr>
              <w:r>
                <w:rPr>
                  <w:szCs w:val="24"/>
                </w:rPr>
                <w:t>Administracinės naštos vertinimas bei numatomo teisinio reguliavimo poveikio vertinimas neatliekami. Poveikis konkurencijai nenumatomas. Įsakymo projektas neperkelia ir neįgyvendina Europos Sąjungos direktyvų ar kitų Europos Sąjungos teisės aktų, nenotifikuotinas Europos Komisijai.</w:t>
              </w:r>
            </w:p>
            <w:p>
              <w:pPr>
                <w:overflowPunct w:val="0"/>
                <w:spacing w:line="288" w:lineRule="auto"/>
                <w:ind w:firstLine="720"/>
                <w:jc w:val="both"/>
                <w:textAlignment w:val="baseline"/>
                <w:rPr>
                  <w:szCs w:val="24"/>
                </w:rPr>
              </w:pPr>
              <w:r>
                <w:rPr>
                  <w:szCs w:val="24"/>
                </w:rPr>
                <w:t>Priėmus Įsakymo projektą, kitų teisės aktų nereikės keisti.</w:t>
              </w:r>
            </w:p>
            <w:p>
              <w:pPr>
                <w:spacing w:line="288" w:lineRule="auto"/>
                <w:ind w:firstLine="720"/>
                <w:jc w:val="both"/>
                <w:rPr>
                  <w:szCs w:val="24"/>
                </w:rPr>
              </w:pPr>
              <w:r>
                <w:rPr>
                  <w:szCs w:val="24"/>
                </w:rPr>
                <w:t>Įsakymo projektą parengė Ministerijos Finansų ir biudžeto departamento (direktorė Regina Mininienė, tel. +370 5 2391 341, el. p. regina.mininiene@zum.lt) vyriausioji specialistė Asta Kaunė, tel. +370 5 2391 064, el. p. asta.kaune@zum.lt.</w:t>
              </w:r>
            </w:p>
            <w:p>
              <w:pPr>
                <w:spacing w:line="288" w:lineRule="auto"/>
                <w:ind w:firstLine="720"/>
                <w:jc w:val="both"/>
                <w:rPr>
                  <w:szCs w:val="24"/>
                </w:rPr>
              </w:pPr>
              <w:r>
                <w:rPr>
                  <w:szCs w:val="24"/>
                </w:rPr>
                <w:t>PRIDEDAMA:</w:t>
              </w:r>
            </w:p>
            <w:sdt>
              <w:sdtPr>
                <w:alias w:val="1 p."/>
                <w:tag w:val="part_d8b92d6bf198449fbbf063ab10fe96f6"/>
                <w:lock w:val="sdtLocked"/>
                <w:richText/>
              </w:sdtPr>
              <w:sdtContent>
                <w:p>
                  <w:pPr>
                    <w:spacing w:line="288" w:lineRule="auto"/>
                    <w:ind w:firstLine="720"/>
                    <w:jc w:val="both"/>
                    <w:rPr>
                      <w:szCs w:val="24"/>
                    </w:rPr>
                  </w:pPr>
                  <w:sdt>
                    <w:sdtPr>
                      <w:alias w:val="Numeris"/>
                      <w:tag w:val="nr_d8b92d6bf198449fbbf063ab10fe96f6"/>
                      <w:lock w:val="sdtLocked"/>
                      <w:richText/>
                    </w:sdtPr>
                    <w:sdtContent>
                      <w:r>
                        <w:rPr>
                          <w:rFonts w:ascii="TimesLT" w:hAnsi="TimesLT"/>
                        </w:rPr>
                        <w:t>1</w:t>
                      </w:r>
                    </w:sdtContent>
                  </w:sdt>
                  <w:r>
                    <w:rPr>
                      <w:rFonts w:ascii="TimesLT" w:hAnsi="TimesLT"/>
                    </w:rPr>
                    <w:t>. Įsakymo projektas, 13 lapų.</w:t>
                  </w:r>
                </w:p>
              </w:sdtContent>
            </w:sdt>
            <w:sdt>
              <w:sdtPr>
                <w:alias w:val="2 p."/>
                <w:tag w:val="part_296b674c735e4de3a7abd89b2ed73f73"/>
                <w:lock w:val="sdtLocked"/>
                <w:richText/>
              </w:sdtPr>
              <w:sdtContent>
                <w:p>
                  <w:pPr>
                    <w:overflowPunct w:val="0"/>
                    <w:spacing w:line="288" w:lineRule="auto"/>
                    <w:ind w:firstLine="720"/>
                    <w:jc w:val="both"/>
                    <w:textAlignment w:val="baseline"/>
                    <w:rPr>
                      <w:szCs w:val="24"/>
                    </w:rPr>
                  </w:pPr>
                  <w:sdt>
                    <w:sdtPr>
                      <w:alias w:val="Numeris"/>
                      <w:tag w:val="nr_296b674c735e4de3a7abd89b2ed73f73"/>
                      <w:lock w:val="sdtLocked"/>
                      <w:richText/>
                    </w:sdtPr>
                    <w:sdtContent>
                      <w:r>
                        <w:rPr>
                          <w:szCs w:val="24"/>
                        </w:rPr>
                        <w:t>2</w:t>
                      </w:r>
                    </w:sdtContent>
                  </w:sdt>
                  <w:r>
                    <w:rPr>
                      <w:szCs w:val="24"/>
                    </w:rPr>
                    <w:t>. Antikorupcinio vertinimo pažyma, 4 lapai.</w:t>
                  </w:r>
                </w:p>
                <w:p>
                  <w:pPr>
                    <w:overflowPunct w:val="0"/>
                    <w:spacing w:line="288" w:lineRule="auto"/>
                    <w:jc w:val="both"/>
                    <w:textAlignment w:val="baseline"/>
                    <w:rPr>
                      <w:szCs w:val="24"/>
                    </w:rPr>
                  </w:pPr>
                </w:p>
              </w:sdtContent>
            </w:sdt>
          </w:sdtContent>
        </w:sdt>
        <w:sdt>
          <w:sdtPr>
            <w:alias w:val="signatura"/>
            <w:tag w:val="part_3a29011956864452b8cc0f036c10f2fc"/>
            <w:lock w:val="sdtLocked"/>
            <w:richText/>
          </w:sdtPr>
          <w:sdtContent>
            <w:p>
              <w:pPr>
                <w:tabs>
                  <w:tab w:val="left" w:pos="7513"/>
                  <w:tab w:val="left" w:pos="8080"/>
                </w:tabs>
                <w:overflowPunct w:val="0"/>
                <w:spacing w:line="288" w:lineRule="auto"/>
                <w:jc w:val="both"/>
                <w:textAlignment w:val="baseline"/>
                <w:rPr>
                  <w:szCs w:val="24"/>
                </w:rPr>
              </w:pPr>
              <w:r>
                <w:rPr>
                  <w:szCs w:val="24"/>
                </w:rPr>
                <w:t>Viceministrė</w:t>
                <w:tab/>
                <w:t>Laura Ramanauskaitė</w:t>
              </w:r>
            </w:p>
            <w:p>
              <w:pPr>
                <w:overflowPunct w:val="0"/>
                <w:spacing w:line="288" w:lineRule="auto"/>
                <w:jc w:val="both"/>
                <w:textAlignment w:val="baseline"/>
                <w:rPr>
                  <w:szCs w:val="24"/>
                </w:rPr>
              </w:pPr>
            </w:p>
            <w:p>
              <w:pPr>
                <w:overflowPunct w:val="0"/>
                <w:spacing w:line="288" w:lineRule="auto"/>
                <w:jc w:val="both"/>
                <w:textAlignment w:val="baseline"/>
                <w:rPr>
                  <w:szCs w:val="24"/>
                </w:rPr>
              </w:pPr>
            </w:p>
            <w:p>
              <w:pPr>
                <w:overflowPunct w:val="0"/>
                <w:spacing w:line="288" w:lineRule="auto"/>
                <w:jc w:val="both"/>
                <w:textAlignment w:val="baseline"/>
                <w:rPr>
                  <w:szCs w:val="24"/>
                </w:rPr>
              </w:pPr>
              <w:r>
                <w:rPr>
                  <w:szCs w:val="24"/>
                </w:rPr>
                <w:t xml:space="preserve">Asta Kaunė, tel. +370 5 239 1064, el. p. asta.kaune@zum.lt </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7" w:h="16840" w:code="9"/>
      <w:pgMar w:top="1247" w:right="567" w:bottom="1134" w:left="1701" w:header="284"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overflowPunct w:val="0"/>
        <w:textAlignment w:val="baseline"/>
        <w:rPr>
          <w:rFonts w:ascii="TimesLT" w:hAnsi="TimesLT"/>
          <w:lang w:val="en-GB"/>
        </w:rPr>
      </w:pPr>
      <w:r>
        <w:rPr>
          <w:rFonts w:ascii="TimesLT" w:hAnsi="TimesLT"/>
          <w:lang w:val="en-GB"/>
        </w:rPr>
        <w:separator/>
      </w:r>
    </w:p>
  </w:endnote>
  <w:endnote w:type="continuationSeparator" w:id="0">
    <w:p>
      <w:pPr>
        <w:overflowPunct w:val="0"/>
        <w:textAlignment w:val="baseline"/>
        <w:rPr>
          <w:rFonts w:ascii="TimesLT" w:hAnsi="TimesLT"/>
          <w:lang w:val="en-GB"/>
        </w:rPr>
      </w:pPr>
      <w:r>
        <w:rPr>
          <w:rFonts w:ascii="TimesLT" w:hAnsi="TimesLT"/>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Andale Sans UI">
    <w:altName w:val="Arial Unicode MS"/>
    <w:charset w:val="00"/>
    <w:family w:val="auto"/>
    <w:pitch w:val="default"/>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rFonts w:ascii="TimesLT" w:hAnsi="TimesLT"/>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right"/>
      <w:textAlignment w:val="baseline"/>
      <w:rPr>
        <w:sz w:val="18"/>
        <w:szCs w:val="18"/>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rFonts w:ascii="TimesLT" w:hAnsi="TimesLT"/>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overflowPunct w:val="0"/>
        <w:textAlignment w:val="baseline"/>
        <w:rPr>
          <w:rFonts w:ascii="TimesLT" w:hAnsi="TimesLT"/>
          <w:lang w:val="en-GB"/>
        </w:rPr>
      </w:pPr>
      <w:r>
        <w:rPr>
          <w:rFonts w:ascii="TimesLT" w:hAnsi="TimesLT"/>
          <w:lang w:val="en-GB"/>
        </w:rPr>
        <w:separator/>
      </w:r>
    </w:p>
  </w:footnote>
  <w:footnote w:type="continuationSeparator" w:id="0">
    <w:p>
      <w:pPr>
        <w:overflowPunct w:val="0"/>
        <w:textAlignment w:val="baseline"/>
        <w:rPr>
          <w:rFonts w:ascii="TimesLT" w:hAnsi="TimesLT"/>
          <w:lang w:val="en-GB"/>
        </w:rPr>
      </w:pPr>
      <w:r>
        <w:rPr>
          <w:rFonts w:ascii="TimesLT" w:hAnsi="TimesLT"/>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rFonts w:ascii="TimesLT" w:hAnsi="TimesLT"/>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textAlignment w:val="baseline"/>
      <w:rPr>
        <w:rFonts w:ascii="TimesLT" w:hAnsi="TimesLT"/>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120"/>
  <w:drawingGridVerticalSpacing w:val="6"/>
  <w:displayHorizontalDrawingGridEvery w:val="2"/>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D9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62C087AE-C5E9-419D-A90A-FCAC0771EE4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32502901">
      <w:bodyDiv w:val="1"/>
      <w:marLeft w:val="0"/>
      <w:marRight w:val="0"/>
      <w:marTop w:val="0"/>
      <w:marBottom w:val="0"/>
      <w:divBdr>
        <w:top w:val="none" w:sz="0" w:space="0" w:color="auto"/>
        <w:left w:val="none" w:sz="0" w:space="0" w:color="auto"/>
        <w:bottom w:val="none" w:sz="0" w:space="0" w:color="auto"/>
        <w:right w:val="none" w:sz="0" w:space="0" w:color="auto"/>
      </w:divBdr>
    </w:div>
    <w:div w:id="811753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jpeg"/>
  <Relationship Id="rId7"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468bbe3afd84aeb95513918a693229d" PartId="22e4147f72074910a785311749ecea66">
    <Part Type="skirsnis" Title="DĖL ŽEMĖS ŪKIO MINISTRO 2015 M. RUGSĖJO 16 D. ĮSAKYMO NR. 3D-691 „DĖL PALŪKANŲ, KURIAS SUMOKĖJO ŪKIO SUBJEKTAI, UŽSIIMANTYS PIRMINE ŽEMĖS ŪKIO PRODUKTŲ GAMYBA, PERDIRBIMU IR (AR) PREKYBA, UŽ PASKOLAS APYVARTINĖMS LĖŠOMS PAPILDYTI IR (AR) BIOLOGINIAM TURTUI ĮSIGYTI IR PAGAL FAKTORINGO SUTARTIS APYVARTINĖMS LĖŠOMS PAPILDYTI SU INDIVIDUALIA GARANTIJA, KOMPENSAVIMO TAISYKLIŲ PATVIRTINIMO“ PAKEITIMO" DocPartId="fca64426a5684d189293ab69fbfc73da" PartId="1873dce1347f45dcb210b5b740e2b375">
      <Part Type="punktas" Nr="1" Abbr="1 p." DocPartId="7146c01791504d5b9b36f79b32d0deaf" PartId="d8b92d6bf198449fbbf063ab10fe96f6"/>
      <Part Type="punktas" Nr="2" Abbr="2 p." DocPartId="248f2785e6434f6fa2919f1254c5f0b4" PartId="296b674c735e4de3a7abd89b2ed73f73"/>
    </Part>
    <Part Type="signatura" DocPartId="8cb61f3a6a014da4a416aee1c96e2bba" PartId="3a29011956864452b8cc0f036c10f2fc"/>
  </Part>
</Parts>
</file>

<file path=customXml/itemProps1.xml><?xml version="1.0" encoding="utf-8"?>
<ds:datastoreItem xmlns:ds="http://schemas.openxmlformats.org/officeDocument/2006/customXml" ds:itemID="{21A75FC5-BE4C-4AE5-91D5-27052374216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763</Words>
  <Characters>5288</Characters>
  <Application>Microsoft Office Word</Application>
  <DocSecurity>4</DocSecurity>
  <Lines>107</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6020</CharactersWithSpaces>
  <SharedDoc>false</SharedDoc>
  <HyperlinkBase/>
  <HLinks>
    <vt:vector size="6" baseType="variant">
      <vt:variant>
        <vt:i4>917540</vt:i4>
      </vt:variant>
      <vt:variant>
        <vt:i4>0</vt:i4>
      </vt:variant>
      <vt:variant>
        <vt:i4>0</vt:i4>
      </vt:variant>
      <vt:variant>
        <vt:i4>5</vt:i4>
      </vt:variant>
      <vt:variant>
        <vt:lpwstr>mailto:zum@zum.lt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2024-10-11T12:53:00Z</dcterms:created>
  <dc:creator>Natalija Solovjova</dc:creator>
  <lastModifiedBy>adlibuser</lastModifiedBy>
  <dcterms:modified xsi:type="dcterms:W3CDTF">2024-10-11T12:53:00Z</dcterms:modified>
  <revision>2</revision>
</coreProperties>
</file>