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483C030" w14:textId="77777777">
      <w:pPr>
        <w:tabs>
          <w:tab w:val="center" w:pos="4680"/>
          <w:tab w:val="right" w:pos="9360"/>
        </w:tabs>
        <w:rPr>
          <w:sz w:val="22"/>
          <w:szCs w:val="22"/>
          <w:lang w:eastAsia="lt-LT"/>
        </w:rPr>
      </w:pPr>
    </w:p>
    <w:p w14:paraId="1E45FD38" w14:textId="77777777">
      <w:pPr>
        <w:suppressAutoHyphens/>
        <w:jc w:val="center"/>
        <w:textAlignment w:val="baseline"/>
        <w:rPr>
          <w:b/>
          <w:szCs w:val="24"/>
          <w:lang w:eastAsia="lt-LT"/>
        </w:rPr>
      </w:pPr>
    </w:p>
    <w:p w14:paraId="7E10192B" w14:textId="77777777">
      <w:pPr>
        <w:suppressAutoHyphens/>
        <w:jc w:val="center"/>
        <w:textAlignment w:val="baseline"/>
        <w:rPr>
          <w:b/>
          <w:szCs w:val="24"/>
          <w:lang w:eastAsia="lt-LT"/>
        </w:rPr>
      </w:pPr>
      <w:r>
        <w:rPr>
          <w:b/>
          <w:szCs w:val="24"/>
          <w:lang w:eastAsia="lt-LT"/>
        </w:rPr>
        <w:t>TEISĖS AKTŲ PROJEKTŲ ANTIKORUPCINIO VERTINIMO PAŽYMA</w:t>
      </w:r>
    </w:p>
    <w:p w14:paraId="4AA27FEE" w14:textId="77777777">
      <w:pPr>
        <w:suppressAutoHyphens/>
        <w:textAlignment w:val="baseline"/>
        <w:rPr>
          <w:szCs w:val="24"/>
          <w:lang w:eastAsia="lt-LT"/>
        </w:rPr>
      </w:pPr>
    </w:p>
    <w:p w14:paraId="5712AA4C" w14:textId="29FFA82D">
      <w:pPr>
        <w:suppressAutoHyphens/>
        <w:jc w:val="both"/>
        <w:textAlignment w:val="baseline"/>
        <w:rPr>
          <w:szCs w:val="24"/>
          <w:lang w:eastAsia="lt-LT"/>
        </w:rPr>
      </w:pPr>
      <w:r>
        <w:rPr>
          <w:szCs w:val="24"/>
          <w:lang w:eastAsia="lt-LT"/>
        </w:rPr>
        <w:t xml:space="preserve">Teisės akto projekto pavadinimas: </w:t>
      </w:r>
      <w:r>
        <w:t>Šiaulių miesto savivaldybei nuosavybės teise priklausančio ir patikėjimo teise valdomo turto nuomos tvarkos aprašo projektas</w:t>
      </w:r>
    </w:p>
    <w:p w14:paraId="021C017A" w14:textId="5C4A012E">
      <w:pPr>
        <w:suppressAutoHyphens/>
        <w:jc w:val="both"/>
        <w:textAlignment w:val="baseline"/>
        <w:rPr>
          <w:szCs w:val="24"/>
          <w:lang w:eastAsia="lt-LT"/>
        </w:rPr>
      </w:pPr>
      <w:r>
        <w:rPr>
          <w:szCs w:val="24"/>
          <w:lang w:eastAsia="lt-LT"/>
        </w:rPr>
        <w:t>Teisės akto projekto tiesioginis rengėjas: Turto valdymo skyriaus vyriausioji specialistė Leta Petraitienė</w:t>
      </w:r>
    </w:p>
    <w:p w14:paraId="07714CF6" w14:textId="77777777">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20A23038" w14:textId="77777777">
      <w:pPr>
        <w:suppressAutoHyphens/>
        <w:ind w:firstLine="1296"/>
        <w:textAlignment w:val="baseline"/>
        <w:rPr>
          <w:szCs w:val="24"/>
          <w:lang w:eastAsia="lt-LT"/>
        </w:rPr>
      </w:pPr>
      <w:r>
        <w:rPr>
          <w:szCs w:val="24"/>
          <w:lang w:eastAsia="lt-LT"/>
        </w:rPr>
        <w:t xml:space="preserve">□ </w:t>
      </w:r>
      <w:r>
        <w:rPr>
          <w:szCs w:val="24"/>
          <w:u w:val="single"/>
          <w:lang w:eastAsia="lt-LT"/>
        </w:rPr>
        <w:t xml:space="preserve">suderinus teisės akto projektą viešojo administravimo subjekte ir su </w:t>
      </w:r>
      <w:r>
        <w:rPr>
          <w:szCs w:val="24"/>
          <w:u w:val="single"/>
        </w:rPr>
        <w:t>pavaldžiomis įstaigomis (įstaigomis prie ministerijos ir kitomis ministrui pavestose valdymo srityse veikiančiomis įstaigomis ir įmonėmis)</w:t>
      </w:r>
      <w:r>
        <w:rPr>
          <w:szCs w:val="24"/>
          <w:u w:val="single"/>
          <w:lang w:eastAsia="lt-LT"/>
        </w:rPr>
        <w:t>;</w:t>
      </w:r>
    </w:p>
    <w:p w14:paraId="09209D51" w14:textId="77777777">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433FF3DF" w14:textId="77777777">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077B8021" w14:textId="77777777">
      <w:pPr>
        <w:suppressAutoHyphens/>
        <w:jc w:val="both"/>
        <w:textAlignment w:val="baseline"/>
      </w:pPr>
      <w:r>
        <w:t>_________________________________________________________________________________________________________________________</w:t>
      </w:r>
    </w:p>
    <w:p w14:paraId="27EF2025" w14:textId="77777777">
      <w:pPr>
        <w:suppressAutoHyphens/>
        <w:jc w:val="both"/>
        <w:textAlignment w:val="baseline"/>
      </w:pPr>
      <w:r>
        <w:rPr>
          <w:szCs w:val="24"/>
          <w:lang w:eastAsia="lt-LT"/>
        </w:rPr>
        <w:t>_________________________________________________________________________________________________________________________</w:t>
      </w:r>
    </w:p>
    <w:p w14:paraId="1BB10116" w14:textId="77777777">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14:paraId="1137124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837411" w14:textId="77777777">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08B086" w14:textId="77777777">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90ABA" w14:textId="77777777">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ECD59C4" w14:textId="77777777">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F95FA9" w14:textId="77777777">
            <w:pPr>
              <w:suppressAutoHyphens/>
              <w:jc w:val="center"/>
              <w:textAlignment w:val="baseline"/>
              <w:rPr>
                <w:szCs w:val="24"/>
                <w:lang w:eastAsia="lt-LT"/>
              </w:rPr>
            </w:pPr>
          </w:p>
          <w:p w14:paraId="57D7BDB8" w14:textId="77777777">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0A962845" w14:textId="77777777">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938C2C" w14:textId="77777777">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60755B29" w14:textId="77777777">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14:paraId="1D6D8624"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60F15" w14:textId="77777777">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D5CD1" w14:textId="77777777">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E7CA5" w14:textId="2F202813">
            <w:pPr>
              <w:suppressAutoHyphens/>
              <w:textAlignment w:val="baseline"/>
              <w:rPr>
                <w:b/>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07AB1" w14:textId="77777777">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FAD59"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5BF9E907" w14:textId="77777777">
            <w:pPr>
              <w:suppressAutoHyphens/>
              <w:textAlignment w:val="baseline"/>
              <w:rPr>
                <w:szCs w:val="24"/>
                <w:lang w:eastAsia="lt-LT"/>
              </w:rPr>
            </w:pPr>
            <w:r>
              <w:rPr>
                <w:szCs w:val="24"/>
                <w:lang w:eastAsia="lt-LT"/>
              </w:rPr>
              <w:t>□ netenkina</w:t>
            </w:r>
          </w:p>
        </w:tc>
      </w:tr>
      <w:tr w14:paraId="6EA691D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FC954" w14:textId="77777777">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B627A" w14:textId="77777777">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D9653" w14:textId="5A242E56">
            <w:pPr>
              <w:keepNext/>
              <w:suppressAutoHyphens/>
              <w:textAlignment w:val="baseline"/>
              <w:rPr>
                <w:szCs w:val="24"/>
                <w:lang w:eastAsia="lt-LT"/>
              </w:rPr>
            </w:pPr>
            <w:r>
              <w:t xml:space="preserve">Aprašo 39.1 papunktyje nurodyta, kad Komisija bet kuriuo metu iki </w:t>
            </w:r>
            <w:r>
              <w:rPr>
                <w:lang w:bidi="km-KH"/>
              </w:rPr>
              <w:t xml:space="preserve">Turto nuomos </w:t>
            </w:r>
            <w:r>
              <w:t xml:space="preserve">sutarties sudarymo turi teisę nutraukti turto nuomos konkurso procedūras, jeigu „atsiranda </w:t>
            </w:r>
            <w:r>
              <w:rPr>
                <w:b/>
                <w:bCs/>
                <w:i/>
                <w:iCs/>
              </w:rPr>
              <w:t>objektyvių</w:t>
            </w:r>
            <w:r>
              <w:t xml:space="preserve"> aplinkybių, kurių nebuvo galima numatyti iki paskelbiant turto nuomos konkursą“. Siūlytina vertinti šio papunkčio sukonkretinimą, įvardijant konkrečias aplinkybes dėl konkurso procedūrų nutraukimo. Nėra aišku, kokios aplinkybės laikytinos objektyviomis, terminas suteikia plačią diskrecijos teisę sprendžiant dėl procedūrų nutraukimo.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28209" w14:textId="20D386E7">
            <w:pPr>
              <w:ind w:firstLine="851"/>
              <w:jc w:val="both"/>
              <w:rPr>
                <w:szCs w:val="24"/>
                <w:lang w:eastAsia="hi-IN"/>
              </w:rPr>
            </w:pPr>
            <w:r>
              <w:rPr>
                <w:szCs w:val="24"/>
                <w:lang w:eastAsia="lt-LT"/>
              </w:rPr>
              <w:t xml:space="preserve">Aprašo 39.1 punktas parengtas vadovaujantis </w:t>
            </w:r>
            <w:r>
              <w:rPr>
                <w:szCs w:val="24"/>
                <w:lang w:eastAsia="hi-IN"/>
              </w:rPr>
              <w:t xml:space="preserve">Lietuvos Respublikos  vyriausybės nutarimo Nr. 1524 „Dėl valstybės ilgalaikio materialiojo turto, valstybės ir savivaldybių nekilnojamojo turto nuomos“  36. punktu „valstybės turto valdytojas bet kuriuo metu iki nuomos sutarties sudarymo turi teisę nutraukti konkurso procedūras, jeigu: </w:t>
            </w:r>
          </w:p>
          <w:p w14:paraId="2B938443" w14:textId="3B67CB38">
            <w:pPr>
              <w:ind w:firstLine="851"/>
              <w:jc w:val="both"/>
              <w:rPr>
                <w:szCs w:val="24"/>
                <w:lang w:eastAsia="hi-IN"/>
              </w:rPr>
            </w:pPr>
            <w:r>
              <w:rPr>
                <w:szCs w:val="24"/>
                <w:lang w:eastAsia="hi-IN"/>
              </w:rPr>
              <w:t>36.1. atsiranda objektyvių aplinkybių, kurių nebuvo galima numatyti iki paskelbiant turto nuomos konkursą.“</w:t>
            </w:r>
          </w:p>
          <w:p w14:paraId="17EBEF66" w14:textId="3ADCED0F">
            <w:pPr>
              <w:ind w:firstLine="851"/>
              <w:jc w:val="both"/>
              <w:rPr>
                <w:szCs w:val="24"/>
                <w:lang w:eastAsia="hi-IN"/>
              </w:rPr>
            </w:pPr>
            <w:r>
              <w:rPr>
                <w:szCs w:val="24"/>
                <w:lang w:eastAsia="hi-IN"/>
              </w:rPr>
              <w:t>Šiuo punktu vadovaujasi ir kitos savivaldybės – Panevėžio miesto, Šiaulių rajono savivaldybės.</w:t>
            </w:r>
          </w:p>
          <w:p w14:paraId="371CA3E0" w14:textId="5545D4E2">
            <w:pPr>
              <w:keepNext/>
              <w:suppressAutoHyphens/>
              <w:jc w:val="both"/>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C7AB47" w14:textId="77777777">
            <w:pPr>
              <w:keepNext/>
              <w:suppressAutoHyphens/>
              <w:textAlignment w:val="baseline"/>
              <w:rPr>
                <w:szCs w:val="24"/>
                <w:lang w:eastAsia="lt-LT"/>
              </w:rPr>
            </w:pPr>
            <w:r>
              <w:rPr>
                <w:szCs w:val="24"/>
                <w:lang w:eastAsia="lt-LT"/>
              </w:rPr>
              <w:t>□ tenkina</w:t>
            </w:r>
          </w:p>
          <w:p w14:paraId="6702BA00" w14:textId="77777777">
            <w:pPr>
              <w:keepNext/>
              <w:suppressAutoHyphens/>
              <w:textAlignment w:val="baseline"/>
              <w:rPr>
                <w:szCs w:val="24"/>
                <w:lang w:eastAsia="lt-LT"/>
              </w:rPr>
            </w:pPr>
            <w:r>
              <w:rPr>
                <w:szCs w:val="24"/>
                <w:lang w:eastAsia="lt-LT"/>
              </w:rPr>
              <w:t>□ netenkina</w:t>
            </w:r>
          </w:p>
        </w:tc>
      </w:tr>
      <w:tr w14:paraId="4BCA543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54737" w14:textId="77777777">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9AA53" w14:textId="77777777">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EBCEA" w14:textId="41810CE9">
            <w:pPr>
              <w:suppressAutoHyphens/>
              <w:jc w:val="both"/>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23640"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7F589"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32038321" w14:textId="77777777">
            <w:pPr>
              <w:suppressAutoHyphens/>
              <w:textAlignment w:val="baseline"/>
              <w:rPr>
                <w:szCs w:val="24"/>
                <w:lang w:eastAsia="lt-LT"/>
              </w:rPr>
            </w:pPr>
            <w:r>
              <w:rPr>
                <w:szCs w:val="24"/>
                <w:lang w:eastAsia="lt-LT"/>
              </w:rPr>
              <w:t>□ netenkina</w:t>
            </w:r>
          </w:p>
        </w:tc>
      </w:tr>
      <w:tr w14:paraId="3718FCCB"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DA9E8" w14:textId="77777777">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C00A6" w14:textId="77777777">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1B233" w14:textId="013F374E">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E3CD3"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02C85"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0A3890D5" w14:textId="77777777">
            <w:pPr>
              <w:suppressAutoHyphens/>
              <w:textAlignment w:val="baseline"/>
              <w:rPr>
                <w:szCs w:val="24"/>
                <w:lang w:eastAsia="lt-LT"/>
              </w:rPr>
            </w:pPr>
            <w:r>
              <w:rPr>
                <w:szCs w:val="24"/>
                <w:lang w:eastAsia="lt-LT"/>
              </w:rPr>
              <w:t>□ netenkina</w:t>
            </w:r>
          </w:p>
        </w:tc>
      </w:tr>
      <w:tr w14:paraId="69EE7C6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6D82B" w14:textId="77777777">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FD1C6" w14:textId="77777777">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F5ED7" w14:textId="42440292">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623A4"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213A2"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5F480B83" w14:textId="77777777">
            <w:pPr>
              <w:suppressAutoHyphens/>
              <w:textAlignment w:val="baseline"/>
              <w:rPr>
                <w:szCs w:val="24"/>
                <w:lang w:eastAsia="lt-LT"/>
              </w:rPr>
            </w:pPr>
            <w:r>
              <w:rPr>
                <w:szCs w:val="24"/>
                <w:lang w:eastAsia="lt-LT"/>
              </w:rPr>
              <w:t>□ netenkina</w:t>
            </w:r>
          </w:p>
        </w:tc>
      </w:tr>
      <w:tr w14:paraId="1D8091C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65C44" w14:textId="77777777">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EA466" w14:textId="77777777">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5B519" w14:textId="2607953F">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143F8"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94A4C"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0E243136" w14:textId="77777777">
            <w:pPr>
              <w:suppressAutoHyphens/>
              <w:textAlignment w:val="baseline"/>
              <w:rPr>
                <w:szCs w:val="24"/>
                <w:lang w:eastAsia="lt-LT"/>
              </w:rPr>
            </w:pPr>
            <w:r>
              <w:rPr>
                <w:szCs w:val="24"/>
                <w:lang w:eastAsia="lt-LT"/>
              </w:rPr>
              <w:t>□ netenkina</w:t>
            </w:r>
          </w:p>
        </w:tc>
      </w:tr>
      <w:tr w14:paraId="374751D6"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62D40" w14:textId="77777777">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2F0E7" w14:textId="77777777">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0A309" w14:textId="76CD91E0">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B774D"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C6F15"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4A9E559D" w14:textId="77777777">
            <w:pPr>
              <w:suppressAutoHyphens/>
              <w:textAlignment w:val="baseline"/>
              <w:rPr>
                <w:szCs w:val="24"/>
                <w:lang w:eastAsia="lt-LT"/>
              </w:rPr>
            </w:pPr>
            <w:r>
              <w:rPr>
                <w:szCs w:val="24"/>
                <w:lang w:eastAsia="lt-LT"/>
              </w:rPr>
              <w:t>□ netenkina</w:t>
            </w:r>
          </w:p>
        </w:tc>
      </w:tr>
      <w:tr w14:paraId="2427956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B4480" w14:textId="77777777">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FC076" w14:textId="77777777">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7402B" w14:textId="35EAEF36">
            <w:pPr>
              <w:suppressAutoHyphens/>
              <w:textAlignment w:val="baseline"/>
              <w:rPr>
                <w:b/>
                <w:szCs w:val="24"/>
                <w:lang w:eastAsia="lt-LT"/>
              </w:rPr>
            </w:pPr>
            <w:r>
              <w:rPr>
                <w:bCs/>
                <w:szCs w:val="24"/>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5682C" w14:textId="77777777">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A1C74" w14:textId="77777777">
            <w:pPr>
              <w:suppressAutoHyphens/>
              <w:textAlignment w:val="baseline"/>
              <w:rPr>
                <w:szCs w:val="24"/>
                <w:lang w:eastAsia="lt-LT"/>
              </w:rPr>
            </w:pPr>
            <w:r>
              <w:rPr>
                <w:szCs w:val="24"/>
                <w:lang w:eastAsia="lt-LT"/>
              </w:rPr>
              <w:t>□ tenkina</w:t>
            </w:r>
          </w:p>
          <w:p w14:paraId="18F25806" w14:textId="77777777">
            <w:pPr>
              <w:suppressAutoHyphens/>
              <w:textAlignment w:val="baseline"/>
              <w:rPr>
                <w:szCs w:val="24"/>
                <w:lang w:eastAsia="lt-LT"/>
              </w:rPr>
            </w:pPr>
            <w:r>
              <w:rPr>
                <w:szCs w:val="24"/>
                <w:lang w:eastAsia="lt-LT"/>
              </w:rPr>
              <w:t>□ netenkina</w:t>
            </w:r>
          </w:p>
        </w:tc>
      </w:tr>
      <w:tr w14:paraId="4DDC2C5B"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9B653D" w14:textId="77777777">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7A050" w14:textId="77777777">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071DFE06" w14:textId="77777777">
            <w:pPr>
              <w:suppressAutoHyphens/>
              <w:ind w:left="33"/>
              <w:textAlignment w:val="baseline"/>
              <w:rPr>
                <w:szCs w:val="24"/>
              </w:rPr>
            </w:pPr>
            <w:r>
              <w:rPr>
                <w:szCs w:val="24"/>
              </w:rPr>
              <w:t>9.1. konkretus narių skaičius, užtikrinantis kolegialaus sprendimus priimančio subjekto veiklos objektyvumą</w:t>
            </w:r>
          </w:p>
          <w:p w14:paraId="24A6E175" w14:textId="77777777">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123FE9A" w14:textId="77777777">
            <w:pPr>
              <w:suppressAutoHyphens/>
              <w:textAlignment w:val="baseline"/>
            </w:pPr>
            <w:r>
              <w:rPr>
                <w:szCs w:val="24"/>
                <w:lang w:eastAsia="lt-LT"/>
              </w:rPr>
              <w:t>9.3</w:t>
            </w:r>
            <w:r>
              <w:rPr>
                <w:spacing w:val="-4"/>
                <w:szCs w:val="24"/>
                <w:lang w:eastAsia="lt-LT"/>
              </w:rPr>
              <w:t>. narių skyrimo mechanizmas</w:t>
            </w:r>
          </w:p>
          <w:p w14:paraId="4CEB1D28" w14:textId="77777777">
            <w:pPr>
              <w:suppressAutoHyphens/>
              <w:textAlignment w:val="baseline"/>
              <w:rPr>
                <w:szCs w:val="24"/>
                <w:lang w:eastAsia="lt-LT"/>
              </w:rPr>
            </w:pPr>
            <w:r>
              <w:rPr>
                <w:szCs w:val="24"/>
                <w:lang w:eastAsia="lt-LT"/>
              </w:rPr>
              <w:t>9.4. narių rotacija ir kadencijų skaičius ir trukmė</w:t>
            </w:r>
          </w:p>
          <w:p w14:paraId="72CA5EBF" w14:textId="77777777">
            <w:pPr>
              <w:suppressAutoHyphens/>
              <w:textAlignment w:val="baseline"/>
              <w:rPr>
                <w:szCs w:val="24"/>
              </w:rPr>
            </w:pPr>
            <w:r>
              <w:rPr>
                <w:szCs w:val="24"/>
              </w:rPr>
              <w:t>9.5. veiklos pobūdis laiko atžvilgiu</w:t>
            </w:r>
          </w:p>
          <w:p w14:paraId="58A1AFB5" w14:textId="77777777">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5EC1C" w14:textId="3257991A">
            <w:pPr>
              <w:suppressAutoHyphens/>
              <w:textAlignment w:val="baseline"/>
              <w:rPr>
                <w:color w:val="000000"/>
                <w:szCs w:val="24"/>
              </w:rPr>
            </w:pPr>
            <w:r>
              <w:rPr>
                <w:color w:val="000000"/>
                <w:szCs w:val="24"/>
              </w:rPr>
              <w:t>1. Aprašo projekto 13 punkte nurodyta, kad, „</w:t>
            </w:r>
            <w:r>
              <w:rPr>
                <w:szCs w:val="24"/>
              </w:rPr>
              <w:t>Viešajam turto nuomos konkursui organizuoti turto valdytojas sudaro nuolatinę arba laikinąją turto nuomos konkurso komisiją“</w:t>
            </w:r>
            <w:r>
              <w:rPr>
                <w:color w:val="000000"/>
                <w:szCs w:val="24"/>
              </w:rPr>
              <w:t>. Nėra nurodyta, kuriais atvejais turto nuomos konkursui organizuoti sudaromos nuolatinės, o kuriais atvejais – laikinosios komisijos; kokiam terminui sudaromos laikinosios komisijos (ar apibrėžtam, ar tik konkretiems rezultatams įgyvendinti, pavyzdžiui, konkretaus turto objektų nuomai organizuoti).</w:t>
            </w:r>
          </w:p>
          <w:p w14:paraId="4DDEA95D" w14:textId="70E94483">
            <w:pPr>
              <w:suppressAutoHyphens/>
              <w:textAlignment w:val="baseline"/>
              <w:rPr>
                <w:i/>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99146" w14:textId="77777777">
            <w:pPr>
              <w:suppressAutoHyphens/>
              <w:textAlignment w:val="baseline"/>
              <w:rPr>
                <w:szCs w:val="24"/>
                <w:lang w:eastAsia="lt-LT"/>
              </w:rPr>
            </w:pPr>
            <w:r>
              <w:rPr>
                <w:szCs w:val="24"/>
                <w:lang w:eastAsia="lt-LT"/>
              </w:rPr>
              <w:t>Atsižvelgta.</w:t>
            </w:r>
          </w:p>
          <w:p w14:paraId="7214433A" w14:textId="63B75D12">
            <w:pPr>
              <w:suppressAutoHyphens/>
              <w:textAlignment w:val="baseline"/>
              <w:rPr>
                <w:szCs w:val="24"/>
                <w:lang w:eastAsia="lt-LT"/>
              </w:rPr>
            </w:pPr>
            <w:r>
              <w:rPr>
                <w:szCs w:val="24"/>
                <w:lang w:eastAsia="lt-LT"/>
              </w:rPr>
              <w:t>13 Aprašo punktas papildytas tokiu tekstu: „Atsižvelgiant į nuomos konkursų dažnumą, poreikį turto valdytojas priima sprendimą dėl laikinos ar nuolatinės komisijos sudarymo.“</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3FE3C" w14:textId="77777777">
            <w:pPr>
              <w:suppressAutoHyphens/>
              <w:textAlignment w:val="baseline"/>
              <w:rPr>
                <w:szCs w:val="24"/>
                <w:lang w:eastAsia="lt-LT"/>
              </w:rPr>
            </w:pPr>
            <w:r>
              <w:rPr>
                <w:szCs w:val="24"/>
                <w:lang w:eastAsia="lt-LT"/>
              </w:rPr>
              <w:t>□ tenkina</w:t>
            </w:r>
          </w:p>
          <w:p w14:paraId="2D1D0882" w14:textId="77777777">
            <w:pPr>
              <w:suppressAutoHyphens/>
              <w:textAlignment w:val="baseline"/>
              <w:rPr>
                <w:szCs w:val="24"/>
                <w:lang w:eastAsia="lt-LT"/>
              </w:rPr>
            </w:pPr>
            <w:r>
              <w:rPr>
                <w:szCs w:val="24"/>
                <w:lang w:eastAsia="lt-LT"/>
              </w:rPr>
              <w:t>□ netenkina</w:t>
            </w:r>
          </w:p>
        </w:tc>
      </w:tr>
      <w:tr w14:paraId="12B1CD1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E83B1" w14:textId="77777777">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ECE9A" w14:textId="77777777">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8D7B7" w14:textId="2DE5EE1E">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8654A"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2B19B"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46B46C76" w14:textId="77777777">
            <w:pPr>
              <w:suppressAutoHyphens/>
              <w:textAlignment w:val="baseline"/>
              <w:rPr>
                <w:szCs w:val="24"/>
                <w:lang w:eastAsia="lt-LT"/>
              </w:rPr>
            </w:pPr>
            <w:r>
              <w:rPr>
                <w:szCs w:val="24"/>
                <w:lang w:eastAsia="lt-LT"/>
              </w:rPr>
              <w:t>□ netenkina</w:t>
            </w:r>
          </w:p>
        </w:tc>
      </w:tr>
      <w:tr w14:paraId="6C94D2A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616F1" w14:textId="77777777">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AF3BE" w14:textId="77777777">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591D9" w14:textId="495DB110">
            <w:pPr>
              <w:keepNext/>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8F2CC" w14:textId="77777777">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74219" w14:textId="77777777">
            <w:pPr>
              <w:keepNext/>
              <w:suppressAutoHyphens/>
              <w:textAlignment w:val="baseline"/>
              <w:rPr>
                <w:szCs w:val="24"/>
                <w:lang w:eastAsia="lt-LT"/>
              </w:rPr>
            </w:pPr>
            <w:r>
              <w:rPr>
                <w:szCs w:val="24"/>
                <w:lang w:eastAsia="lt-LT"/>
              </w:rPr>
              <w:t xml:space="preserve">□ </w:t>
            </w:r>
            <w:r>
              <w:rPr>
                <w:b/>
                <w:bCs/>
                <w:szCs w:val="24"/>
                <w:u w:val="single"/>
                <w:lang w:eastAsia="lt-LT"/>
              </w:rPr>
              <w:t>tenkina</w:t>
            </w:r>
          </w:p>
          <w:p w14:paraId="361F5F39" w14:textId="77777777">
            <w:pPr>
              <w:keepNext/>
              <w:suppressAutoHyphens/>
              <w:textAlignment w:val="baseline"/>
              <w:rPr>
                <w:szCs w:val="24"/>
                <w:lang w:eastAsia="lt-LT"/>
              </w:rPr>
            </w:pPr>
            <w:r>
              <w:rPr>
                <w:szCs w:val="24"/>
                <w:lang w:eastAsia="lt-LT"/>
              </w:rPr>
              <w:t>□ netenkina</w:t>
            </w:r>
          </w:p>
        </w:tc>
      </w:tr>
      <w:tr w14:paraId="61EC2D4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1BB9D" w14:textId="77777777">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74E60" w14:textId="77777777">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698A3" w14:textId="5462B16A">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A5DF0"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286EB"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013ED132" w14:textId="77777777">
            <w:pPr>
              <w:suppressAutoHyphens/>
              <w:textAlignment w:val="baseline"/>
              <w:rPr>
                <w:szCs w:val="24"/>
                <w:lang w:eastAsia="lt-LT"/>
              </w:rPr>
            </w:pPr>
            <w:r>
              <w:rPr>
                <w:szCs w:val="24"/>
                <w:lang w:eastAsia="lt-LT"/>
              </w:rPr>
              <w:t>□ netenkina</w:t>
            </w:r>
          </w:p>
        </w:tc>
      </w:tr>
      <w:tr w14:paraId="47D2018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0D208" w14:textId="77777777">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D663C9" w14:textId="77777777">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ED88F" w14:textId="5FF34FED">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A4D1"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DA89E"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66EA5BD6" w14:textId="77777777">
            <w:pPr>
              <w:suppressAutoHyphens/>
              <w:textAlignment w:val="baseline"/>
              <w:rPr>
                <w:szCs w:val="24"/>
                <w:lang w:eastAsia="lt-LT"/>
              </w:rPr>
            </w:pPr>
            <w:r>
              <w:rPr>
                <w:szCs w:val="24"/>
                <w:lang w:eastAsia="lt-LT"/>
              </w:rPr>
              <w:t>□ netenkina</w:t>
            </w:r>
          </w:p>
        </w:tc>
      </w:tr>
      <w:tr w14:paraId="0616603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2573C" w14:textId="77777777">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990E9" w14:textId="77777777">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8F4A3" w14:textId="4E45FDD1">
            <w:pPr>
              <w:suppressAutoHyphens/>
              <w:textAlignment w:val="baseline"/>
              <w:rPr>
                <w:b/>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E01AF" w14:textId="77777777">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362B3"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31FE5BD9" w14:textId="77777777">
            <w:pPr>
              <w:suppressAutoHyphens/>
              <w:textAlignment w:val="baseline"/>
              <w:rPr>
                <w:szCs w:val="24"/>
                <w:lang w:eastAsia="lt-LT"/>
              </w:rPr>
            </w:pPr>
            <w:r>
              <w:rPr>
                <w:szCs w:val="24"/>
                <w:lang w:eastAsia="lt-LT"/>
              </w:rPr>
              <w:t>□ netenkina</w:t>
            </w:r>
          </w:p>
        </w:tc>
      </w:tr>
      <w:tr w14:paraId="6099AA5B"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4C870" w14:textId="77777777">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A309A" w14:textId="77777777">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75B77" w14:textId="27E6C8F8">
            <w:pPr>
              <w:suppressAutoHyphens/>
              <w:textAlignment w:val="baseline"/>
              <w:rPr>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C9DB4"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AC214" w14:textId="77777777">
            <w:pPr>
              <w:suppressAutoHyphens/>
              <w:textAlignment w:val="baseline"/>
              <w:rPr>
                <w:szCs w:val="24"/>
                <w:lang w:eastAsia="lt-LT"/>
              </w:rPr>
            </w:pPr>
            <w:r>
              <w:rPr>
                <w:szCs w:val="24"/>
                <w:lang w:eastAsia="lt-LT"/>
              </w:rPr>
              <w:t>□ tenkina</w:t>
            </w:r>
          </w:p>
          <w:p w14:paraId="7CE4623D" w14:textId="77777777">
            <w:pPr>
              <w:suppressAutoHyphens/>
              <w:textAlignment w:val="baseline"/>
              <w:rPr>
                <w:szCs w:val="24"/>
                <w:lang w:eastAsia="lt-LT"/>
              </w:rPr>
            </w:pPr>
            <w:r>
              <w:rPr>
                <w:szCs w:val="24"/>
                <w:lang w:eastAsia="lt-LT"/>
              </w:rPr>
              <w:t>□ netenkina</w:t>
            </w:r>
          </w:p>
        </w:tc>
      </w:tr>
      <w:tr w14:paraId="3455950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949FE" w14:textId="77777777">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083C17" w14:textId="77777777">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5F548" w14:textId="01A4BD52">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9B19"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DD168"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59D75144" w14:textId="77777777">
            <w:pPr>
              <w:suppressAutoHyphens/>
              <w:textAlignment w:val="baseline"/>
              <w:rPr>
                <w:szCs w:val="24"/>
                <w:lang w:eastAsia="lt-LT"/>
              </w:rPr>
            </w:pPr>
            <w:r>
              <w:rPr>
                <w:szCs w:val="24"/>
                <w:lang w:eastAsia="lt-LT"/>
              </w:rPr>
              <w:t>□ netenkina</w:t>
            </w:r>
          </w:p>
        </w:tc>
      </w:tr>
      <w:tr w14:paraId="6B7F4DF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2FE51" w14:textId="77777777">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33BEB" w14:textId="77777777">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EA60D" w14:textId="0297F4BE">
            <w:pPr>
              <w:keepNext/>
              <w:suppressAutoHyphens/>
              <w:textAlignment w:val="baseline"/>
              <w:rPr>
                <w:b/>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507FA" w14:textId="77777777">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FF80E" w14:textId="77777777">
            <w:pPr>
              <w:keepNext/>
              <w:suppressAutoHyphens/>
              <w:textAlignment w:val="baseline"/>
              <w:rPr>
                <w:szCs w:val="24"/>
                <w:lang w:eastAsia="lt-LT"/>
              </w:rPr>
            </w:pPr>
            <w:r>
              <w:rPr>
                <w:szCs w:val="24"/>
                <w:lang w:eastAsia="lt-LT"/>
              </w:rPr>
              <w:t>□ tenkina</w:t>
            </w:r>
          </w:p>
          <w:p w14:paraId="6D1C2333" w14:textId="77777777">
            <w:pPr>
              <w:keepNext/>
              <w:suppressAutoHyphens/>
              <w:textAlignment w:val="baseline"/>
              <w:rPr>
                <w:szCs w:val="24"/>
                <w:lang w:eastAsia="lt-LT"/>
              </w:rPr>
            </w:pPr>
            <w:r>
              <w:rPr>
                <w:szCs w:val="24"/>
                <w:lang w:eastAsia="lt-LT"/>
              </w:rPr>
              <w:t>□ netenkina</w:t>
            </w:r>
          </w:p>
        </w:tc>
      </w:tr>
      <w:tr w14:paraId="196821F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DFE7B" w14:textId="77777777">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7865C4" w14:textId="77777777">
            <w:pPr>
              <w:suppressAutoHyphens/>
              <w:textAlignment w:val="baseline"/>
              <w:rPr>
                <w:szCs w:val="24"/>
                <w:lang w:eastAsia="lt-LT"/>
              </w:rPr>
            </w:pPr>
            <w:r>
              <w:t xml:space="preserve">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C2B4" w14:textId="5AA6D7D9">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E5D91"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845EA"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2A0EEB5D" w14:textId="77777777">
            <w:pPr>
              <w:suppressAutoHyphens/>
              <w:textAlignment w:val="baseline"/>
              <w:rPr>
                <w:szCs w:val="24"/>
                <w:lang w:eastAsia="lt-LT"/>
              </w:rPr>
            </w:pPr>
            <w:r>
              <w:rPr>
                <w:szCs w:val="24"/>
                <w:lang w:eastAsia="lt-LT"/>
              </w:rPr>
              <w:t>□ netenkina</w:t>
            </w:r>
          </w:p>
        </w:tc>
      </w:tr>
      <w:tr w14:paraId="6B91C45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B7F4E" w14:textId="77777777">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FC23B" w14:textId="77777777">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CADF" w14:textId="5407A91C">
            <w:pPr>
              <w:widowControl w:val="0"/>
              <w:suppressAutoHyphens/>
              <w:ind w:right="-15"/>
              <w:jc w:val="both"/>
              <w:rPr>
                <w:rFonts w:eastAsia="Lucida Sans Unicode"/>
                <w:color w:val="000000"/>
                <w:szCs w:val="24"/>
                <w:lang w:eastAsia="ar-SA"/>
              </w:rPr>
            </w:pPr>
            <w:r>
              <w:rPr>
                <w:szCs w:val="24"/>
                <w:lang w:eastAsia="lt-LT"/>
              </w:rPr>
              <w:t xml:space="preserve">Siūlytina įvertinti dėl „Baigiamųjų nuostatų“ skyriaus įterpimo, kuriame būtų nurodyta, jog (1) </w:t>
            </w:r>
            <w:r>
              <w:rPr>
                <w:color w:val="000000"/>
                <w:szCs w:val="24"/>
                <w:lang w:eastAsia="lt-LT"/>
              </w:rPr>
              <w:t>Aprašas gali būti keičiamas, papildomas ir pripažįstamas netekusiu galios Savivaldybės tarybos sprendimu bei (2) Valstybės tarnautojai ir darbuotojai už šio Aprašo nuostatų nesilaikymą atsako Lietuvos Respublikos teisės aktų nustatyta tvarka.</w:t>
            </w:r>
          </w:p>
          <w:p w14:paraId="0B4B24AF" w14:textId="6DEEC592">
            <w:pPr>
              <w:jc w:val="both"/>
              <w:rPr>
                <w:color w:val="000000"/>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50B80" w14:textId="77777777">
            <w:pPr>
              <w:suppressAutoHyphens/>
              <w:textAlignment w:val="baseline"/>
              <w:rPr>
                <w:szCs w:val="24"/>
                <w:lang w:eastAsia="lt-LT"/>
              </w:rPr>
            </w:pPr>
            <w:r>
              <w:rPr>
                <w:szCs w:val="24"/>
                <w:lang w:eastAsia="lt-LT"/>
              </w:rPr>
              <w:t>Atsižvelgta.</w:t>
            </w:r>
          </w:p>
          <w:p w14:paraId="765750FA" w14:textId="15E011BC">
            <w:pPr>
              <w:suppressAutoHyphens/>
              <w:textAlignment w:val="baseline"/>
              <w:rPr>
                <w:szCs w:val="24"/>
                <w:lang w:eastAsia="lt-LT"/>
              </w:rPr>
            </w:pPr>
            <w:r>
              <w:rPr>
                <w:szCs w:val="24"/>
                <w:lang w:eastAsia="lt-LT"/>
              </w:rPr>
              <w:t>Aprašas papildytas VII skyriumi Baigiamosios nuostatos ir įrašyti šie punktai:</w:t>
            </w:r>
          </w:p>
          <w:p w14:paraId="0ECA6FF3" w14:textId="77777777">
            <w:pPr>
              <w:shd w:val="clear" w:color="auto" w:fill="FFFFFF"/>
              <w:jc w:val="center"/>
              <w:rPr>
                <w:szCs w:val="24"/>
                <w:lang w:eastAsia="hi-IN"/>
              </w:rPr>
            </w:pPr>
          </w:p>
          <w:p w14:paraId="07356AC3" w14:textId="77777777">
            <w:pPr>
              <w:tabs>
                <w:tab w:val="left" w:pos="709"/>
                <w:tab w:val="center" w:pos="4819"/>
              </w:tabs>
              <w:ind w:firstLine="709"/>
              <w:jc w:val="both"/>
              <w:rPr>
                <w:szCs w:val="24"/>
                <w:lang w:eastAsia="hi-IN"/>
              </w:rPr>
            </w:pPr>
            <w:r>
              <w:rPr>
                <w:szCs w:val="24"/>
                <w:lang w:eastAsia="hi-IN"/>
              </w:rPr>
              <w:t>90. Tai, kas nereglamentuota Apraše, sprendžiama taip, kaip nustatyta teisės aktuose.</w:t>
            </w:r>
          </w:p>
          <w:p w14:paraId="274D7822" w14:textId="77777777">
            <w:pPr>
              <w:tabs>
                <w:tab w:val="left" w:pos="709"/>
                <w:tab w:val="center" w:pos="4819"/>
              </w:tabs>
              <w:ind w:firstLine="709"/>
              <w:jc w:val="both"/>
              <w:rPr>
                <w:szCs w:val="24"/>
                <w:lang w:eastAsia="hi-IN"/>
              </w:rPr>
            </w:pPr>
            <w:r>
              <w:rPr>
                <w:szCs w:val="24"/>
                <w:lang w:eastAsia="hi-IN"/>
              </w:rPr>
              <w:t>91. Aprašas gali būti keičiamas, papildomas, pripažįstamas netekusiu galios Savivaldybės tarybos sprendimu.</w:t>
            </w:r>
          </w:p>
          <w:p w14:paraId="62067A27" w14:textId="77777777">
            <w:pPr>
              <w:tabs>
                <w:tab w:val="left" w:pos="709"/>
                <w:tab w:val="center" w:pos="4819"/>
              </w:tabs>
              <w:ind w:firstLine="709"/>
              <w:jc w:val="both"/>
              <w:rPr>
                <w:szCs w:val="24"/>
                <w:lang w:eastAsia="hi-IN"/>
              </w:rPr>
            </w:pPr>
            <w:r>
              <w:rPr>
                <w:szCs w:val="24"/>
                <w:lang w:eastAsia="hi-IN"/>
              </w:rPr>
              <w:t>92. Valstybės tarnautojai ir darbuotojai už šio Aprašo nuostatų nesilaikymą atsako Lietuvos Respublikos teisės aktų nustatyta tvarka.</w:t>
            </w:r>
          </w:p>
          <w:p w14:paraId="2D892726" w14:textId="77777777">
            <w:pPr>
              <w:tabs>
                <w:tab w:val="left" w:pos="709"/>
                <w:tab w:val="center" w:pos="4819"/>
              </w:tabs>
              <w:jc w:val="both"/>
              <w:rPr>
                <w:szCs w:val="24"/>
                <w:shd w:val="clear" w:color="auto" w:fill="FFFFFF"/>
                <w:lang w:eastAsia="hi-IN"/>
              </w:rPr>
            </w:pPr>
          </w:p>
          <w:p w14:paraId="5CCAF97B" w14:textId="6DD3EDD1">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1CE74" w14:textId="77777777">
            <w:pPr>
              <w:suppressAutoHyphens/>
              <w:textAlignment w:val="baseline"/>
              <w:rPr>
                <w:szCs w:val="24"/>
                <w:lang w:eastAsia="lt-LT"/>
              </w:rPr>
            </w:pPr>
            <w:r>
              <w:rPr>
                <w:szCs w:val="24"/>
                <w:lang w:eastAsia="lt-LT"/>
              </w:rPr>
              <w:t>□ tenkina</w:t>
            </w:r>
          </w:p>
          <w:p w14:paraId="18EA3220" w14:textId="77777777">
            <w:pPr>
              <w:suppressAutoHyphens/>
              <w:textAlignment w:val="baseline"/>
              <w:rPr>
                <w:szCs w:val="24"/>
                <w:lang w:eastAsia="lt-LT"/>
              </w:rPr>
            </w:pPr>
            <w:r>
              <w:rPr>
                <w:szCs w:val="24"/>
                <w:lang w:eastAsia="lt-LT"/>
              </w:rPr>
              <w:t>□ netenkina</w:t>
            </w:r>
          </w:p>
        </w:tc>
      </w:tr>
      <w:tr w14:paraId="05A12C5E"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782AD619" w14:textId="77777777">
            <w:pPr>
              <w:suppressAutoHyphens/>
              <w:textAlignment w:val="baseline"/>
              <w:rPr>
                <w:szCs w:val="24"/>
                <w:lang w:eastAsia="lt-LT"/>
              </w:rPr>
            </w:pPr>
          </w:p>
          <w:p w14:paraId="4D8F14A3" w14:textId="1E646D54">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0DC2E6E4" w14:textId="77777777">
            <w:pPr>
              <w:suppressAutoHyphens/>
              <w:textAlignment w:val="baseline"/>
              <w:rPr>
                <w:szCs w:val="24"/>
                <w:lang w:eastAsia="lt-LT"/>
              </w:rPr>
            </w:pPr>
          </w:p>
          <w:p w14:paraId="76C7E104" w14:textId="77777777">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3D3DCE9E" w14:textId="77777777">
            <w:pPr>
              <w:suppressAutoHyphens/>
              <w:textAlignment w:val="baseline"/>
              <w:rPr>
                <w:szCs w:val="24"/>
                <w:lang w:eastAsia="lt-LT"/>
              </w:rPr>
            </w:pPr>
          </w:p>
          <w:p w14:paraId="27B692BF" w14:textId="072C651C">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22287870" w14:textId="77777777">
            <w:pPr>
              <w:suppressAutoHyphens/>
              <w:textAlignment w:val="baseline"/>
              <w:rPr>
                <w:szCs w:val="24"/>
                <w:lang w:eastAsia="lt-LT"/>
              </w:rPr>
            </w:pPr>
          </w:p>
        </w:tc>
      </w:tr>
      <w:tr w14:paraId="15DCE2AC"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132FD729" w14:textId="77777777">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14:paraId="2D5DFE89" w14:textId="289D8468">
            <w:pPr>
              <w:suppressAutoHyphens/>
              <w:ind w:left="-11" w:firstLine="11"/>
              <w:textAlignment w:val="baseline"/>
              <w:rPr>
                <w:szCs w:val="24"/>
                <w:lang w:eastAsia="lt-LT"/>
              </w:rPr>
            </w:pPr>
            <w:r>
              <w:rPr>
                <w:szCs w:val="24"/>
                <w:lang w:eastAsia="lt-LT"/>
              </w:rPr>
              <w:t>Turto valdymo skyriaus vyriausioji specialistė Leta Petraitienė</w:t>
            </w:r>
          </w:p>
        </w:tc>
        <w:tc>
          <w:tcPr>
            <w:tcW w:w="2434" w:type="dxa"/>
            <w:gridSpan w:val="2"/>
            <w:tcBorders>
              <w:top w:val="nil"/>
              <w:left w:val="nil"/>
              <w:bottom w:val="nil"/>
              <w:right w:val="nil"/>
            </w:tcBorders>
            <w:tcMar>
              <w:top w:w="0" w:type="dxa"/>
              <w:left w:w="108" w:type="dxa"/>
              <w:bottom w:w="0" w:type="dxa"/>
              <w:right w:w="108" w:type="dxa"/>
            </w:tcMar>
          </w:tcPr>
          <w:p w14:paraId="09FAA1EB" w14:textId="77777777">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14:paraId="6F22672C" w14:textId="0B284E3F">
            <w:pPr>
              <w:suppressAutoHyphens/>
              <w:ind w:left="-11" w:firstLine="11"/>
              <w:textAlignment w:val="baseline"/>
              <w:rPr>
                <w:szCs w:val="24"/>
                <w:lang w:eastAsia="lt-LT"/>
              </w:rPr>
            </w:pPr>
            <w:r>
              <w:rPr>
                <w:szCs w:val="24"/>
                <w:lang w:eastAsia="lt-LT"/>
              </w:rPr>
              <w:t>Už korupcijai atsparios aplinkos kūrimą atsakingas asmuo (vyr. specialistė) Indrė Šležienė</w:t>
            </w:r>
          </w:p>
        </w:tc>
      </w:tr>
      <w:tr w14:paraId="0D32926B"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55F09250" w14:textId="77777777">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0929D8E3" w14:textId="77777777">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25723D6E" w14:textId="77777777">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2AAB6AF2" w14:textId="77777777">
            <w:pPr>
              <w:suppressAutoHyphens/>
              <w:ind w:left="-11" w:firstLine="11"/>
              <w:textAlignment w:val="baseline"/>
              <w:rPr>
                <w:szCs w:val="24"/>
                <w:lang w:eastAsia="lt-LT"/>
              </w:rPr>
            </w:pPr>
          </w:p>
        </w:tc>
      </w:tr>
      <w:tr w14:paraId="4C046A2D" w14:textId="7777777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6827D7CE" w14:textId="77777777">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244E83A8" w14:textId="3F543F7D">
            <w:pPr>
              <w:suppressAutoHyphens/>
              <w:ind w:left="-11" w:firstLine="11"/>
              <w:textAlignment w:val="baseline"/>
              <w:rPr>
                <w:szCs w:val="24"/>
                <w:lang w:eastAsia="lt-LT"/>
              </w:rPr>
            </w:pPr>
            <w:r>
              <w:rPr>
                <w:szCs w:val="24"/>
                <w:lang w:eastAsia="lt-LT"/>
              </w:rPr>
              <w:t xml:space="preserve">(parašas)                                          2022-08-08</w:t>
            </w:r>
          </w:p>
          <w:p w14:paraId="731D836B" w14:textId="77777777">
            <w:pPr>
              <w:suppressAutoHyphens/>
              <w:ind w:left="-11" w:firstLine="11"/>
              <w:textAlignment w:val="baseline"/>
              <w:rPr>
                <w:szCs w:val="24"/>
                <w:lang w:eastAsia="lt-LT"/>
              </w:rPr>
            </w:pPr>
          </w:p>
          <w:p w14:paraId="19B9A296" w14:textId="77777777">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19F1157" w14:textId="77777777">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4E479356" w14:textId="5AFB714C">
            <w:pPr>
              <w:suppressAutoHyphens/>
              <w:ind w:left="-11" w:firstLine="64"/>
              <w:textAlignment w:val="baseline"/>
              <w:rPr>
                <w:szCs w:val="24"/>
                <w:lang w:eastAsia="lt-LT"/>
              </w:rPr>
            </w:pPr>
            <w:r>
              <w:rPr>
                <w:szCs w:val="24"/>
                <w:lang w:eastAsia="lt-LT"/>
              </w:rPr>
              <w:t xml:space="preserve">(parašas)                                                2022-08-08</w:t>
            </w:r>
          </w:p>
          <w:p w14:paraId="2AEC20A3" w14:textId="77777777">
            <w:pPr>
              <w:suppressAutoHyphens/>
              <w:ind w:left="-11" w:firstLine="64"/>
              <w:textAlignment w:val="baseline"/>
              <w:rPr>
                <w:szCs w:val="24"/>
                <w:lang w:eastAsia="lt-LT"/>
              </w:rPr>
            </w:pPr>
          </w:p>
          <w:p w14:paraId="689F8D81" w14:textId="77777777">
            <w:pPr>
              <w:suppressAutoHyphens/>
              <w:ind w:left="-11" w:firstLine="64"/>
              <w:textAlignment w:val="baseline"/>
              <w:rPr>
                <w:szCs w:val="24"/>
                <w:lang w:eastAsia="lt-LT"/>
              </w:rPr>
            </w:pPr>
          </w:p>
        </w:tc>
      </w:tr>
    </w:tbl>
    <w:p/>
    <w:p w14:paraId="606A11CB" w14:textId="77777777">
      <w:pPr>
        <w:tabs>
          <w:tab w:val="left" w:pos="6237"/>
        </w:tabs>
        <w:suppressAutoHyphens/>
        <w:jc w:val="center"/>
        <w:textAlignment w:val="baseline"/>
      </w:pPr>
      <w:r>
        <w:rPr>
          <w:color w:val="000000"/>
          <w:szCs w:val="24"/>
          <w:lang w:eastAsia="lt-LT"/>
        </w:rPr>
        <w:t>___________________________</w:t>
      </w:r>
    </w:p>
    <w:p w14:paraId="60398398" w14:textId="77777777">
      <w:pPr>
        <w:tabs>
          <w:tab w:val="center" w:pos="-7800"/>
          <w:tab w:val="left" w:pos="6237"/>
          <w:tab w:val="right" w:pos="8306"/>
        </w:tabs>
      </w:pPr>
    </w:p>
    <w:p w14:paraId="197A38CF" w14:textId="77777777">
      <w:pPr>
        <w:tabs>
          <w:tab w:val="center" w:pos="-7800"/>
          <w:tab w:val="left" w:pos="6237"/>
          <w:tab w:val="right" w:pos="8306"/>
        </w:tabs>
        <w:rPr>
          <w:lang w:eastAsia="lt-LT"/>
        </w:rPr>
      </w:pPr>
    </w:p>
    <w:p w14:paraId="00E227D5" w14:textId="77777777">
      <w:pPr>
        <w:jc w:val="both"/>
        <w:rPr>
          <w:b/>
          <w:sz w:val="20"/>
        </w:rPr>
      </w:pPr>
    </w:p>
    <w:sectPr>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077" w:bottom="1134"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AD7E2" w14:textId="77777777">
      <w:pPr>
        <w:rPr>
          <w:lang w:eastAsia="lt-LT"/>
        </w:rPr>
      </w:pPr>
      <w:r>
        <w:rPr>
          <w:lang w:eastAsia="lt-LT"/>
        </w:rPr>
        <w:separator/>
      </w:r>
    </w:p>
  </w:endnote>
  <w:endnote w:type="continuationSeparator" w:id="0">
    <w:p w14:paraId="25E9925F"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B116"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20D8"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3BB5"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ABBC" w14:textId="77777777">
      <w:pPr>
        <w:rPr>
          <w:lang w:eastAsia="lt-LT"/>
        </w:rPr>
      </w:pPr>
      <w:r>
        <w:rPr>
          <w:lang w:eastAsia="lt-LT"/>
        </w:rPr>
        <w:separator/>
      </w:r>
    </w:p>
  </w:footnote>
  <w:footnote w:type="continuationSeparator" w:id="0">
    <w:p w14:paraId="2AA63C03" w14:textId="77777777">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0574" w14:textId="77777777">
    <w:pPr>
      <w:framePr w:wrap="auto" w:vAnchor="text" w:hAnchor="margin" w:xAlign="center" w:y="1"/>
      <w:tabs>
        <w:tab w:val="center" w:pos="4153"/>
        <w:tab w:val="right" w:pos="8306"/>
      </w:tabs>
      <w:rPr>
        <w:lang w:eastAsia="lt-LT"/>
      </w:rPr>
    </w:pPr>
  </w:p>
  <w:p w14:paraId="028C3E49"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18E1" w14:textId="77777777">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14:paraId="2C5B3AD1" w14:textId="77777777">
    <w:pPr>
      <w:tabs>
        <w:tab w:val="center" w:pos="4680"/>
        <w:tab w:val="right" w:pos="9360"/>
      </w:tabs>
      <w:rPr>
        <w:sz w:val="22"/>
        <w:szCs w:val="22"/>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EB7E"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3030E8"/>
  <w15:docId w15:val="{24B05411-2707-4FA8-985A-15DD76FA774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927716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79770071">
      <w:bodyDiv w:val="1"/>
      <w:marLeft w:val="0"/>
      <w:marRight w:val="0"/>
      <w:marTop w:val="0"/>
      <w:marBottom w:val="0"/>
      <w:divBdr>
        <w:top w:val="none" w:sz="0" w:space="0" w:color="auto"/>
        <w:left w:val="none" w:sz="0" w:space="0" w:color="auto"/>
        <w:bottom w:val="none" w:sz="0" w:space="0" w:color="auto"/>
        <w:right w:val="none" w:sz="0" w:space="0" w:color="auto"/>
      </w:divBdr>
      <w:divsChild>
        <w:div w:id="2135784582">
          <w:marLeft w:val="0"/>
          <w:marRight w:val="0"/>
          <w:marTop w:val="0"/>
          <w:marBottom w:val="0"/>
          <w:divBdr>
            <w:top w:val="none" w:sz="0" w:space="0" w:color="auto"/>
            <w:left w:val="none" w:sz="0" w:space="0" w:color="auto"/>
            <w:bottom w:val="none" w:sz="0" w:space="0" w:color="auto"/>
            <w:right w:val="none" w:sz="0" w:space="0" w:color="auto"/>
          </w:divBdr>
        </w:div>
        <w:div w:id="1467353814">
          <w:marLeft w:val="0"/>
          <w:marRight w:val="0"/>
          <w:marTop w:val="0"/>
          <w:marBottom w:val="0"/>
          <w:divBdr>
            <w:top w:val="none" w:sz="0" w:space="0" w:color="auto"/>
            <w:left w:val="none" w:sz="0" w:space="0" w:color="auto"/>
            <w:bottom w:val="none" w:sz="0" w:space="0" w:color="auto"/>
            <w:right w:val="none" w:sz="0" w:space="0" w:color="auto"/>
          </w:divBdr>
        </w:div>
        <w:div w:id="1042903317">
          <w:marLeft w:val="0"/>
          <w:marRight w:val="0"/>
          <w:marTop w:val="0"/>
          <w:marBottom w:val="0"/>
          <w:divBdr>
            <w:top w:val="none" w:sz="0" w:space="0" w:color="auto"/>
            <w:left w:val="none" w:sz="0" w:space="0" w:color="auto"/>
            <w:bottom w:val="none" w:sz="0" w:space="0" w:color="auto"/>
            <w:right w:val="none" w:sz="0" w:space="0" w:color="auto"/>
          </w:divBdr>
        </w:div>
      </w:divsChild>
    </w:div>
    <w:div w:id="21215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8229</Characters>
  <Application>Microsoft Office Word</Application>
  <DocSecurity>4</DocSecurity>
  <Lines>391</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9183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2022-09-26T07:12:00Z</dcterms:created>
  <dc:creator>lrvk</dc:creator>
  <lastModifiedBy>adlibuser</lastModifiedBy>
  <lastPrinted>2022-08-08T10:08:00Z</lastPrinted>
  <dcterms:modified xsi:type="dcterms:W3CDTF">2022-09-26T07:12:00Z</dcterms:modified>
  <revision>2</revision>
</coreProperties>
</file>