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7e12e0d21146b68280562b7f702314"/>
        <w:lock w:val="sdtLocked"/>
        <w:richText/>
      </w:sdtPr>
      <w:sdtContent>
        <w:p w14:paraId="0789042D" w14:textId="77777777">
          <w:pPr>
            <w:tabs>
              <w:tab w:val="center" w:pos="4153"/>
              <w:tab w:val="right" w:pos="8306"/>
            </w:tabs>
            <w:jc w:val="right"/>
          </w:pPr>
        </w:p>
        <w:p w14:paraId="2E71DBC9" w14:textId="77777777">
          <w:pPr>
            <w:tabs>
              <w:tab w:val="center" w:pos="4153"/>
              <w:tab w:val="right" w:pos="8306"/>
            </w:tabs>
            <w:jc w:val="right"/>
          </w:pPr>
        </w:p>
        <w:p w14:paraId="4B7694AB" w14:textId="21D18E1E">
          <w:pPr>
            <w:rPr>
              <w:b/>
              <w:bCs/>
            </w:rPr>
          </w:pPr>
        </w:p>
        <w:p w14:paraId="42A5F668" w14:textId="77777777">
          <w:pPr>
            <w:jc w:val="center"/>
            <w:rPr>
              <w:b/>
              <w:bCs/>
            </w:rPr>
          </w:pPr>
          <w:r>
            <w:rPr>
              <w:b/>
              <w:bCs/>
            </w:rPr>
            <w:t>ŠIAULIŲ MIESTO SAVIVALDYBĖS ADMINISTRACIJOS</w:t>
          </w:r>
        </w:p>
        <w:sdt>
          <w:sdtPr>
            <w:alias w:val="skyrius"/>
            <w:tag w:val="part_f78468b5799643219d9a0e7f50b88d23"/>
            <w:lock w:val="sdtLocked"/>
            <w:richText/>
          </w:sdtPr>
          <w:sdtContent>
            <w:p w14:paraId="42A5F66A" w14:textId="77777777">
              <w:pPr>
                <w:jc w:val="center"/>
                <w:rPr>
                  <w:b/>
                  <w:bCs/>
                </w:rPr>
              </w:pPr>
              <w:r>
                <w:rPr>
                  <w:b/>
                  <w:bCs/>
                </w:rPr>
                <w:t>STRATEGINIO PLANAVIMO IR FINANSŲ SKYRIUS</w:t>
              </w:r>
            </w:p>
            <w:p w14:paraId="42A5F66B" w14:textId="77777777">
              <w:pPr>
                <w:jc w:val="center"/>
                <w:rPr>
                  <w:b/>
                  <w:bCs/>
                </w:rPr>
              </w:pPr>
            </w:p>
            <w:sdt>
              <w:sdtPr>
                <w:alias w:val="Pavadinimas"/>
                <w:tag w:val="title_f78468b5799643219d9a0e7f50b88d23"/>
                <w:lock w:val="sdtLocked"/>
                <w:richText/>
              </w:sdtPr>
              <w:sdtContent>
                <w:p w14:paraId="42A5F66C" w14:textId="0D011DE2">
                  <w:pPr>
                    <w:keepNext/>
                    <w:jc w:val="center"/>
                    <w:rPr>
                      <w:b/>
                      <w:bCs/>
                      <w:lang w:eastAsia="x-none"/>
                    </w:rPr>
                  </w:pPr>
                  <w:r>
                    <w:rPr>
                      <w:b/>
                      <w:bCs/>
                      <w:lang w:val="x-none" w:eastAsia="x-none"/>
                    </w:rPr>
                    <w:t>SPRENDIMO „</w:t>
                  </w:r>
                  <w:r>
                    <w:rPr>
                      <w:b/>
                      <w:bCs/>
                      <w:lang w:eastAsia="x-none"/>
                    </w:rPr>
                    <w:t xml:space="preserve">DĖL </w:t>
                  </w:r>
                  <w:r>
                    <w:rPr>
                      <w:b/>
                      <w:bCs/>
                      <w:lang w:val="x-none" w:eastAsia="x-none"/>
                    </w:rPr>
                    <w:t>ŠIAULIŲ MIESTO SAVIVALDYBĖS TARYB</w:t>
                  </w:r>
                  <w:r>
                    <w:rPr>
                      <w:b/>
                      <w:bCs/>
                      <w:lang w:eastAsia="x-none"/>
                    </w:rPr>
                    <w:t xml:space="preserve">OS 2023 M. VASARIO </w:t>
                  </w:r>
                </w:p>
                <w:p w14:paraId="42A5F66D" w14:textId="74F250E5">
                  <w:pPr>
                    <w:keepNext/>
                    <w:jc w:val="center"/>
                    <w:rPr>
                      <w:b/>
                      <w:bCs/>
                      <w:lang w:eastAsia="x-none"/>
                    </w:rPr>
                  </w:pPr>
                  <w:r>
                    <w:rPr>
                      <w:b/>
                      <w:bCs/>
                      <w:lang w:eastAsia="x-none"/>
                    </w:rPr>
                    <w:t>2 D. SPRENDIMO NR. T-2 „DĖL</w:t>
                  </w:r>
                  <w:r>
                    <w:rPr>
                      <w:b/>
                      <w:bCs/>
                      <w:lang w:val="x-none" w:eastAsia="x-none"/>
                    </w:rPr>
                    <w:t xml:space="preserve"> ŠIAULIŲ MIESTO SAVIVALDYBĖS 20</w:t>
                  </w:r>
                  <w:r>
                    <w:rPr>
                      <w:b/>
                      <w:bCs/>
                      <w:lang w:eastAsia="x-none"/>
                    </w:rPr>
                    <w:t>23</w:t>
                  </w:r>
                  <w:r>
                    <w:rPr>
                      <w:b/>
                      <w:bCs/>
                      <w:lang w:val="x-none" w:eastAsia="x-none"/>
                    </w:rPr>
                    <w:t xml:space="preserve"> METŲ BIUDŽETO PATVIRTINIMO</w:t>
                  </w:r>
                  <w:r>
                    <w:rPr>
                      <w:b/>
                      <w:bCs/>
                      <w:lang w:eastAsia="x-none"/>
                    </w:rPr>
                    <w:t>“ PAKEITIMO</w:t>
                  </w:r>
                  <w:r>
                    <w:rPr>
                      <w:b/>
                      <w:bCs/>
                      <w:lang w:val="x-none" w:eastAsia="x-none"/>
                    </w:rPr>
                    <w:t>“ PROJEKTO</w:t>
                  </w:r>
                </w:p>
                <w:p w14:paraId="42A5F66E" w14:textId="77777777">
                  <w:pPr>
                    <w:jc w:val="center"/>
                    <w:rPr>
                      <w:b/>
                      <w:bCs/>
                    </w:rPr>
                  </w:pPr>
                  <w:r>
                    <w:rPr>
                      <w:b/>
                      <w:bCs/>
                    </w:rPr>
                    <w:t>AIŠKINAMASIS RAŠTAS</w:t>
                  </w:r>
                </w:p>
              </w:sdtContent>
            </w:sdt>
            <w:p w14:paraId="42A5F66F" w14:textId="77777777">
              <w:pPr>
                <w:jc w:val="center"/>
                <w:rPr>
                  <w:b/>
                  <w:bCs/>
                </w:rPr>
              </w:pPr>
            </w:p>
            <w:p w14:paraId="40F8CC9F" w14:textId="5B84B859">
              <w:pPr>
                <w:jc w:val="center"/>
              </w:pPr>
              <w:r>
                <w:t xml:space="preserve">2023-08-          </w:t>
              </w:r>
            </w:p>
            <w:p w14:paraId="42A5F671" w14:textId="23CED36B">
              <w:pPr>
                <w:jc w:val="center"/>
                <w:rPr>
                  <w:szCs w:val="24"/>
                </w:rPr>
              </w:pPr>
              <w:r>
                <w:rPr>
                  <w:szCs w:val="24"/>
                </w:rPr>
                <w:t>Šiauliai</w:t>
              </w:r>
            </w:p>
            <w:p w14:paraId="42A5F674" w14:textId="01C25392">
              <w:pPr>
                <w:rPr>
                  <w:szCs w:val="24"/>
                </w:rPr>
              </w:pPr>
            </w:p>
            <w:sdt>
              <w:sdtPr>
                <w:alias w:val="poskyris"/>
                <w:tag w:val="part_9f523931a1974695850e6d05a80de70c"/>
                <w:lock w:val="sdtLocked"/>
                <w:richText/>
              </w:sdtPr>
              <w:sdtContent>
                <w:p w14:paraId="42A5F675" w14:textId="77777777">
                  <w:pPr>
                    <w:ind w:firstLine="567"/>
                    <w:jc w:val="both"/>
                    <w:rPr>
                      <w:b/>
                      <w:bCs/>
                    </w:rPr>
                  </w:pPr>
                  <w:sdt>
                    <w:sdtPr>
                      <w:alias w:val="Pavadinimas"/>
                      <w:tag w:val="title_9f523931a1974695850e6d05a80de70c"/>
                      <w:lock w:val="sdtLocked"/>
                      <w:richText/>
                    </w:sdtPr>
                    <w:sdtContent>
                      <w:r>
                        <w:rPr>
                          <w:b/>
                          <w:bCs/>
                        </w:rPr>
                        <w:t>Parengto sprendimo projekto tikslas ir uždaviniai.</w:t>
                      </w:r>
                    </w:sdtContent>
                  </w:sdt>
                </w:p>
                <w:p w14:paraId="1FC229B2" w14:textId="5C001B5E">
                  <w:pPr>
                    <w:ind w:firstLine="567"/>
                    <w:jc w:val="both"/>
                    <w:rPr>
                      <w:szCs w:val="24"/>
                      <w:lang w:eastAsia="lt-LT"/>
                    </w:rPr>
                  </w:pPr>
                  <w:r>
                    <w:rPr>
                      <w:szCs w:val="24"/>
                      <w:lang w:val="x-none"/>
                    </w:rPr>
                    <w:t>Parengtas sprendimo projektas dėl</w:t>
                  </w:r>
                  <w:r>
                    <w:rPr>
                      <w:b/>
                      <w:bCs/>
                      <w:szCs w:val="24"/>
                      <w:lang w:val="x-none"/>
                    </w:rPr>
                    <w:t xml:space="preserve"> </w:t>
                  </w:r>
                  <w:r>
                    <w:rPr>
                      <w:szCs w:val="24"/>
                      <w:lang w:val="x-none"/>
                    </w:rPr>
                    <w:t>Šiaulių miesto savivaldybės 20</w:t>
                  </w:r>
                  <w:r>
                    <w:rPr>
                      <w:szCs w:val="24"/>
                    </w:rPr>
                    <w:t>23</w:t>
                  </w:r>
                  <w:r>
                    <w:rPr>
                      <w:szCs w:val="24"/>
                      <w:lang w:val="x-none"/>
                    </w:rPr>
                    <w:t xml:space="preserve"> metų biudžeto pakeitimo. Lietuvos Respublikos teisėkūros pagrindų įstatymo 14 straipsnio 3 dalis nustato, kad k</w:t>
                  </w:r>
                  <w:r>
                    <w:rPr>
                      <w:szCs w:val="24"/>
                      <w:lang w:val="x-none" w:eastAsia="lt-LT"/>
                    </w:rPr>
                    <w:t xml:space="preserve">ai keičiamame teisės akte keičiama daugiau kaip pusė jo straipsnių ar punktų, visas teisės aktas dėstomas nauja redakcija. </w:t>
                  </w:r>
                </w:p>
              </w:sdtContent>
            </w:sdt>
            <w:sdt>
              <w:sdtPr>
                <w:alias w:val="poskyris"/>
                <w:tag w:val="part_60b1c779b2764b7dafbf11dc09424d88"/>
                <w:lock w:val="sdtLocked"/>
                <w:richText/>
              </w:sdtPr>
              <w:sdtContent>
                <w:p w14:paraId="42A5F678" w14:textId="77777777">
                  <w:pPr>
                    <w:ind w:firstLine="540"/>
                    <w:jc w:val="both"/>
                    <w:rPr>
                      <w:b/>
                      <w:szCs w:val="24"/>
                      <w:shd w:val="clear" w:color="auto" w:fill="FFFFFF"/>
                    </w:rPr>
                  </w:pPr>
                  <w:sdt>
                    <w:sdtPr>
                      <w:alias w:val="Pavadinimas"/>
                      <w:tag w:val="title_60b1c779b2764b7dafbf11dc09424d88"/>
                      <w:lock w:val="sdtLocked"/>
                      <w:richText/>
                    </w:sdtPr>
                    <w:sdtContent>
                      <w:r>
                        <w:rPr>
                          <w:b/>
                          <w:szCs w:val="24"/>
                          <w:shd w:val="clear" w:color="auto" w:fill="FFFFFF"/>
                        </w:rPr>
                        <w:t xml:space="preserve">Dabartinis sprendimo projekte aptariamų klausimų reguliavimas. </w:t>
                      </w:r>
                    </w:sdtContent>
                  </w:sdt>
                </w:p>
                <w:p w14:paraId="217578E6" w14:textId="4FEF4F08">
                  <w:pPr>
                    <w:ind w:firstLine="567"/>
                    <w:jc w:val="both"/>
                  </w:pPr>
                  <w:r>
                    <w:t xml:space="preserve">Sprendimo projekto nauja redakcija parengta vadovaujantis Lietuvos Respublikos Socialinės apsaugos ir darbo ministro 2023 m. gegužės 16 d. įsakymu Nr. A1-315 „Dėl valstybės vardu pasiskolintų lėšų paskirstymo savivaldybių administracijoms 2023 metų I ketvirtį, siekiant padengti jų išlaidas, patirtas teikiant paramą būstui išsinuomoti pagal Lietuvos Respublikos paramos būstui įsigyti ar išsinuomoti įstatymą užsieniečiams, pasitraukusiems iš Ukrainos dėl Rusijos Federacijos karinių veiksmų Ukrainoje“, Lietuvos Respublikos Socialinės apsaugos ir darbo ministerijos kanclerio 2023 m. gegužės 31 d. potvarkiu Nr. A3-77 „Dėl Lietuvos Respublikos Socialinės apsaugos ir darbo ministerijos kanclerio 2022 m. gruodžio 22 d.  potvarkio Nr. A3-201 „Dėl valstybės biudžeto specialiųjų tikslinių dotacijų, skirtų būsto nuomos ar išperkamosios būsto nuomos mokesčio daliai kompensuoti savivaldybių biudžetams 2023 matais, paskirstymo ketvirčiais savivaldybių administracijoms patvirtinimo“ pakeitimo“, Mobilizacijos ir pilietinio pasipriešinimo departamento prie Krašto apsaugos ir ministerijos 2023 m. birželio 21 d. raštu Nr. G-4768 „Dėl patikslintos 2023 m. programos sąmatos, </w:t>
                  </w:r>
                  <w:r>
                    <w:rPr>
                      <w:szCs w:val="24"/>
                      <w:lang w:eastAsia="lt-LT"/>
                    </w:rPr>
                    <w:t xml:space="preserve">Lietuvos Respublikos socialinės apsaugos ir darbo ministro 2023 m. liepos 24 d. įsakymu Nr. A1-498 „Dėl Lietuvos Respublikos socialinės apsaugos ir darbo ministro 2022 m. gruodžio 8 d. įsakymo Nr. A1-833 „Dėl Lietuvos Respublikos valstybės biudžeto specialių tikslinių dotacijų, skirtų socialinėms paslaugoms finansuoti, savivaldybių biudžetams 2023 metais paskirstymo savivaldybių administracijoms ir jų panaudojimo tikslo pasiekimo 2023 metais vertinimo kriterijų patvirtinimo“ pakeitimo“, </w:t>
                  </w:r>
                  <w:r>
                    <w:t>Lietuvos Respublikos Socialinės apsaugos ir darbo ministro įsakymu Nr. A1-509 „Dėl valstybės biudžeto lėšų paskirstymo Savivaldybių administracijoms 2023 metais, Neįgaliųjų reikalų departamento prie Socialinės apsaugos ir darbo ministerijos direktoriaus 2023 m. rugpjūčio 16 d. įsakymu Nr. V-66 „Dėl Neįgaliųjų reikalų departamento prie Socialinės apsaugos ir darbo ministerijos direktoriaus 2022 m. gruodžio 29 d. įsakymo Nr. V-90 „Dėl 2023 metais asmeninei pagalbai teikti ir administruoti skirtų Lietuvos Respublikos valstybės biudžeto lėšų paskirstymo savivaldybių administracijoms patvirtinimo“ pakeitimo“.</w:t>
                  </w:r>
                </w:p>
                <w:p w14:paraId="42A5F67A" w14:textId="6BB01EE1">
                  <w:pPr>
                    <w:ind w:firstLine="540"/>
                    <w:jc w:val="both"/>
                  </w:pPr>
                  <w:r>
                    <w:t>Savivaldybės biudžeto asignavimus administruoja ir biudžeto vykdymą organizuoja Šiaulių miesto savivaldybės meras, vadovaudamasis Lietuvos Respublikos vietos savivaldos įstatymu, Šiaulių miesto savivaldybės tarybos 2022 m. birželio 22 d. sprendimu Nr. T-265 „Dėl Šiaulių miesto savivaldybės biudžeto sudarymo, vykdymo ir atskaitomybės tvarkos aprašo patvirtinimo“. Sprendimo projektą dėl Šiaulių miesto savivaldybės 2023 metų biudžeto pakeitimo rengia Strateginio planavimo ir finansų skyrius, atsižvelgiant į asignavimų valdytojų gautus prašymus dėl biudžeto asignavimų pakeitimų bei Strateginio planavimo grupės (toliau – SPG) 2023 m. rugpjūčio 9 d., posėdžio nutarimu (SPG posėdžio 2023-08-21 protokolas Nr. VM-29).</w:t>
                  </w:r>
                </w:p>
              </w:sdtContent>
            </w:sdt>
            <w:sdt>
              <w:sdtPr>
                <w:alias w:val="poskyris"/>
                <w:tag w:val="part_92a646ba155c428eb88436aea492e5dc"/>
                <w:lock w:val="sdtLocked"/>
                <w:richText/>
              </w:sdtPr>
              <w:sdtContent>
                <w:p w14:paraId="42A5F67B" w14:textId="77777777">
                  <w:pPr>
                    <w:ind w:firstLine="540"/>
                    <w:jc w:val="both"/>
                    <w:rPr>
                      <w:b/>
                      <w:szCs w:val="24"/>
                    </w:rPr>
                  </w:pPr>
                  <w:sdt>
                    <w:sdtPr>
                      <w:alias w:val="Pavadinimas"/>
                      <w:tag w:val="title_92a646ba155c428eb88436aea492e5dc"/>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166EDF2F" w14:textId="77777777">
                  <w:pPr>
                    <w:tabs>
                      <w:tab w:val="left" w:pos="1296"/>
                    </w:tabs>
                    <w:ind w:firstLine="567"/>
                    <w:jc w:val="both"/>
                  </w:pPr>
                  <w:r>
                    <w:t xml:space="preserve">Sprendimo projektas išdėstomas nauja redakcija. </w:t>
                  </w:r>
                </w:p>
                <w:sdt>
                  <w:sdtPr>
                    <w:alias w:val="1 p."/>
                    <w:tag w:val="part_3a72276b745040eb98964337e6406b23"/>
                    <w:lock w:val="sdtLocked"/>
                    <w:richText/>
                  </w:sdtPr>
                  <w:sdtContent>
                    <w:p w14:paraId="3FC0EB2C" w14:textId="498E3BE2">
                      <w:pPr>
                        <w:tabs>
                          <w:tab w:val="left" w:pos="1296"/>
                        </w:tabs>
                        <w:ind w:firstLine="567"/>
                        <w:jc w:val="both"/>
                        <w:rPr>
                          <w:b/>
                        </w:rPr>
                      </w:pPr>
                      <w:sdt>
                        <w:sdtPr>
                          <w:alias w:val="Numeris"/>
                          <w:tag w:val="nr_3a72276b745040eb98964337e6406b23"/>
                          <w:lock w:val="sdtLocked"/>
                          <w:richText/>
                        </w:sdtPr>
                        <w:sdtContent>
                          <w:r>
                            <w:rPr>
                              <w:b/>
                            </w:rPr>
                            <w:t>1</w:t>
                          </w:r>
                        </w:sdtContent>
                      </w:sdt>
                      <w:r>
                        <w:rPr>
                          <w:b/>
                        </w:rPr>
                        <w:t>.</w:t>
                        <w:tab/>
                      </w:r>
                      <w:r>
                        <w:rPr>
                          <w:b/>
                          <w:szCs w:val="24"/>
                        </w:rPr>
                        <w:t>Sprendimo projekte pajamos ir asignavimai didinami 4 060,4 tūkst. Eur:</w:t>
                      </w:r>
                    </w:p>
                    <w:sdt>
                      <w:sdtPr>
                        <w:alias w:val="1.1 pp."/>
                        <w:tag w:val="part_dffcc5f8478e40f2ada3e9044bdf45f2"/>
                        <w:lock w:val="sdtLocked"/>
                        <w:richText/>
                      </w:sdtPr>
                      <w:sdtContent>
                        <w:p w14:paraId="2F70B3AA" w14:textId="7FDC82AE">
                          <w:pPr>
                            <w:ind w:firstLine="710"/>
                            <w:jc w:val="both"/>
                          </w:pPr>
                          <w:sdt>
                            <w:sdtPr>
                              <w:alias w:val="Numeris"/>
                              <w:tag w:val="nr_dffcc5f8478e40f2ada3e9044bdf45f2"/>
                              <w:lock w:val="sdtLocked"/>
                              <w:richText/>
                            </w:sdtPr>
                            <w:sdtContent>
                              <w:r>
                                <w:rPr>
                                  <w:rFonts w:eastAsia="HG Mincho Light J"/>
                                  <w:color w:val="000000"/>
                                  <w:szCs w:val="24"/>
                                  <w:lang w:eastAsia="lt-LT"/>
                                </w:rPr>
                                <w:t>1.1</w:t>
                              </w:r>
                            </w:sdtContent>
                          </w:sdt>
                          <w:r>
                            <w:rPr>
                              <w:rFonts w:eastAsia="HG Mincho Light J"/>
                              <w:color w:val="000000"/>
                              <w:szCs w:val="24"/>
                              <w:lang w:eastAsia="lt-LT"/>
                            </w:rPr>
                            <w:tab/>
                          </w:r>
                          <w:r>
                            <w:t xml:space="preserve">340,9 tūkst. Eur didinamos Miesto infrastruktūros objektų priežiūros, modernizavimo ir plėtros programos (04) valstybės biudžeto lėšos (VB), grąžinamos projektų įgyvendinimo metu panaudotos lėšos. Asignavimų valdytojas – Administracija (Projektų valdymo skyriaus 2023-07-26 raštas Nr. G-5635, 2023-07-27  raštas Nr. G-5707);</w:t>
                          </w:r>
                        </w:p>
                      </w:sdtContent>
                    </w:sdt>
                    <w:sdt>
                      <w:sdtPr>
                        <w:alias w:val="1.2 pp."/>
                        <w:tag w:val="part_87467e440ca8476dae05c4fe4e65a482"/>
                        <w:lock w:val="sdtLocked"/>
                        <w:richText/>
                      </w:sdtPr>
                      <w:sdtContent>
                        <w:p w14:paraId="1DF86A62" w14:textId="1C9B5951">
                          <w:pPr>
                            <w:ind w:firstLine="710"/>
                            <w:jc w:val="both"/>
                          </w:pPr>
                          <w:sdt>
                            <w:sdtPr>
                              <w:alias w:val="Numeris"/>
                              <w:tag w:val="nr_87467e440ca8476dae05c4fe4e65a482"/>
                              <w:lock w:val="sdtLocked"/>
                              <w:richText/>
                            </w:sdtPr>
                            <w:sdtContent>
                              <w:r>
                                <w:rPr>
                                  <w:rFonts w:eastAsia="HG Mincho Light J"/>
                                  <w:color w:val="000000"/>
                                  <w:szCs w:val="24"/>
                                  <w:lang w:eastAsia="lt-LT"/>
                                </w:rPr>
                                <w:t>1.2</w:t>
                              </w:r>
                            </w:sdtContent>
                          </w:sdt>
                          <w:r>
                            <w:rPr>
                              <w:rFonts w:eastAsia="HG Mincho Light J"/>
                              <w:color w:val="000000"/>
                              <w:szCs w:val="24"/>
                              <w:lang w:eastAsia="lt-LT"/>
                            </w:rPr>
                            <w:tab/>
                          </w:r>
                          <w:r>
                            <w:t>15,9 tūkst. Eur didinamos Savivaldybės veiklos programos (11) valstybės biudžeto lėšos (VB) projekto „GovTech: miesto teritorijų priežiūros kontrolės sprendinys“ įgyvendinimui. Asignavimų valdytojas – Administracija (Projektų valdymo skyriaus 2023-07-28 raštas Nr. G-5726,);</w:t>
                          </w:r>
                        </w:p>
                      </w:sdtContent>
                    </w:sdt>
                    <w:sdt>
                      <w:sdtPr>
                        <w:alias w:val="1.3 pp."/>
                        <w:tag w:val="part_b1ae8c8d235940b39794e9e73fb33cc5"/>
                        <w:lock w:val="sdtLocked"/>
                        <w:richText/>
                      </w:sdtPr>
                      <w:sdtContent>
                        <w:p w14:paraId="0FF51827" w14:textId="4F3302A0">
                          <w:pPr>
                            <w:ind w:firstLine="710"/>
                            <w:jc w:val="both"/>
                          </w:pPr>
                          <w:sdt>
                            <w:sdtPr>
                              <w:alias w:val="Numeris"/>
                              <w:tag w:val="nr_b1ae8c8d235940b39794e9e73fb33cc5"/>
                              <w:lock w:val="sdtLocked"/>
                              <w:richText/>
                            </w:sdtPr>
                            <w:sdtContent>
                              <w:r>
                                <w:rPr>
                                  <w:rFonts w:eastAsia="HG Mincho Light J"/>
                                  <w:color w:val="000000"/>
                                  <w:szCs w:val="24"/>
                                  <w:lang w:eastAsia="lt-LT"/>
                                </w:rPr>
                                <w:t>1.3</w:t>
                              </w:r>
                            </w:sdtContent>
                          </w:sdt>
                          <w:r>
                            <w:rPr>
                              <w:rFonts w:eastAsia="HG Mincho Light J"/>
                              <w:color w:val="000000"/>
                              <w:szCs w:val="24"/>
                              <w:lang w:eastAsia="lt-LT"/>
                            </w:rPr>
                            <w:tab/>
                          </w:r>
                          <w:r>
                            <w:t>419,4 tūkst. Eur didinamos Švietimo prieinamumo ir kokybės užtikrinimo programos (08) valstybės biudžeto lėšos (VB), skirtos saulės elektrinių įrengimui. Asignavimų valdytojai – biudžetinės įstaigos nurodytos 2 lentelėje.</w:t>
                          </w:r>
                        </w:p>
                      </w:sdtContent>
                    </w:sdt>
                    <w:sdt>
                      <w:sdtPr>
                        <w:alias w:val="1.4 pp."/>
                        <w:tag w:val="part_277d9e4e3b904eb0b34cece4d0596f3b"/>
                        <w:lock w:val="sdtLocked"/>
                        <w:richText/>
                      </w:sdtPr>
                      <w:sdtContent>
                        <w:p w14:paraId="756B0820" w14:textId="5464D96C">
                          <w:pPr>
                            <w:ind w:firstLine="710"/>
                            <w:jc w:val="both"/>
                          </w:pPr>
                          <w:sdt>
                            <w:sdtPr>
                              <w:alias w:val="Numeris"/>
                              <w:tag w:val="nr_277d9e4e3b904eb0b34cece4d0596f3b"/>
                              <w:lock w:val="sdtLocked"/>
                              <w:richText/>
                            </w:sdtPr>
                            <w:sdtContent>
                              <w:r>
                                <w:rPr>
                                  <w:rFonts w:eastAsia="HG Mincho Light J"/>
                                  <w:color w:val="000000"/>
                                  <w:szCs w:val="24"/>
                                  <w:lang w:eastAsia="lt-LT"/>
                                </w:rPr>
                                <w:t>1.4</w:t>
                              </w:r>
                            </w:sdtContent>
                          </w:sdt>
                          <w:r>
                            <w:rPr>
                              <w:rFonts w:eastAsia="HG Mincho Light J"/>
                              <w:color w:val="000000"/>
                              <w:szCs w:val="24"/>
                              <w:lang w:eastAsia="lt-LT"/>
                            </w:rPr>
                            <w:tab/>
                          </w:r>
                          <w:r>
                            <w:t>1,3 tūkst. Eur didinamos Turto valdymo ir privatizavimo programos (06) valstybės biudžeto lėšos (VB), skirtos būstui įsigyti ar išsinuomoti užsieniečiams, pasitraukusiems iš Ukrainos. Asignavimų valdytojas – Administracija (Turto valdymo skyriaus 2023-07-14 raštas Nr. GF-258);</w:t>
                          </w:r>
                        </w:p>
                      </w:sdtContent>
                    </w:sdt>
                    <w:sdt>
                      <w:sdtPr>
                        <w:alias w:val="1.5 pp."/>
                        <w:tag w:val="part_9a294423318c45b496e2db96050723aa"/>
                        <w:lock w:val="sdtLocked"/>
                        <w:richText/>
                      </w:sdtPr>
                      <w:sdtContent>
                        <w:p w14:paraId="321575EF" w14:textId="1FA4B941">
                          <w:pPr>
                            <w:ind w:firstLine="710"/>
                            <w:jc w:val="both"/>
                          </w:pPr>
                          <w:sdt>
                            <w:sdtPr>
                              <w:alias w:val="Numeris"/>
                              <w:tag w:val="nr_9a294423318c45b496e2db96050723aa"/>
                              <w:lock w:val="sdtLocked"/>
                              <w:richText/>
                            </w:sdtPr>
                            <w:sdtContent>
                              <w:r>
                                <w:rPr>
                                  <w:rFonts w:eastAsia="HG Mincho Light J"/>
                                  <w:color w:val="000000"/>
                                  <w:szCs w:val="24"/>
                                  <w:lang w:eastAsia="lt-LT"/>
                                </w:rPr>
                                <w:t>1.5</w:t>
                              </w:r>
                            </w:sdtContent>
                          </w:sdt>
                          <w:r>
                            <w:rPr>
                              <w:rFonts w:eastAsia="HG Mincho Light J"/>
                              <w:color w:val="000000"/>
                              <w:szCs w:val="24"/>
                              <w:lang w:eastAsia="lt-LT"/>
                            </w:rPr>
                            <w:tab/>
                          </w:r>
                          <w:r>
                            <w:t>424,3 tūkst. Eur didinamos Socialinės paramos įgyvendinimo programos (10) valstybės biudžeto lėšos (VB), skirtos teikti socialinę pagalbą, pašalpą ir paramą. Asignavimų valdytojas – Administracija (Socialinių išmokų ir kompensacijų skyriaus 2023-07-19 raštas Nr. GF-265 ir 2023-08-16 raštas Nr. GF-295, Socialinių paslaugų skyriaus 2023-08-16 raštas Nr. GF-296);</w:t>
                          </w:r>
                        </w:p>
                      </w:sdtContent>
                    </w:sdt>
                    <w:sdt>
                      <w:sdtPr>
                        <w:alias w:val="1.6 pp."/>
                        <w:tag w:val="part_c8ca3cf9da854e519a762d6f147d1c79"/>
                        <w:lock w:val="sdtLocked"/>
                        <w:richText/>
                      </w:sdtPr>
                      <w:sdtContent>
                        <w:p w14:paraId="227C73E4" w14:textId="7F69B1F0">
                          <w:pPr>
                            <w:ind w:firstLine="710"/>
                            <w:jc w:val="both"/>
                          </w:pPr>
                          <w:sdt>
                            <w:sdtPr>
                              <w:alias w:val="Numeris"/>
                              <w:tag w:val="nr_c8ca3cf9da854e519a762d6f147d1c79"/>
                              <w:lock w:val="sdtLocked"/>
                              <w:richText/>
                            </w:sdtPr>
                            <w:sdtContent>
                              <w:r>
                                <w:rPr>
                                  <w:rFonts w:eastAsia="HG Mincho Light J"/>
                                  <w:color w:val="000000"/>
                                  <w:szCs w:val="24"/>
                                  <w:lang w:eastAsia="lt-LT"/>
                                </w:rPr>
                                <w:t>1.6</w:t>
                              </w:r>
                            </w:sdtContent>
                          </w:sdt>
                          <w:r>
                            <w:rPr>
                              <w:rFonts w:eastAsia="HG Mincho Light J"/>
                              <w:color w:val="000000"/>
                              <w:szCs w:val="24"/>
                              <w:lang w:eastAsia="lt-LT"/>
                            </w:rPr>
                            <w:tab/>
                          </w:r>
                          <w:r>
                            <w:t xml:space="preserve">26,9 tūkst. Eur  didinamos Savivaldybės veiklos programos (11) valstybinėms funkcijos atlikti (VB(VF)) Socialinės globos administravimui. Asignavimų valdytojas – Administracija (Socialinių paslaugų skyriaus 2023-08-14 raštas Nr. GF-293);</w:t>
                          </w:r>
                        </w:p>
                      </w:sdtContent>
                    </w:sdt>
                    <w:sdt>
                      <w:sdtPr>
                        <w:alias w:val="1.7 pp."/>
                        <w:tag w:val="part_d1cfcd2c9f844e99a205c5ee3c2b528d"/>
                        <w:lock w:val="sdtLocked"/>
                        <w:richText/>
                      </w:sdtPr>
                      <w:sdtContent>
                        <w:p w14:paraId="20391FA8" w14:textId="7F68F66B">
                          <w:pPr>
                            <w:ind w:firstLine="710"/>
                            <w:jc w:val="both"/>
                          </w:pPr>
                          <w:sdt>
                            <w:sdtPr>
                              <w:alias w:val="Numeris"/>
                              <w:tag w:val="nr_d1cfcd2c9f844e99a205c5ee3c2b528d"/>
                              <w:lock w:val="sdtLocked"/>
                              <w:richText/>
                            </w:sdtPr>
                            <w:sdtContent>
                              <w:r>
                                <w:rPr>
                                  <w:rFonts w:eastAsia="HG Mincho Light J"/>
                                  <w:color w:val="000000"/>
                                  <w:szCs w:val="24"/>
                                  <w:lang w:eastAsia="lt-LT"/>
                                </w:rPr>
                                <w:t>1.7</w:t>
                              </w:r>
                            </w:sdtContent>
                          </w:sdt>
                          <w:r>
                            <w:rPr>
                              <w:rFonts w:eastAsia="HG Mincho Light J"/>
                              <w:color w:val="000000"/>
                              <w:szCs w:val="24"/>
                              <w:lang w:eastAsia="lt-LT"/>
                            </w:rPr>
                            <w:tab/>
                          </w:r>
                          <w:r>
                            <w:t>15,3 tūkst. Eur didinamos lėšos valstybinėms funkcijos atlikti (VB(VF)), iš jų: 14,7 tūkst. Eur Socialinės paramos įgyvendinimo programos (10) ir 0,6 tūkst. Eur Savivaldybės veiklos programos (11). Lėšos skirtos būsto nuomos mokesčio daliai kompensuoti. Asignavimų valdytojas – Administracija (Turto valdymo skyriaus 2023-06-26 raštas Nr. G-237 ir Apskaitos skyriaus 2023-06-27 raštas Nr. GF-243);</w:t>
                          </w:r>
                        </w:p>
                      </w:sdtContent>
                    </w:sdt>
                    <w:sdt>
                      <w:sdtPr>
                        <w:alias w:val="1.8 pp."/>
                        <w:tag w:val="part_49b9fcf9777c4a59939f93d76d7f753c"/>
                        <w:lock w:val="sdtLocked"/>
                        <w:richText/>
                      </w:sdtPr>
                      <w:sdtContent>
                        <w:p w14:paraId="29A193ED" w14:textId="02542BFD">
                          <w:pPr>
                            <w:ind w:firstLine="710"/>
                            <w:jc w:val="both"/>
                          </w:pPr>
                          <w:sdt>
                            <w:sdtPr>
                              <w:alias w:val="Numeris"/>
                              <w:tag w:val="nr_49b9fcf9777c4a59939f93d76d7f753c"/>
                              <w:lock w:val="sdtLocked"/>
                              <w:richText/>
                            </w:sdtPr>
                            <w:sdtContent>
                              <w:r>
                                <w:rPr>
                                  <w:rFonts w:eastAsia="HG Mincho Light J"/>
                                  <w:color w:val="000000"/>
                                  <w:szCs w:val="24"/>
                                  <w:lang w:eastAsia="lt-LT"/>
                                </w:rPr>
                                <w:t>1.8</w:t>
                              </w:r>
                            </w:sdtContent>
                          </w:sdt>
                          <w:r>
                            <w:rPr>
                              <w:rFonts w:eastAsia="HG Mincho Light J"/>
                              <w:color w:val="000000"/>
                              <w:szCs w:val="24"/>
                              <w:lang w:eastAsia="lt-LT"/>
                            </w:rPr>
                            <w:tab/>
                          </w:r>
                          <w:r>
                            <w:t>15,2 tūkst. Eur mažinamos Savivaldybės veiklos programos (11) lėšos valstybinėms funkcijos atlikti (VB(VF)), skirtos mobilizacijai administruoti. Asignavimų valdytojas – Administracija (Apskaitos skyriaus 2023-06-22 raštas Nr. GF-233);</w:t>
                          </w:r>
                        </w:p>
                      </w:sdtContent>
                    </w:sdt>
                    <w:sdt>
                      <w:sdtPr>
                        <w:alias w:val="1.9 pp."/>
                        <w:tag w:val="part_34ece6c862844fdaae04d85843fcdc54"/>
                        <w:lock w:val="sdtLocked"/>
                        <w:richText/>
                      </w:sdtPr>
                      <w:sdtContent>
                        <w:p w14:paraId="78181D4F" w14:textId="2C5427CC">
                          <w:pPr>
                            <w:ind w:firstLine="710"/>
                            <w:jc w:val="both"/>
                          </w:pPr>
                          <w:sdt>
                            <w:sdtPr>
                              <w:alias w:val="Numeris"/>
                              <w:tag w:val="nr_34ece6c862844fdaae04d85843fcdc54"/>
                              <w:lock w:val="sdtLocked"/>
                              <w:richText/>
                            </w:sdtPr>
                            <w:sdtContent>
                              <w:r>
                                <w:rPr>
                                  <w:rFonts w:eastAsia="HG Mincho Light J"/>
                                  <w:color w:val="000000"/>
                                  <w:szCs w:val="24"/>
                                  <w:lang w:eastAsia="lt-LT"/>
                                </w:rPr>
                                <w:t>1.9</w:t>
                              </w:r>
                            </w:sdtContent>
                          </w:sdt>
                          <w:r>
                            <w:rPr>
                              <w:rFonts w:eastAsia="HG Mincho Light J"/>
                              <w:color w:val="000000"/>
                              <w:szCs w:val="24"/>
                              <w:lang w:eastAsia="lt-LT"/>
                            </w:rPr>
                            <w:tab/>
                          </w:r>
                          <w:r>
                            <w:t>1 280,2 tūkst. Eur mažinamos Sporto plėtros programos (07) Valstybės investicijų programos projektų lėšos (VB (VIP)), skirtos sporto komplekso (futbolo ir regbio maniežo) pastatymui. Lėšos perkeliamos į 2024 m. Asignavimų valdytojas – Administracija (2023-06-26 raštas Nr. GF-235);</w:t>
                          </w:r>
                        </w:p>
                      </w:sdtContent>
                    </w:sdt>
                    <w:sdt>
                      <w:sdtPr>
                        <w:alias w:val="1.10 pp."/>
                        <w:tag w:val="part_354b560b54174aa3aabf0a5b5ca229a6"/>
                        <w:lock w:val="sdtLocked"/>
                        <w:richText/>
                      </w:sdtPr>
                      <w:sdtContent>
                        <w:p w14:paraId="6F78E5CE" w14:textId="1C1E15FB">
                          <w:pPr>
                            <w:ind w:firstLine="710"/>
                            <w:jc w:val="both"/>
                          </w:pPr>
                          <w:sdt>
                            <w:sdtPr>
                              <w:alias w:val="Numeris"/>
                              <w:tag w:val="nr_354b560b54174aa3aabf0a5b5ca229a6"/>
                              <w:lock w:val="sdtLocked"/>
                              <w:richText/>
                            </w:sdtPr>
                            <w:sdtContent>
                              <w:r>
                                <w:rPr>
                                  <w:rFonts w:eastAsia="HG Mincho Light J"/>
                                  <w:color w:val="000000"/>
                                  <w:szCs w:val="24"/>
                                  <w:lang w:eastAsia="lt-LT"/>
                                </w:rPr>
                                <w:t>1.10</w:t>
                              </w:r>
                            </w:sdtContent>
                          </w:sdt>
                          <w:r>
                            <w:rPr>
                              <w:rFonts w:eastAsia="HG Mincho Light J"/>
                              <w:color w:val="000000"/>
                              <w:szCs w:val="24"/>
                              <w:lang w:eastAsia="lt-LT"/>
                            </w:rPr>
                            <w:tab/>
                          </w:r>
                          <w:r>
                            <w:t xml:space="preserve">3 873,8 tūkst. Eur didinamos Europos Sąjungos lėšos (ES), iš jų 3 857,4 tūkst. Eur didinamos Miesto infrastruktūros objektų priežiūros, modernizavimo ir plėtros programos (04) ir  0,2 tūkst. Eur Kultūros plėtros programos (02) bei 16,2 tūkst. Eur Švietimo prieinamumo ir kokybės užtikrinimo programos (08). Lėšos skirtos projektų įgyvendinimui bei atvirų klasių sukūrimui Vinco Kudirkos progimnazijoje. Taip pat grąžinamos projektų įgyvendinimo metu panaudotos lėšos. Asignavimų valdytojas – Administracija (Projektų valdymo skyriaus 2023-07-28 raštas Nr. G-5726, 2023-08-04 raštas Nr. GF-287, 2023-08-11 raštas Nr. GF-292);</w:t>
                          </w:r>
                        </w:p>
                      </w:sdtContent>
                    </w:sdt>
                    <w:sdt>
                      <w:sdtPr>
                        <w:alias w:val="1.11 pp."/>
                        <w:tag w:val="part_235a9170aada4cceb20f45a1d9aeee5e"/>
                        <w:lock w:val="sdtLocked"/>
                        <w:richText/>
                      </w:sdtPr>
                      <w:sdtContent>
                        <w:p w14:paraId="3154282F" w14:textId="24E43FA7">
                          <w:pPr>
                            <w:ind w:firstLine="710"/>
                            <w:jc w:val="both"/>
                          </w:pPr>
                          <w:sdt>
                            <w:sdtPr>
                              <w:alias w:val="Numeris"/>
                              <w:tag w:val="nr_235a9170aada4cceb20f45a1d9aeee5e"/>
                              <w:lock w:val="sdtLocked"/>
                              <w:richText/>
                            </w:sdtPr>
                            <w:sdtContent>
                              <w:r>
                                <w:rPr>
                                  <w:rFonts w:eastAsia="HG Mincho Light J"/>
                                  <w:color w:val="000000"/>
                                  <w:szCs w:val="24"/>
                                  <w:lang w:eastAsia="lt-LT"/>
                                </w:rPr>
                                <w:t>1.11</w:t>
                              </w:r>
                            </w:sdtContent>
                          </w:sdt>
                          <w:r>
                            <w:rPr>
                              <w:rFonts w:eastAsia="HG Mincho Light J"/>
                              <w:color w:val="000000"/>
                              <w:szCs w:val="24"/>
                              <w:lang w:eastAsia="lt-LT"/>
                            </w:rPr>
                            <w:tab/>
                          </w:r>
                          <w:r>
                            <w:t xml:space="preserve"> 238,0</w:t>
                          </w:r>
                          <w:r>
                            <w:rPr>
                              <w:color w:val="FF0000"/>
                            </w:rPr>
                            <w:t xml:space="preserve"> </w:t>
                          </w:r>
                          <w:r>
                            <w:t>tūkst. Eur didinamos įstaigų pajamų lėšos (PL). Pagal asignavimų valdytojus lėšos pateiktos 1 lentelėje.</w:t>
                          </w:r>
                        </w:p>
                      </w:sdtContent>
                    </w:sdt>
                  </w:sdtContent>
                </w:sdt>
                <w:sdt>
                  <w:sdtPr>
                    <w:alias w:val="2 p."/>
                    <w:tag w:val="part_967908fdf0664218a20f8e5122ddbd81"/>
                    <w:lock w:val="sdtLocked"/>
                    <w:richText/>
                  </w:sdtPr>
                  <w:sdtContent>
                    <w:p w14:paraId="6CEB9CFD" w14:textId="55AFD090">
                      <w:pPr>
                        <w:ind w:firstLine="567"/>
                        <w:jc w:val="both"/>
                        <w:rPr>
                          <w:b/>
                          <w:bCs/>
                        </w:rPr>
                      </w:pPr>
                      <w:sdt>
                        <w:sdtPr>
                          <w:alias w:val="Numeris"/>
                          <w:tag w:val="nr_967908fdf0664218a20f8e5122ddbd81"/>
                          <w:lock w:val="sdtLocked"/>
                          <w:richText/>
                        </w:sdtPr>
                        <w:sdtContent>
                          <w:r>
                            <w:rPr>
                              <w:rFonts w:eastAsia="HG Mincho Light J"/>
                              <w:b/>
                              <w:bCs/>
                              <w:color w:val="000000"/>
                              <w:szCs w:val="24"/>
                              <w:lang w:eastAsia="lt-LT"/>
                            </w:rPr>
                            <w:t>2</w:t>
                          </w:r>
                        </w:sdtContent>
                      </w:sdt>
                      <w:r>
                        <w:rPr>
                          <w:rFonts w:eastAsia="HG Mincho Light J"/>
                          <w:b/>
                          <w:bCs/>
                          <w:color w:val="000000"/>
                          <w:szCs w:val="24"/>
                          <w:lang w:eastAsia="lt-LT"/>
                        </w:rPr>
                        <w:t>.</w:t>
                        <w:tab/>
                      </w:r>
                      <w:r>
                        <w:rPr>
                          <w:b/>
                        </w:rPr>
                        <w:t>3 127,9 tūkst. Eur perskirstomi patvirtinti asignavimai tarp programų ir asignavimų valdytojų:</w:t>
                      </w:r>
                    </w:p>
                    <w:sdt>
                      <w:sdtPr>
                        <w:alias w:val="2.1 pp."/>
                        <w:tag w:val="part_b8250738d63d4c21a417b497d9c7c734"/>
                        <w:lock w:val="sdtLocked"/>
                        <w:richText/>
                      </w:sdtPr>
                      <w:sdtContent>
                        <w:p w14:paraId="294CB355" w14:textId="4CC7AB59">
                          <w:pPr>
                            <w:tabs>
                              <w:tab w:val="left" w:pos="567"/>
                            </w:tabs>
                            <w:ind w:firstLine="567"/>
                            <w:jc w:val="both"/>
                            <w:rPr>
                              <w:bCs/>
                            </w:rPr>
                          </w:pPr>
                          <w:sdt>
                            <w:sdtPr>
                              <w:alias w:val="Numeris"/>
                              <w:tag w:val="nr_b8250738d63d4c21a417b497d9c7c734"/>
                              <w:lock w:val="sdtLocked"/>
                              <w:richText/>
                            </w:sdtPr>
                            <w:sdtContent>
                              <w:r>
                                <w:rPr>
                                  <w:rFonts w:eastAsia="HG Mincho Light J"/>
                                  <w:bCs/>
                                  <w:szCs w:val="24"/>
                                  <w:lang w:eastAsia="lt-LT"/>
                                </w:rPr>
                                <w:t>2.1</w:t>
                              </w:r>
                            </w:sdtContent>
                          </w:sdt>
                          <w:r>
                            <w:rPr>
                              <w:rFonts w:eastAsia="HG Mincho Light J"/>
                              <w:bCs/>
                              <w:szCs w:val="24"/>
                              <w:lang w:eastAsia="lt-LT"/>
                            </w:rPr>
                            <w:tab/>
                          </w:r>
                          <w:r>
                            <w:rPr>
                              <w:bCs/>
                            </w:rPr>
                            <w:t>1 263,4 tūkst. Eur mažinamos savivaldybės biudžeto lėšos (SB), skirtos biudžetinėms įstaigoms dėl komunaliniams patarnavimams planuotų išlaidų planuojamo sutaupymo (3 lentelė) ir didinamos taip:</w:t>
                          </w:r>
                        </w:p>
                        <w:tbl>
                          <w:tblPr>
                            <w:tblW w:w="1006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992"/>
                            <w:gridCol w:w="4200"/>
                            <w:gridCol w:w="1573"/>
                            <w:gridCol w:w="2731"/>
                          </w:tblGrid>
                          <w:tr w14:paraId="36554949" w14:textId="77777777">
                            <w:trPr>
                              <w:trHeight w:val="315"/>
                            </w:trPr>
                            <w:tc>
                              <w:tcPr>
                                <w:tcW w:w="568" w:type="dxa"/>
                                <w:shd w:val="clear" w:color="auto" w:fill="auto"/>
                                <w:vAlign w:val="center"/>
                                <w:hideMark/>
                              </w:tcPr>
                              <w:p w14:paraId="4161EAC3" w14:textId="77777777">
                                <w:pPr>
                                  <w:jc w:val="both"/>
                                  <w:rPr>
                                    <w:color w:val="000000"/>
                                    <w:sz w:val="22"/>
                                    <w:szCs w:val="22"/>
                                    <w:lang w:eastAsia="lt-LT"/>
                                  </w:rPr>
                                </w:pPr>
                                <w:r>
                                  <w:rPr>
                                    <w:color w:val="000000"/>
                                    <w:sz w:val="22"/>
                                    <w:szCs w:val="22"/>
                                    <w:lang w:eastAsia="lt-LT"/>
                                  </w:rPr>
                                  <w:t>Programa</w:t>
                                </w:r>
                              </w:p>
                            </w:tc>
                            <w:tc>
                              <w:tcPr>
                                <w:tcW w:w="992" w:type="dxa"/>
                                <w:vAlign w:val="center"/>
                              </w:tcPr>
                              <w:p w14:paraId="1AF5E6CC" w14:textId="6E3D3299">
                                <w:pPr>
                                  <w:jc w:val="both"/>
                                  <w:rPr>
                                    <w:color w:val="000000"/>
                                    <w:sz w:val="22"/>
                                    <w:szCs w:val="22"/>
                                    <w:lang w:eastAsia="lt-LT"/>
                                  </w:rPr>
                                </w:pPr>
                                <w:r>
                                  <w:rPr>
                                    <w:color w:val="000000"/>
                                    <w:sz w:val="22"/>
                                    <w:szCs w:val="22"/>
                                    <w:lang w:eastAsia="lt-LT"/>
                                  </w:rPr>
                                  <w:t>Suma, tūkst. Eur</w:t>
                                </w:r>
                              </w:p>
                            </w:tc>
                            <w:tc>
                              <w:tcPr>
                                <w:tcW w:w="4200" w:type="dxa"/>
                                <w:shd w:val="clear" w:color="auto" w:fill="auto"/>
                                <w:vAlign w:val="center"/>
                                <w:hideMark/>
                              </w:tcPr>
                              <w:p w14:paraId="64781700" w14:textId="27CC9DB2">
                                <w:pPr>
                                  <w:jc w:val="both"/>
                                  <w:rPr>
                                    <w:color w:val="000000"/>
                                    <w:sz w:val="22"/>
                                    <w:szCs w:val="22"/>
                                    <w:lang w:eastAsia="lt-LT"/>
                                  </w:rPr>
                                </w:pPr>
                                <w:r>
                                  <w:rPr>
                                    <w:color w:val="000000"/>
                                    <w:sz w:val="22"/>
                                    <w:szCs w:val="22"/>
                                    <w:lang w:eastAsia="lt-LT"/>
                                  </w:rPr>
                                  <w:t>Paskirtis</w:t>
                                </w:r>
                              </w:p>
                            </w:tc>
                            <w:tc>
                              <w:tcPr>
                                <w:tcW w:w="1573" w:type="dxa"/>
                                <w:shd w:val="clear" w:color="auto" w:fill="auto"/>
                                <w:vAlign w:val="center"/>
                                <w:hideMark/>
                              </w:tcPr>
                              <w:p w14:paraId="6E1744DF" w14:textId="77777777">
                                <w:pPr>
                                  <w:jc w:val="both"/>
                                  <w:rPr>
                                    <w:color w:val="000000"/>
                                    <w:sz w:val="22"/>
                                    <w:szCs w:val="22"/>
                                    <w:lang w:eastAsia="lt-LT"/>
                                  </w:rPr>
                                </w:pPr>
                                <w:r>
                                  <w:rPr>
                                    <w:color w:val="000000"/>
                                    <w:sz w:val="22"/>
                                    <w:szCs w:val="22"/>
                                    <w:lang w:eastAsia="lt-LT"/>
                                  </w:rPr>
                                  <w:t>Asignavimų valdytojas</w:t>
                                </w:r>
                              </w:p>
                            </w:tc>
                            <w:tc>
                              <w:tcPr>
                                <w:tcW w:w="2731" w:type="dxa"/>
                                <w:shd w:val="clear" w:color="auto" w:fill="auto"/>
                                <w:vAlign w:val="center"/>
                                <w:hideMark/>
                              </w:tcPr>
                              <w:p w14:paraId="0DBA121B" w14:textId="77777777">
                                <w:pPr>
                                  <w:tabs>
                                    <w:tab w:val="left" w:pos="1856"/>
                                  </w:tabs>
                                  <w:jc w:val="both"/>
                                  <w:rPr>
                                    <w:color w:val="000000"/>
                                    <w:sz w:val="22"/>
                                    <w:szCs w:val="22"/>
                                    <w:lang w:eastAsia="lt-LT"/>
                                  </w:rPr>
                                </w:pPr>
                                <w:r>
                                  <w:rPr>
                                    <w:color w:val="000000"/>
                                    <w:sz w:val="22"/>
                                    <w:szCs w:val="22"/>
                                    <w:lang w:eastAsia="lt-LT"/>
                                  </w:rPr>
                                  <w:t>Pastabos</w:t>
                                </w:r>
                              </w:p>
                            </w:tc>
                          </w:tr>
                          <w:tr w14:paraId="23D96EAE" w14:textId="77777777">
                            <w:trPr>
                              <w:trHeight w:val="630"/>
                            </w:trPr>
                            <w:tc>
                              <w:tcPr>
                                <w:tcW w:w="568" w:type="dxa"/>
                                <w:shd w:val="clear" w:color="auto" w:fill="auto"/>
                                <w:vAlign w:val="center"/>
                                <w:hideMark/>
                              </w:tcPr>
                              <w:p w14:paraId="105CFC32" w14:textId="77777777">
                                <w:pPr>
                                  <w:rPr>
                                    <w:color w:val="000000"/>
                                    <w:sz w:val="22"/>
                                    <w:szCs w:val="22"/>
                                    <w:lang w:eastAsia="lt-LT"/>
                                  </w:rPr>
                                </w:pPr>
                                <w:r>
                                  <w:rPr>
                                    <w:color w:val="000000"/>
                                    <w:sz w:val="22"/>
                                    <w:szCs w:val="22"/>
                                    <w:lang w:eastAsia="lt-LT"/>
                                  </w:rPr>
                                  <w:t>2</w:t>
                                </w:r>
                              </w:p>
                            </w:tc>
                            <w:tc>
                              <w:tcPr>
                                <w:tcW w:w="992" w:type="dxa"/>
                                <w:vAlign w:val="center"/>
                              </w:tcPr>
                              <w:p w14:paraId="38A7F442" w14:textId="3CCB122A">
                                <w:pPr>
                                  <w:jc w:val="both"/>
                                  <w:rPr>
                                    <w:color w:val="000000"/>
                                    <w:sz w:val="22"/>
                                    <w:szCs w:val="22"/>
                                    <w:lang w:eastAsia="lt-LT"/>
                                  </w:rPr>
                                </w:pPr>
                                <w:r>
                                  <w:rPr>
                                    <w:color w:val="000000"/>
                                    <w:sz w:val="22"/>
                                    <w:szCs w:val="22"/>
                                    <w:lang w:eastAsia="lt-LT"/>
                                  </w:rPr>
                                  <w:t>14,2</w:t>
                                </w:r>
                              </w:p>
                            </w:tc>
                            <w:tc>
                              <w:tcPr>
                                <w:tcW w:w="4200" w:type="dxa"/>
                                <w:shd w:val="clear" w:color="auto" w:fill="auto"/>
                                <w:vAlign w:val="center"/>
                                <w:hideMark/>
                              </w:tcPr>
                              <w:p w14:paraId="5A43B207" w14:textId="48F8B926">
                                <w:pPr>
                                  <w:jc w:val="both"/>
                                  <w:rPr>
                                    <w:color w:val="000000"/>
                                    <w:sz w:val="22"/>
                                    <w:szCs w:val="22"/>
                                    <w:lang w:eastAsia="lt-LT"/>
                                  </w:rPr>
                                </w:pPr>
                                <w:r>
                                  <w:rPr>
                                    <w:color w:val="000000"/>
                                    <w:sz w:val="22"/>
                                    <w:szCs w:val="22"/>
                                    <w:lang w:eastAsia="lt-LT"/>
                                  </w:rPr>
                                  <w:t xml:space="preserve">Rėkyvos kultūros namų fasado ir vidaus patalpų remontui  atlikti.</w:t>
                                </w:r>
                              </w:p>
                            </w:tc>
                            <w:tc>
                              <w:tcPr>
                                <w:tcW w:w="1573" w:type="dxa"/>
                                <w:shd w:val="clear" w:color="auto" w:fill="auto"/>
                                <w:vAlign w:val="center"/>
                                <w:hideMark/>
                              </w:tcPr>
                              <w:p w14:paraId="72118DCB" w14:textId="77777777">
                                <w:pPr>
                                  <w:jc w:val="both"/>
                                  <w:rPr>
                                    <w:color w:val="000000"/>
                                    <w:sz w:val="22"/>
                                    <w:szCs w:val="22"/>
                                    <w:lang w:eastAsia="lt-LT"/>
                                  </w:rPr>
                                </w:pPr>
                                <w:r>
                                  <w:rPr>
                                    <w:color w:val="000000"/>
                                    <w:sz w:val="22"/>
                                    <w:szCs w:val="22"/>
                                    <w:lang w:eastAsia="lt-LT"/>
                                  </w:rPr>
                                  <w:t>Šiaulių kultūros centras</w:t>
                                </w:r>
                              </w:p>
                            </w:tc>
                            <w:tc>
                              <w:tcPr>
                                <w:tcW w:w="2731" w:type="dxa"/>
                                <w:shd w:val="clear" w:color="auto" w:fill="auto"/>
                                <w:vAlign w:val="center"/>
                                <w:hideMark/>
                              </w:tcPr>
                              <w:p w14:paraId="2679A5C6" w14:textId="35F8491A">
                                <w:pPr>
                                  <w:rPr>
                                    <w:color w:val="000000"/>
                                    <w:sz w:val="22"/>
                                    <w:szCs w:val="22"/>
                                    <w:lang w:eastAsia="lt-LT"/>
                                  </w:rPr>
                                </w:pPr>
                                <w:r>
                                  <w:rPr>
                                    <w:color w:val="000000"/>
                                    <w:sz w:val="22"/>
                                    <w:szCs w:val="22"/>
                                    <w:lang w:eastAsia="lt-LT"/>
                                  </w:rPr>
                                  <w:t>Šiaulių kultūros centro 2023-08-04 raštas Nr. BGF-1560</w:t>
                                </w:r>
                              </w:p>
                            </w:tc>
                          </w:tr>
                          <w:tr w14:paraId="2027A0CE" w14:textId="77777777">
                            <w:trPr>
                              <w:trHeight w:val="630"/>
                            </w:trPr>
                            <w:tc>
                              <w:tcPr>
                                <w:tcW w:w="568" w:type="dxa"/>
                                <w:shd w:val="clear" w:color="auto" w:fill="auto"/>
                                <w:vAlign w:val="center"/>
                                <w:hideMark/>
                              </w:tcPr>
                              <w:p w14:paraId="7888925B" w14:textId="77777777">
                                <w:pPr>
                                  <w:jc w:val="both"/>
                                  <w:rPr>
                                    <w:color w:val="000000"/>
                                    <w:sz w:val="22"/>
                                    <w:szCs w:val="22"/>
                                    <w:lang w:eastAsia="lt-LT"/>
                                  </w:rPr>
                                </w:pPr>
                                <w:r>
                                  <w:rPr>
                                    <w:color w:val="000000"/>
                                    <w:sz w:val="22"/>
                                    <w:szCs w:val="22"/>
                                    <w:lang w:eastAsia="lt-LT"/>
                                  </w:rPr>
                                  <w:t>4</w:t>
                                </w:r>
                              </w:p>
                            </w:tc>
                            <w:tc>
                              <w:tcPr>
                                <w:tcW w:w="992" w:type="dxa"/>
                                <w:vAlign w:val="center"/>
                              </w:tcPr>
                              <w:p w14:paraId="558E6DFD" w14:textId="5584B564">
                                <w:pPr>
                                  <w:rPr>
                                    <w:color w:val="000000"/>
                                    <w:sz w:val="22"/>
                                    <w:szCs w:val="22"/>
                                    <w:lang w:eastAsia="lt-LT"/>
                                  </w:rPr>
                                </w:pPr>
                                <w:r>
                                  <w:rPr>
                                    <w:color w:val="000000"/>
                                    <w:sz w:val="22"/>
                                    <w:szCs w:val="22"/>
                                    <w:lang w:eastAsia="lt-LT"/>
                                  </w:rPr>
                                  <w:t>26,0</w:t>
                                </w:r>
                              </w:p>
                            </w:tc>
                            <w:tc>
                              <w:tcPr>
                                <w:tcW w:w="4200" w:type="dxa"/>
                                <w:shd w:val="clear" w:color="auto" w:fill="auto"/>
                                <w:vAlign w:val="center"/>
                                <w:hideMark/>
                              </w:tcPr>
                              <w:p w14:paraId="2A639F8D" w14:textId="2279A19A">
                                <w:pPr>
                                  <w:rPr>
                                    <w:color w:val="000000"/>
                                    <w:sz w:val="22"/>
                                    <w:szCs w:val="22"/>
                                    <w:lang w:eastAsia="lt-LT"/>
                                  </w:rPr>
                                </w:pPr>
                                <w:r>
                                  <w:rPr>
                                    <w:color w:val="000000"/>
                                    <w:sz w:val="22"/>
                                    <w:szCs w:val="22"/>
                                    <w:lang w:eastAsia="lt-LT"/>
                                  </w:rPr>
                                  <w:t>Daušiškių kapinių statybos ir infrastruktūros įrengimo darbams</w:t>
                                </w:r>
                              </w:p>
                            </w:tc>
                            <w:tc>
                              <w:tcPr>
                                <w:tcW w:w="1573" w:type="dxa"/>
                                <w:shd w:val="clear" w:color="auto" w:fill="auto"/>
                                <w:vAlign w:val="center"/>
                                <w:hideMark/>
                              </w:tcPr>
                              <w:p w14:paraId="4AECACAE" w14:textId="77777777">
                                <w:pPr>
                                  <w:jc w:val="both"/>
                                  <w:rPr>
                                    <w:color w:val="000000"/>
                                    <w:sz w:val="22"/>
                                    <w:szCs w:val="22"/>
                                    <w:lang w:eastAsia="lt-LT"/>
                                  </w:rPr>
                                </w:pPr>
                                <w:r>
                                  <w:rPr>
                                    <w:color w:val="000000"/>
                                    <w:sz w:val="22"/>
                                    <w:szCs w:val="22"/>
                                    <w:lang w:eastAsia="lt-LT"/>
                                  </w:rPr>
                                  <w:t>Administracija</w:t>
                                </w:r>
                              </w:p>
                            </w:tc>
                            <w:tc>
                              <w:tcPr>
                                <w:tcW w:w="2731" w:type="dxa"/>
                                <w:shd w:val="clear" w:color="auto" w:fill="auto"/>
                                <w:noWrap/>
                                <w:vAlign w:val="center"/>
                                <w:hideMark/>
                              </w:tcPr>
                              <w:p w14:paraId="74A95B7C" w14:textId="2D17B1B0">
                                <w:pPr>
                                  <w:rPr>
                                    <w:color w:val="000000"/>
                                    <w:sz w:val="22"/>
                                    <w:szCs w:val="22"/>
                                    <w:lang w:eastAsia="lt-LT"/>
                                  </w:rPr>
                                </w:pPr>
                                <w:r>
                                  <w:rPr>
                                    <w:color w:val="000000"/>
                                    <w:sz w:val="22"/>
                                    <w:szCs w:val="22"/>
                                    <w:lang w:eastAsia="lt-LT"/>
                                  </w:rPr>
                                  <w:t>Statybos ir renovacijos skyriaus 2023-08-03 raštas Nr. GM-78</w:t>
                                </w:r>
                              </w:p>
                            </w:tc>
                          </w:tr>
                          <w:tr w14:paraId="0511CE4D" w14:textId="77777777">
                            <w:trPr>
                              <w:trHeight w:val="315"/>
                            </w:trPr>
                            <w:tc>
                              <w:tcPr>
                                <w:tcW w:w="568" w:type="dxa"/>
                                <w:shd w:val="clear" w:color="auto" w:fill="auto"/>
                                <w:vAlign w:val="center"/>
                                <w:hideMark/>
                              </w:tcPr>
                              <w:p w14:paraId="54539C06" w14:textId="77777777">
                                <w:pPr>
                                  <w:jc w:val="both"/>
                                  <w:rPr>
                                    <w:sz w:val="22"/>
                                    <w:szCs w:val="22"/>
                                    <w:lang w:eastAsia="lt-LT"/>
                                  </w:rPr>
                                </w:pPr>
                                <w:r>
                                  <w:rPr>
                                    <w:sz w:val="22"/>
                                    <w:szCs w:val="22"/>
                                    <w:lang w:eastAsia="lt-LT"/>
                                  </w:rPr>
                                  <w:t>5</w:t>
                                </w:r>
                              </w:p>
                            </w:tc>
                            <w:tc>
                              <w:tcPr>
                                <w:tcW w:w="992" w:type="dxa"/>
                                <w:vAlign w:val="center"/>
                              </w:tcPr>
                              <w:p w14:paraId="2FD57583" w14:textId="5F2F98E4">
                                <w:pPr>
                                  <w:jc w:val="both"/>
                                  <w:rPr>
                                    <w:sz w:val="22"/>
                                    <w:szCs w:val="22"/>
                                    <w:shd w:val="clear" w:color="auto" w:fill="FFFFFF"/>
                                  </w:rPr>
                                </w:pPr>
                                <w:r>
                                  <w:rPr>
                                    <w:sz w:val="22"/>
                                    <w:szCs w:val="22"/>
                                    <w:lang w:eastAsia="lt-LT"/>
                                  </w:rPr>
                                  <w:t>550,3</w:t>
                                </w:r>
                              </w:p>
                            </w:tc>
                            <w:tc>
                              <w:tcPr>
                                <w:tcW w:w="4200" w:type="dxa"/>
                                <w:shd w:val="clear" w:color="auto" w:fill="auto"/>
                                <w:vAlign w:val="center"/>
                                <w:hideMark/>
                              </w:tcPr>
                              <w:p w14:paraId="2695716A" w14:textId="4472A45A">
                                <w:pPr>
                                  <w:jc w:val="both"/>
                                  <w:rPr>
                                    <w:sz w:val="22"/>
                                    <w:szCs w:val="22"/>
                                    <w:lang w:eastAsia="lt-LT"/>
                                  </w:rPr>
                                </w:pPr>
                                <w:r>
                                  <w:rPr>
                                    <w:sz w:val="22"/>
                                    <w:szCs w:val="22"/>
                                    <w:shd w:val="clear" w:color="auto" w:fill="FFFFFF"/>
                                  </w:rPr>
                                  <w:t xml:space="preserve">Šiaulių viešojo logistikos centro intermodalinio terminalo </w:t>
                                </w:r>
                                <w:r>
                                  <w:rPr>
                                    <w:sz w:val="22"/>
                                    <w:szCs w:val="22"/>
                                  </w:rPr>
                                  <w:t>statybos darbams</w:t>
                                </w:r>
                              </w:p>
                            </w:tc>
                            <w:tc>
                              <w:tcPr>
                                <w:tcW w:w="1573" w:type="dxa"/>
                                <w:shd w:val="clear" w:color="auto" w:fill="auto"/>
                                <w:vAlign w:val="center"/>
                                <w:hideMark/>
                              </w:tcPr>
                              <w:p w14:paraId="4E2CC42D" w14:textId="77777777">
                                <w:pPr>
                                  <w:jc w:val="both"/>
                                  <w:rPr>
                                    <w:sz w:val="22"/>
                                    <w:szCs w:val="22"/>
                                    <w:lang w:eastAsia="lt-LT"/>
                                  </w:rPr>
                                </w:pPr>
                                <w:r>
                                  <w:rPr>
                                    <w:sz w:val="22"/>
                                    <w:szCs w:val="22"/>
                                    <w:lang w:eastAsia="lt-LT"/>
                                  </w:rPr>
                                  <w:t>Administracija</w:t>
                                </w:r>
                              </w:p>
                            </w:tc>
                            <w:tc>
                              <w:tcPr>
                                <w:tcW w:w="2731" w:type="dxa"/>
                                <w:vMerge w:val="restart"/>
                                <w:shd w:val="clear" w:color="auto" w:fill="auto"/>
                                <w:vAlign w:val="center"/>
                                <w:hideMark/>
                              </w:tcPr>
                              <w:p w14:paraId="5B0F6D83" w14:textId="77777777">
                                <w:pPr>
                                  <w:jc w:val="both"/>
                                  <w:rPr>
                                    <w:sz w:val="22"/>
                                    <w:szCs w:val="22"/>
                                    <w:lang w:eastAsia="lt-LT"/>
                                  </w:rPr>
                                </w:pPr>
                                <w:r>
                                  <w:t>Projektų valdymo skyriaus 2023-08-11 raštas Nr. GF-292</w:t>
                                </w:r>
                              </w:p>
                              <w:p w14:paraId="266ED5EE" w14:textId="79E9285B">
                                <w:pPr>
                                  <w:ind w:firstLine="57"/>
                                  <w:jc w:val="both"/>
                                  <w:rPr>
                                    <w:sz w:val="22"/>
                                    <w:szCs w:val="22"/>
                                    <w:lang w:eastAsia="lt-LT"/>
                                  </w:rPr>
                                </w:pPr>
                              </w:p>
                            </w:tc>
                          </w:tr>
                          <w:tr w14:paraId="17FF8D59" w14:textId="77777777">
                            <w:trPr>
                              <w:trHeight w:val="315"/>
                            </w:trPr>
                            <w:tc>
                              <w:tcPr>
                                <w:tcW w:w="568" w:type="dxa"/>
                                <w:shd w:val="clear" w:color="auto" w:fill="auto"/>
                                <w:vAlign w:val="center"/>
                                <w:hideMark/>
                              </w:tcPr>
                              <w:p w14:paraId="5E2D72E5" w14:textId="77777777">
                                <w:pPr>
                                  <w:jc w:val="both"/>
                                  <w:rPr>
                                    <w:sz w:val="22"/>
                                    <w:szCs w:val="22"/>
                                    <w:lang w:eastAsia="lt-LT"/>
                                  </w:rPr>
                                </w:pPr>
                                <w:r>
                                  <w:rPr>
                                    <w:sz w:val="22"/>
                                    <w:szCs w:val="22"/>
                                    <w:lang w:eastAsia="lt-LT"/>
                                  </w:rPr>
                                  <w:t>8</w:t>
                                </w:r>
                              </w:p>
                            </w:tc>
                            <w:tc>
                              <w:tcPr>
                                <w:tcW w:w="992" w:type="dxa"/>
                                <w:vAlign w:val="center"/>
                              </w:tcPr>
                              <w:p w14:paraId="384E4355" w14:textId="40093B52">
                                <w:pPr>
                                  <w:jc w:val="both"/>
                                  <w:rPr>
                                    <w:sz w:val="22"/>
                                    <w:szCs w:val="22"/>
                                    <w:lang w:eastAsia="lt-LT"/>
                                  </w:rPr>
                                </w:pPr>
                                <w:r>
                                  <w:rPr>
                                    <w:sz w:val="22"/>
                                    <w:szCs w:val="22"/>
                                    <w:lang w:eastAsia="lt-LT"/>
                                  </w:rPr>
                                  <w:t>4,9</w:t>
                                </w:r>
                              </w:p>
                            </w:tc>
                            <w:tc>
                              <w:tcPr>
                                <w:tcW w:w="4200" w:type="dxa"/>
                                <w:shd w:val="clear" w:color="auto" w:fill="auto"/>
                                <w:vAlign w:val="center"/>
                                <w:hideMark/>
                              </w:tcPr>
                              <w:p w14:paraId="109DAFDC" w14:textId="1AEC0BAB">
                                <w:pPr>
                                  <w:jc w:val="both"/>
                                  <w:rPr>
                                    <w:sz w:val="22"/>
                                    <w:szCs w:val="22"/>
                                    <w:lang w:eastAsia="lt-LT"/>
                                  </w:rPr>
                                </w:pPr>
                                <w:r>
                                  <w:rPr>
                                    <w:sz w:val="22"/>
                                    <w:szCs w:val="22"/>
                                    <w:lang w:eastAsia="lt-LT"/>
                                  </w:rPr>
                                  <w:t>Atvirų klasių sukūrimui Šiaulių Vinco Kudirkos progimnazijoje</w:t>
                                </w:r>
                              </w:p>
                            </w:tc>
                            <w:tc>
                              <w:tcPr>
                                <w:tcW w:w="1573" w:type="dxa"/>
                                <w:shd w:val="clear" w:color="auto" w:fill="auto"/>
                                <w:vAlign w:val="center"/>
                                <w:hideMark/>
                              </w:tcPr>
                              <w:p w14:paraId="0C703748" w14:textId="77777777">
                                <w:pPr>
                                  <w:jc w:val="both"/>
                                  <w:rPr>
                                    <w:sz w:val="22"/>
                                    <w:szCs w:val="22"/>
                                    <w:lang w:eastAsia="lt-LT"/>
                                  </w:rPr>
                                </w:pPr>
                                <w:r>
                                  <w:rPr>
                                    <w:sz w:val="22"/>
                                    <w:szCs w:val="22"/>
                                    <w:lang w:eastAsia="lt-LT"/>
                                  </w:rPr>
                                  <w:t>Administracija</w:t>
                                </w:r>
                              </w:p>
                            </w:tc>
                            <w:tc>
                              <w:tcPr>
                                <w:tcW w:w="2731" w:type="dxa"/>
                                <w:vMerge/>
                                <w:shd w:val="clear" w:color="auto" w:fill="auto"/>
                                <w:vAlign w:val="center"/>
                                <w:hideMark/>
                              </w:tcPr>
                              <w:p w14:paraId="48058D03" w14:textId="0C8EBDAE">
                                <w:pPr>
                                  <w:jc w:val="both"/>
                                  <w:rPr>
                                    <w:sz w:val="22"/>
                                    <w:szCs w:val="22"/>
                                    <w:lang w:eastAsia="lt-LT"/>
                                  </w:rPr>
                                </w:pPr>
                              </w:p>
                            </w:tc>
                          </w:tr>
                          <w:tr w14:paraId="7644CBC7" w14:textId="77777777">
                            <w:trPr>
                              <w:trHeight w:val="315"/>
                            </w:trPr>
                            <w:tc>
                              <w:tcPr>
                                <w:tcW w:w="568" w:type="dxa"/>
                                <w:shd w:val="clear" w:color="auto" w:fill="auto"/>
                                <w:vAlign w:val="center"/>
                                <w:hideMark/>
                              </w:tcPr>
                              <w:p w14:paraId="0B225DEC" w14:textId="77777777">
                                <w:pPr>
                                  <w:jc w:val="both"/>
                                  <w:rPr>
                                    <w:color w:val="000000"/>
                                    <w:sz w:val="22"/>
                                    <w:szCs w:val="22"/>
                                    <w:lang w:eastAsia="lt-LT"/>
                                  </w:rPr>
                                </w:pPr>
                                <w:r>
                                  <w:rPr>
                                    <w:color w:val="000000"/>
                                    <w:sz w:val="22"/>
                                    <w:szCs w:val="22"/>
                                    <w:lang w:eastAsia="lt-LT"/>
                                  </w:rPr>
                                  <w:t>8</w:t>
                                </w:r>
                              </w:p>
                            </w:tc>
                            <w:tc>
                              <w:tcPr>
                                <w:tcW w:w="992" w:type="dxa"/>
                                <w:vAlign w:val="center"/>
                              </w:tcPr>
                              <w:p w14:paraId="39E39A8B" w14:textId="3D35801F">
                                <w:pPr>
                                  <w:rPr>
                                    <w:color w:val="000000"/>
                                    <w:sz w:val="22"/>
                                    <w:szCs w:val="22"/>
                                    <w:lang w:eastAsia="lt-LT"/>
                                  </w:rPr>
                                </w:pPr>
                                <w:r>
                                  <w:rPr>
                                    <w:color w:val="000000"/>
                                    <w:sz w:val="22"/>
                                    <w:szCs w:val="22"/>
                                    <w:lang w:eastAsia="lt-LT"/>
                                  </w:rPr>
                                  <w:t>35,0</w:t>
                                </w:r>
                              </w:p>
                            </w:tc>
                            <w:tc>
                              <w:tcPr>
                                <w:tcW w:w="4200" w:type="dxa"/>
                                <w:shd w:val="clear" w:color="auto" w:fill="auto"/>
                                <w:noWrap/>
                                <w:vAlign w:val="center"/>
                                <w:hideMark/>
                              </w:tcPr>
                              <w:p w14:paraId="4079CD53" w14:textId="44291103">
                                <w:pPr>
                                  <w:rPr>
                                    <w:color w:val="000000"/>
                                    <w:sz w:val="22"/>
                                    <w:szCs w:val="22"/>
                                    <w:lang w:eastAsia="lt-LT"/>
                                  </w:rPr>
                                </w:pPr>
                                <w:r>
                                  <w:rPr>
                                    <w:color w:val="000000"/>
                                    <w:sz w:val="22"/>
                                    <w:szCs w:val="22"/>
                                    <w:lang w:eastAsia="lt-LT"/>
                                  </w:rPr>
                                  <w:t>Asfalto dangai įrengti šalia "Saulėtekio" gimnazijos sporto aikštyno</w:t>
                                </w:r>
                              </w:p>
                            </w:tc>
                            <w:tc>
                              <w:tcPr>
                                <w:tcW w:w="1573" w:type="dxa"/>
                                <w:shd w:val="clear" w:color="auto" w:fill="auto"/>
                                <w:vAlign w:val="center"/>
                                <w:hideMark/>
                              </w:tcPr>
                              <w:p w14:paraId="1BC6B189" w14:textId="5C86E805">
                                <w:pPr>
                                  <w:jc w:val="both"/>
                                  <w:rPr>
                                    <w:color w:val="000000"/>
                                    <w:sz w:val="22"/>
                                    <w:szCs w:val="22"/>
                                    <w:lang w:eastAsia="lt-LT"/>
                                  </w:rPr>
                                </w:pPr>
                                <w:r>
                                  <w:rPr>
                                    <w:color w:val="000000"/>
                                    <w:sz w:val="22"/>
                                    <w:szCs w:val="22"/>
                                    <w:lang w:eastAsia="lt-LT"/>
                                  </w:rPr>
                                  <w:t>„Saulėtekio“ gimnazija</w:t>
                                </w:r>
                              </w:p>
                            </w:tc>
                            <w:tc>
                              <w:tcPr>
                                <w:tcW w:w="2731" w:type="dxa"/>
                                <w:shd w:val="clear" w:color="auto" w:fill="auto"/>
                                <w:vAlign w:val="center"/>
                                <w:hideMark/>
                              </w:tcPr>
                              <w:p w14:paraId="30959A14" w14:textId="60D12B2F">
                                <w:pPr>
                                  <w:rPr>
                                    <w:color w:val="000000"/>
                                    <w:sz w:val="22"/>
                                    <w:szCs w:val="22"/>
                                    <w:lang w:eastAsia="lt-LT"/>
                                  </w:rPr>
                                </w:pPr>
                                <w:r>
                                  <w:rPr>
                                    <w:color w:val="000000"/>
                                    <w:sz w:val="22"/>
                                    <w:szCs w:val="22"/>
                                    <w:lang w:eastAsia="lt-LT"/>
                                  </w:rPr>
                                  <w:t>Sporto skyriaus 2023-07-05 raštas Nr. GM-60</w:t>
                                </w:r>
                              </w:p>
                            </w:tc>
                          </w:tr>
                          <w:tr w14:paraId="5D803A92" w14:textId="77777777">
                            <w:trPr>
                              <w:trHeight w:val="557"/>
                            </w:trPr>
                            <w:tc>
                              <w:tcPr>
                                <w:tcW w:w="568" w:type="dxa"/>
                                <w:shd w:val="clear" w:color="auto" w:fill="auto"/>
                                <w:vAlign w:val="center"/>
                                <w:hideMark/>
                              </w:tcPr>
                              <w:p w14:paraId="6C69AD29" w14:textId="77777777">
                                <w:pPr>
                                  <w:jc w:val="both"/>
                                  <w:rPr>
                                    <w:color w:val="000000"/>
                                    <w:sz w:val="22"/>
                                    <w:szCs w:val="22"/>
                                    <w:lang w:eastAsia="lt-LT"/>
                                  </w:rPr>
                                </w:pPr>
                                <w:r>
                                  <w:rPr>
                                    <w:color w:val="000000"/>
                                    <w:sz w:val="22"/>
                                    <w:szCs w:val="22"/>
                                    <w:lang w:eastAsia="lt-LT"/>
                                  </w:rPr>
                                  <w:t>10</w:t>
                                </w:r>
                              </w:p>
                            </w:tc>
                            <w:tc>
                              <w:tcPr>
                                <w:tcW w:w="992" w:type="dxa"/>
                                <w:vAlign w:val="center"/>
                              </w:tcPr>
                              <w:p w14:paraId="55C9D4DB" w14:textId="4880FC1A">
                                <w:pPr>
                                  <w:rPr>
                                    <w:color w:val="000000"/>
                                    <w:sz w:val="22"/>
                                    <w:szCs w:val="22"/>
                                    <w:lang w:eastAsia="lt-LT"/>
                                  </w:rPr>
                                </w:pPr>
                                <w:r>
                                  <w:rPr>
                                    <w:color w:val="000000"/>
                                    <w:sz w:val="22"/>
                                    <w:szCs w:val="22"/>
                                    <w:lang w:eastAsia="lt-LT"/>
                                  </w:rPr>
                                  <w:t>600,0</w:t>
                                </w:r>
                              </w:p>
                            </w:tc>
                            <w:tc>
                              <w:tcPr>
                                <w:tcW w:w="4200" w:type="dxa"/>
                                <w:shd w:val="clear" w:color="auto" w:fill="auto"/>
                                <w:vAlign w:val="center"/>
                                <w:hideMark/>
                              </w:tcPr>
                              <w:p w14:paraId="2D24FCD3" w14:textId="6F9C5429">
                                <w:pPr>
                                  <w:rPr>
                                    <w:color w:val="000000"/>
                                    <w:sz w:val="22"/>
                                    <w:szCs w:val="22"/>
                                    <w:lang w:eastAsia="lt-LT"/>
                                  </w:rPr>
                                </w:pPr>
                                <w:r>
                                  <w:rPr>
                                    <w:color w:val="000000"/>
                                    <w:sz w:val="22"/>
                                    <w:szCs w:val="22"/>
                                    <w:lang w:eastAsia="lt-LT"/>
                                  </w:rPr>
                                  <w:t>Išmokoms ir kompensacijoms dengti: 300,0 tūkst. Eur - kompensuoti už būsto šildymą (kitomis kuro rūšimis), 200,0 tūkst. Eur - socialinei pašalpai, 100,0 tūkst. Eur - kompensuoti kredito, paimto daugiabučiui namui atnaujinti ir palūkanų apmokėjimo už asmenis, turinčius teisę į būsto šildymo išlaidas</w:t>
                                </w:r>
                              </w:p>
                            </w:tc>
                            <w:tc>
                              <w:tcPr>
                                <w:tcW w:w="1573" w:type="dxa"/>
                                <w:shd w:val="clear" w:color="auto" w:fill="auto"/>
                                <w:vAlign w:val="center"/>
                                <w:hideMark/>
                              </w:tcPr>
                              <w:p w14:paraId="7F03F919" w14:textId="77777777">
                                <w:pPr>
                                  <w:jc w:val="both"/>
                                  <w:rPr>
                                    <w:color w:val="000000"/>
                                    <w:sz w:val="22"/>
                                    <w:szCs w:val="22"/>
                                    <w:lang w:eastAsia="lt-LT"/>
                                  </w:rPr>
                                </w:pPr>
                                <w:r>
                                  <w:rPr>
                                    <w:color w:val="000000"/>
                                    <w:sz w:val="22"/>
                                    <w:szCs w:val="22"/>
                                    <w:lang w:eastAsia="lt-LT"/>
                                  </w:rPr>
                                  <w:t>Administracija</w:t>
                                </w:r>
                              </w:p>
                            </w:tc>
                            <w:tc>
                              <w:tcPr>
                                <w:tcW w:w="2731" w:type="dxa"/>
                                <w:shd w:val="clear" w:color="auto" w:fill="auto"/>
                                <w:vAlign w:val="center"/>
                                <w:hideMark/>
                              </w:tcPr>
                              <w:p w14:paraId="56783B1A" w14:textId="29F27307">
                                <w:pPr>
                                  <w:rPr>
                                    <w:color w:val="000000"/>
                                    <w:sz w:val="22"/>
                                    <w:szCs w:val="22"/>
                                    <w:lang w:eastAsia="lt-LT"/>
                                  </w:rPr>
                                </w:pPr>
                                <w:r>
                                  <w:rPr>
                                    <w:color w:val="000000"/>
                                    <w:sz w:val="22"/>
                                    <w:szCs w:val="22"/>
                                    <w:lang w:eastAsia="lt-LT"/>
                                  </w:rPr>
                                  <w:t>Socialinių išmokų ir kompensacijų skyriaus 2023-07-20 raštas Nr. GF-266</w:t>
                                </w:r>
                              </w:p>
                            </w:tc>
                          </w:tr>
                          <w:tr w14:paraId="042DD695" w14:textId="77777777">
                            <w:trPr>
                              <w:trHeight w:val="630"/>
                            </w:trPr>
                            <w:tc>
                              <w:tcPr>
                                <w:tcW w:w="568" w:type="dxa"/>
                                <w:shd w:val="clear" w:color="auto" w:fill="auto"/>
                                <w:vAlign w:val="center"/>
                                <w:hideMark/>
                              </w:tcPr>
                              <w:p w14:paraId="7C379F41" w14:textId="77777777">
                                <w:pPr>
                                  <w:jc w:val="both"/>
                                  <w:rPr>
                                    <w:color w:val="000000"/>
                                    <w:sz w:val="22"/>
                                    <w:szCs w:val="22"/>
                                    <w:lang w:eastAsia="lt-LT"/>
                                  </w:rPr>
                                </w:pPr>
                                <w:r>
                                  <w:rPr>
                                    <w:color w:val="000000"/>
                                    <w:sz w:val="22"/>
                                    <w:szCs w:val="22"/>
                                    <w:lang w:eastAsia="lt-LT"/>
                                  </w:rPr>
                                  <w:t>11</w:t>
                                </w:r>
                              </w:p>
                            </w:tc>
                            <w:tc>
                              <w:tcPr>
                                <w:tcW w:w="992" w:type="dxa"/>
                                <w:vAlign w:val="center"/>
                              </w:tcPr>
                              <w:p w14:paraId="4E130B11" w14:textId="17545F4B">
                                <w:pPr>
                                  <w:rPr>
                                    <w:color w:val="000000"/>
                                    <w:sz w:val="22"/>
                                    <w:szCs w:val="22"/>
                                    <w:lang w:eastAsia="lt-LT"/>
                                  </w:rPr>
                                </w:pPr>
                                <w:r>
                                  <w:rPr>
                                    <w:color w:val="000000"/>
                                    <w:sz w:val="22"/>
                                    <w:szCs w:val="22"/>
                                    <w:lang w:eastAsia="lt-LT"/>
                                  </w:rPr>
                                  <w:t>33,0</w:t>
                                </w:r>
                              </w:p>
                            </w:tc>
                            <w:tc>
                              <w:tcPr>
                                <w:tcW w:w="4200" w:type="dxa"/>
                                <w:shd w:val="clear" w:color="auto" w:fill="auto"/>
                                <w:noWrap/>
                                <w:vAlign w:val="center"/>
                                <w:hideMark/>
                              </w:tcPr>
                              <w:p w14:paraId="7CE58C47" w14:textId="7FDD7A7B">
                                <w:pPr>
                                  <w:rPr>
                                    <w:color w:val="000000"/>
                                    <w:sz w:val="22"/>
                                    <w:szCs w:val="22"/>
                                    <w:lang w:eastAsia="lt-LT"/>
                                  </w:rPr>
                                </w:pPr>
                                <w:r>
                                  <w:rPr>
                                    <w:color w:val="000000"/>
                                    <w:sz w:val="22"/>
                                    <w:szCs w:val="22"/>
                                    <w:lang w:eastAsia="lt-LT"/>
                                  </w:rPr>
                                  <w:t>Palūkanoms už paskolas dengti</w:t>
                                </w:r>
                              </w:p>
                            </w:tc>
                            <w:tc>
                              <w:tcPr>
                                <w:tcW w:w="1573" w:type="dxa"/>
                                <w:shd w:val="clear" w:color="auto" w:fill="auto"/>
                                <w:vAlign w:val="center"/>
                                <w:hideMark/>
                              </w:tcPr>
                              <w:p w14:paraId="0D436FD0" w14:textId="77777777">
                                <w:pPr>
                                  <w:jc w:val="both"/>
                                  <w:rPr>
                                    <w:color w:val="000000"/>
                                    <w:sz w:val="22"/>
                                    <w:szCs w:val="22"/>
                                    <w:lang w:eastAsia="lt-LT"/>
                                  </w:rPr>
                                </w:pPr>
                                <w:r>
                                  <w:rPr>
                                    <w:color w:val="000000"/>
                                    <w:sz w:val="22"/>
                                    <w:szCs w:val="22"/>
                                    <w:lang w:eastAsia="lt-LT"/>
                                  </w:rPr>
                                  <w:t>Administracija</w:t>
                                </w:r>
                              </w:p>
                            </w:tc>
                            <w:tc>
                              <w:tcPr>
                                <w:tcW w:w="2731" w:type="dxa"/>
                                <w:shd w:val="clear" w:color="auto" w:fill="auto"/>
                                <w:vAlign w:val="center"/>
                                <w:hideMark/>
                              </w:tcPr>
                              <w:p w14:paraId="6F254751" w14:textId="00298580">
                                <w:pPr>
                                  <w:rPr>
                                    <w:color w:val="000000"/>
                                    <w:sz w:val="22"/>
                                    <w:szCs w:val="22"/>
                                    <w:lang w:eastAsia="lt-LT"/>
                                  </w:rPr>
                                </w:pPr>
                                <w:r>
                                  <w:rPr>
                                    <w:color w:val="000000"/>
                                    <w:sz w:val="22"/>
                                    <w:szCs w:val="22"/>
                                    <w:lang w:eastAsia="lt-LT"/>
                                  </w:rPr>
                                  <w:t>Strateginio planavimo ir finansų skyriaus 2023-04-28 raštas Nr. GM-26</w:t>
                                </w:r>
                              </w:p>
                            </w:tc>
                          </w:tr>
                        </w:tbl>
                        <w:p/>
                      </w:sdtContent>
                    </w:sdt>
                    <w:sdt>
                      <w:sdtPr>
                        <w:alias w:val="2.2 pp."/>
                        <w:tag w:val="part_1668ef5addde46efabd6ab5e3cf99fe0"/>
                        <w:lock w:val="sdtLocked"/>
                        <w:richText/>
                      </w:sdtPr>
                      <w:sdtContent>
                        <w:p w14:paraId="7BC47D08" w14:textId="05CEBEAC">
                          <w:pPr>
                            <w:tabs>
                              <w:tab w:val="left" w:pos="567"/>
                            </w:tabs>
                            <w:ind w:firstLine="567"/>
                            <w:jc w:val="both"/>
                            <w:rPr>
                              <w:bCs/>
                            </w:rPr>
                          </w:pPr>
                          <w:sdt>
                            <w:sdtPr>
                              <w:alias w:val="Numeris"/>
                              <w:tag w:val="nr_1668ef5addde46efabd6ab5e3cf99fe0"/>
                              <w:lock w:val="sdtLocked"/>
                              <w:richText/>
                            </w:sdtPr>
                            <w:sdtContent>
                              <w:r>
                                <w:rPr>
                                  <w:rFonts w:eastAsia="HG Mincho Light J"/>
                                  <w:bCs/>
                                  <w:szCs w:val="24"/>
                                  <w:lang w:eastAsia="lt-LT"/>
                                </w:rPr>
                                <w:t>2.2</w:t>
                              </w:r>
                            </w:sdtContent>
                          </w:sdt>
                          <w:r>
                            <w:rPr>
                              <w:rFonts w:eastAsia="HG Mincho Light J"/>
                              <w:bCs/>
                              <w:szCs w:val="24"/>
                              <w:lang w:eastAsia="lt-LT"/>
                            </w:rPr>
                            <w:tab/>
                          </w:r>
                          <w:r>
                            <w:rPr>
                              <w:bCs/>
                            </w:rPr>
                            <w:t xml:space="preserve">449,7 tūkst. Eur didinamos </w:t>
                          </w:r>
                          <w:r>
                            <w:t xml:space="preserve">Miesto ekonominės plėtros programos (05) savivaldybės biudžeto lėšos (SB – 427,8 tūkst. Eur ir SB(LIK) – 21,9 tūkst. Eur) (asignavimų valdytojas – Administracija) </w:t>
                          </w:r>
                          <w:r>
                            <w:rPr>
                              <w:shd w:val="clear" w:color="auto" w:fill="FFFFFF"/>
                            </w:rPr>
                            <w:t xml:space="preserve">Šiaulių viešojo logistikos centro intermodalinio terminalo </w:t>
                          </w:r>
                          <w:r>
                            <w:t>statybos darbams ir ta pačia suma mažinamos šių programų lėšos (asignavimų valdytojas – Administracija):</w:t>
                          </w:r>
                        </w:p>
                        <w:tbl>
                          <w:tblPr>
                            <w:tblW w:w="10412" w:type="dxa"/>
                            <w:tblInd w:w="-778" w:type="dxa"/>
                            <w:tblLayout w:type="fixed"/>
                            <w:tblLook w:val="04A0" w:firstRow="1" w:lastRow="0" w:firstColumn="1" w:lastColumn="0" w:noHBand="0" w:noVBand="1"/>
                          </w:tblPr>
                          <w:tblGrid>
                            <w:gridCol w:w="567"/>
                            <w:gridCol w:w="1402"/>
                            <w:gridCol w:w="2835"/>
                            <w:gridCol w:w="937"/>
                            <w:gridCol w:w="823"/>
                            <w:gridCol w:w="3848"/>
                          </w:tblGrid>
                          <w:tr w14:paraId="33AFFB96" w14:textId="77777777">
                            <w:trPr>
                              <w:trHeight w:val="630"/>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D98FE3" w14:textId="77777777">
                                <w:pPr>
                                  <w:rPr>
                                    <w:color w:val="000000"/>
                                    <w:sz w:val="22"/>
                                    <w:szCs w:val="22"/>
                                    <w:lang w:eastAsia="lt-LT"/>
                                  </w:rPr>
                                </w:pPr>
                                <w:r>
                                  <w:rPr>
                                    <w:color w:val="000000"/>
                                    <w:sz w:val="22"/>
                                    <w:szCs w:val="22"/>
                                    <w:lang w:eastAsia="lt-LT"/>
                                  </w:rPr>
                                  <w:t>Programa</w:t>
                                </w:r>
                              </w:p>
                            </w:tc>
                            <w:tc>
                              <w:tcPr>
                                <w:tcW w:w="1402" w:type="dxa"/>
                                <w:tcBorders>
                                  <w:top w:val="single" w:sz="4" w:space="0" w:color="auto"/>
                                  <w:left w:val="nil"/>
                                  <w:bottom w:val="single" w:sz="4" w:space="0" w:color="auto"/>
                                  <w:right w:val="single" w:sz="4" w:space="0" w:color="auto"/>
                                </w:tcBorders>
                                <w:shd w:val="clear" w:color="auto" w:fill="auto"/>
                                <w:noWrap/>
                                <w:vAlign w:val="bottom"/>
                                <w:hideMark/>
                              </w:tcPr>
                              <w:p w14:paraId="2C71E83C" w14:textId="77777777">
                                <w:pPr>
                                  <w:rPr>
                                    <w:color w:val="000000"/>
                                    <w:sz w:val="22"/>
                                    <w:szCs w:val="22"/>
                                    <w:lang w:eastAsia="lt-LT"/>
                                  </w:rPr>
                                </w:pPr>
                                <w:r>
                                  <w:rPr>
                                    <w:color w:val="000000"/>
                                    <w:sz w:val="22"/>
                                    <w:szCs w:val="22"/>
                                    <w:lang w:eastAsia="lt-LT"/>
                                  </w:rPr>
                                  <w:t>Priemonė</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14:paraId="28E70770" w14:textId="77777777">
                                <w:pPr>
                                  <w:rPr>
                                    <w:color w:val="000000"/>
                                    <w:sz w:val="22"/>
                                    <w:szCs w:val="22"/>
                                    <w:lang w:eastAsia="lt-LT"/>
                                  </w:rPr>
                                </w:pPr>
                                <w:r>
                                  <w:rPr>
                                    <w:color w:val="000000"/>
                                    <w:sz w:val="22"/>
                                    <w:szCs w:val="22"/>
                                    <w:lang w:eastAsia="lt-LT"/>
                                  </w:rPr>
                                  <w:t>Priemonės pavadinimas</w:t>
                                </w:r>
                              </w:p>
                            </w:tc>
                            <w:tc>
                              <w:tcPr>
                                <w:tcW w:w="937" w:type="dxa"/>
                                <w:tcBorders>
                                  <w:top w:val="single" w:sz="4" w:space="0" w:color="auto"/>
                                  <w:left w:val="nil"/>
                                  <w:bottom w:val="single" w:sz="4" w:space="0" w:color="auto"/>
                                  <w:right w:val="single" w:sz="4" w:space="0" w:color="auto"/>
                                </w:tcBorders>
                                <w:shd w:val="clear" w:color="auto" w:fill="auto"/>
                                <w:vAlign w:val="center"/>
                                <w:hideMark/>
                              </w:tcPr>
                              <w:p w14:paraId="42150BA9" w14:textId="77777777">
                                <w:pPr>
                                  <w:jc w:val="both"/>
                                  <w:rPr>
                                    <w:color w:val="000000"/>
                                    <w:sz w:val="22"/>
                                    <w:szCs w:val="22"/>
                                    <w:lang w:eastAsia="lt-LT"/>
                                  </w:rPr>
                                </w:pPr>
                                <w:r>
                                  <w:rPr>
                                    <w:color w:val="000000"/>
                                    <w:sz w:val="22"/>
                                    <w:szCs w:val="22"/>
                                    <w:lang w:eastAsia="lt-LT"/>
                                  </w:rPr>
                                  <w:t>Šaltinis</w:t>
                                </w:r>
                              </w:p>
                            </w:tc>
                            <w:tc>
                              <w:tcPr>
                                <w:tcW w:w="823" w:type="dxa"/>
                                <w:tcBorders>
                                  <w:top w:val="single" w:sz="4" w:space="0" w:color="auto"/>
                                  <w:left w:val="nil"/>
                                  <w:bottom w:val="single" w:sz="4" w:space="0" w:color="auto"/>
                                  <w:right w:val="single" w:sz="4" w:space="0" w:color="auto"/>
                                </w:tcBorders>
                                <w:shd w:val="clear" w:color="auto" w:fill="auto"/>
                                <w:vAlign w:val="bottom"/>
                                <w:hideMark/>
                              </w:tcPr>
                              <w:p w14:paraId="3C6D202C" w14:textId="77777777">
                                <w:pPr>
                                  <w:rPr>
                                    <w:color w:val="000000"/>
                                    <w:sz w:val="22"/>
                                    <w:szCs w:val="22"/>
                                    <w:lang w:eastAsia="lt-LT"/>
                                  </w:rPr>
                                </w:pPr>
                                <w:r>
                                  <w:rPr>
                                    <w:color w:val="000000"/>
                                    <w:sz w:val="22"/>
                                    <w:szCs w:val="22"/>
                                    <w:lang w:eastAsia="lt-LT"/>
                                  </w:rPr>
                                  <w:t>Suma, tūkst. Eur</w:t>
                                </w:r>
                              </w:p>
                            </w:tc>
                            <w:tc>
                              <w:tcPr>
                                <w:tcW w:w="3848" w:type="dxa"/>
                                <w:tcBorders>
                                  <w:top w:val="single" w:sz="4" w:space="0" w:color="auto"/>
                                  <w:left w:val="nil"/>
                                  <w:bottom w:val="single" w:sz="4" w:space="0" w:color="auto"/>
                                  <w:right w:val="single" w:sz="4" w:space="0" w:color="auto"/>
                                </w:tcBorders>
                                <w:shd w:val="clear" w:color="auto" w:fill="auto"/>
                                <w:noWrap/>
                                <w:vAlign w:val="bottom"/>
                                <w:hideMark/>
                              </w:tcPr>
                              <w:p w14:paraId="4178004A" w14:textId="77777777">
                                <w:pPr>
                                  <w:rPr>
                                    <w:color w:val="000000"/>
                                    <w:sz w:val="22"/>
                                    <w:szCs w:val="22"/>
                                    <w:lang w:eastAsia="lt-LT"/>
                                  </w:rPr>
                                </w:pPr>
                                <w:r>
                                  <w:rPr>
                                    <w:color w:val="000000"/>
                                    <w:sz w:val="22"/>
                                    <w:szCs w:val="22"/>
                                    <w:lang w:eastAsia="lt-LT"/>
                                  </w:rPr>
                                  <w:t>Priežastis</w:t>
                                </w:r>
                              </w:p>
                            </w:tc>
                          </w:tr>
                          <w:tr w14:paraId="633D84DC" w14:textId="77777777">
                            <w:trPr>
                              <w:trHeight w:val="630"/>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01538821" w14:textId="77777777">
                                <w:pPr>
                                  <w:jc w:val="both"/>
                                  <w:rPr>
                                    <w:sz w:val="22"/>
                                    <w:szCs w:val="22"/>
                                    <w:lang w:eastAsia="lt-LT"/>
                                  </w:rPr>
                                </w:pPr>
                                <w:r>
                                  <w:rPr>
                                    <w:sz w:val="22"/>
                                    <w:szCs w:val="22"/>
                                    <w:lang w:eastAsia="lt-LT"/>
                                  </w:rPr>
                                  <w:t>5</w:t>
                                </w:r>
                              </w:p>
                            </w:tc>
                            <w:tc>
                              <w:tcPr>
                                <w:tcW w:w="1402" w:type="dxa"/>
                                <w:tcBorders>
                                  <w:top w:val="nil"/>
                                  <w:left w:val="nil"/>
                                  <w:bottom w:val="single" w:sz="4" w:space="0" w:color="auto"/>
                                  <w:right w:val="single" w:sz="4" w:space="0" w:color="auto"/>
                                </w:tcBorders>
                                <w:shd w:val="clear" w:color="auto" w:fill="auto"/>
                                <w:vAlign w:val="center"/>
                                <w:hideMark/>
                              </w:tcPr>
                              <w:p w14:paraId="7C9A1D45" w14:textId="77777777">
                                <w:pPr>
                                  <w:jc w:val="both"/>
                                  <w:rPr>
                                    <w:sz w:val="22"/>
                                    <w:szCs w:val="22"/>
                                    <w:lang w:eastAsia="lt-LT"/>
                                  </w:rPr>
                                </w:pPr>
                                <w:r>
                                  <w:rPr>
                                    <w:sz w:val="22"/>
                                    <w:szCs w:val="22"/>
                                    <w:lang w:eastAsia="lt-LT"/>
                                  </w:rPr>
                                  <w:t>05.01.05.04</w:t>
                                </w:r>
                              </w:p>
                            </w:tc>
                            <w:tc>
                              <w:tcPr>
                                <w:tcW w:w="2835" w:type="dxa"/>
                                <w:tcBorders>
                                  <w:top w:val="nil"/>
                                  <w:left w:val="nil"/>
                                  <w:bottom w:val="single" w:sz="4" w:space="0" w:color="auto"/>
                                  <w:right w:val="single" w:sz="4" w:space="0" w:color="auto"/>
                                </w:tcBorders>
                                <w:shd w:val="clear" w:color="auto" w:fill="auto"/>
                                <w:vAlign w:val="center"/>
                                <w:hideMark/>
                              </w:tcPr>
                              <w:p w14:paraId="3F61E49E" w14:textId="77777777">
                                <w:pPr>
                                  <w:jc w:val="both"/>
                                  <w:rPr>
                                    <w:sz w:val="22"/>
                                    <w:szCs w:val="22"/>
                                    <w:lang w:eastAsia="lt-LT"/>
                                  </w:rPr>
                                </w:pPr>
                                <w:r>
                                  <w:rPr>
                                    <w:sz w:val="22"/>
                                    <w:szCs w:val="22"/>
                                    <w:lang w:eastAsia="lt-LT"/>
                                  </w:rPr>
                                  <w:t>„Įrengti ekonominės veiklos centro infrastruktūrą“</w:t>
                                </w:r>
                              </w:p>
                            </w:tc>
                            <w:tc>
                              <w:tcPr>
                                <w:tcW w:w="937" w:type="dxa"/>
                                <w:tcBorders>
                                  <w:top w:val="nil"/>
                                  <w:left w:val="nil"/>
                                  <w:bottom w:val="single" w:sz="4" w:space="0" w:color="auto"/>
                                  <w:right w:val="single" w:sz="4" w:space="0" w:color="auto"/>
                                </w:tcBorders>
                                <w:shd w:val="clear" w:color="auto" w:fill="auto"/>
                                <w:vAlign w:val="center"/>
                                <w:hideMark/>
                              </w:tcPr>
                              <w:p w14:paraId="298C4CDA" w14:textId="77777777">
                                <w:pPr>
                                  <w:jc w:val="both"/>
                                  <w:rPr>
                                    <w:sz w:val="22"/>
                                    <w:szCs w:val="22"/>
                                    <w:lang w:eastAsia="lt-LT"/>
                                  </w:rPr>
                                </w:pPr>
                                <w:r>
                                  <w:rPr>
                                    <w:sz w:val="22"/>
                                    <w:szCs w:val="22"/>
                                    <w:lang w:eastAsia="lt-LT"/>
                                  </w:rPr>
                                  <w:t>SB</w:t>
                                </w:r>
                              </w:p>
                            </w:tc>
                            <w:tc>
                              <w:tcPr>
                                <w:tcW w:w="823" w:type="dxa"/>
                                <w:tcBorders>
                                  <w:top w:val="nil"/>
                                  <w:left w:val="nil"/>
                                  <w:bottom w:val="single" w:sz="4" w:space="0" w:color="auto"/>
                                  <w:right w:val="single" w:sz="4" w:space="0" w:color="auto"/>
                                </w:tcBorders>
                                <w:shd w:val="clear" w:color="auto" w:fill="auto"/>
                                <w:vAlign w:val="center"/>
                                <w:hideMark/>
                              </w:tcPr>
                              <w:p w14:paraId="066D1DAB" w14:textId="77777777">
                                <w:pPr>
                                  <w:jc w:val="center"/>
                                  <w:rPr>
                                    <w:sz w:val="22"/>
                                    <w:szCs w:val="22"/>
                                    <w:lang w:eastAsia="lt-LT"/>
                                  </w:rPr>
                                </w:pPr>
                                <w:r>
                                  <w:rPr>
                                    <w:sz w:val="22"/>
                                    <w:szCs w:val="22"/>
                                    <w:lang w:eastAsia="lt-LT"/>
                                  </w:rPr>
                                  <w:t>90,1</w:t>
                                </w:r>
                              </w:p>
                            </w:tc>
                            <w:tc>
                              <w:tcPr>
                                <w:tcW w:w="3848" w:type="dxa"/>
                                <w:tcBorders>
                                  <w:top w:val="nil"/>
                                  <w:left w:val="nil"/>
                                  <w:bottom w:val="single" w:sz="4" w:space="0" w:color="auto"/>
                                  <w:right w:val="single" w:sz="4" w:space="0" w:color="auto"/>
                                </w:tcBorders>
                                <w:shd w:val="clear" w:color="auto" w:fill="auto"/>
                                <w:vAlign w:val="center"/>
                                <w:hideMark/>
                              </w:tcPr>
                              <w:p w14:paraId="2317CDC3" w14:textId="66E34083">
                                <w:pPr>
                                  <w:jc w:val="both"/>
                                  <w:rPr>
                                    <w:sz w:val="22"/>
                                    <w:szCs w:val="22"/>
                                    <w:lang w:eastAsia="lt-LT"/>
                                  </w:rPr>
                                </w:pPr>
                                <w:r>
                                  <w:rPr>
                                    <w:sz w:val="22"/>
                                    <w:szCs w:val="22"/>
                                    <w:lang w:eastAsia="lt-LT"/>
                                  </w:rPr>
                                  <w:t>N</w:t>
                                </w:r>
                                <w:r>
                                  <w:rPr>
                                    <w:sz w:val="22"/>
                                    <w:szCs w:val="22"/>
                                  </w:rPr>
                                  <w:t>ukeliami terminalo statybos darbai, nes nėra aišku dėl sklypo Pročiūnų g. 30.</w:t>
                                </w:r>
                              </w:p>
                            </w:tc>
                          </w:tr>
                          <w:tr w14:paraId="0284DCAE" w14:textId="77777777">
                            <w:trPr>
                              <w:trHeight w:val="1260"/>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4A1ECFA7" w14:textId="77777777">
                                <w:pPr>
                                  <w:rPr>
                                    <w:color w:val="000000"/>
                                    <w:sz w:val="22"/>
                                    <w:szCs w:val="22"/>
                                    <w:lang w:eastAsia="lt-LT"/>
                                  </w:rPr>
                                </w:pPr>
                                <w:r>
                                  <w:rPr>
                                    <w:color w:val="000000"/>
                                    <w:sz w:val="22"/>
                                    <w:szCs w:val="22"/>
                                    <w:lang w:eastAsia="lt-LT"/>
                                  </w:rPr>
                                  <w:t>8</w:t>
                                </w:r>
                              </w:p>
                            </w:tc>
                            <w:tc>
                              <w:tcPr>
                                <w:tcW w:w="1402" w:type="dxa"/>
                                <w:tcBorders>
                                  <w:top w:val="nil"/>
                                  <w:left w:val="nil"/>
                                  <w:bottom w:val="single" w:sz="4" w:space="0" w:color="auto"/>
                                  <w:right w:val="single" w:sz="4" w:space="0" w:color="auto"/>
                                </w:tcBorders>
                                <w:shd w:val="clear" w:color="auto" w:fill="auto"/>
                                <w:vAlign w:val="center"/>
                                <w:hideMark/>
                              </w:tcPr>
                              <w:p w14:paraId="1B110A71" w14:textId="77777777">
                                <w:pPr>
                                  <w:rPr>
                                    <w:color w:val="000000"/>
                                    <w:sz w:val="22"/>
                                    <w:szCs w:val="22"/>
                                    <w:lang w:eastAsia="lt-LT"/>
                                  </w:rPr>
                                </w:pPr>
                                <w:r>
                                  <w:rPr>
                                    <w:color w:val="000000"/>
                                    <w:sz w:val="22"/>
                                    <w:szCs w:val="22"/>
                                    <w:lang w:eastAsia="lt-LT"/>
                                  </w:rPr>
                                  <w:t>08.05.02.60.02</w:t>
                                </w:r>
                              </w:p>
                            </w:tc>
                            <w:tc>
                              <w:tcPr>
                                <w:tcW w:w="2835" w:type="dxa"/>
                                <w:tcBorders>
                                  <w:top w:val="nil"/>
                                  <w:left w:val="nil"/>
                                  <w:bottom w:val="single" w:sz="4" w:space="0" w:color="auto"/>
                                  <w:right w:val="single" w:sz="4" w:space="0" w:color="auto"/>
                                </w:tcBorders>
                                <w:shd w:val="clear" w:color="auto" w:fill="auto"/>
                                <w:vAlign w:val="center"/>
                                <w:hideMark/>
                              </w:tcPr>
                              <w:p w14:paraId="77CA638B" w14:textId="77777777">
                                <w:pPr>
                                  <w:rPr>
                                    <w:color w:val="000000"/>
                                    <w:sz w:val="22"/>
                                    <w:szCs w:val="22"/>
                                    <w:lang w:eastAsia="lt-LT"/>
                                  </w:rPr>
                                </w:pPr>
                                <w:r>
                                  <w:rPr>
                                    <w:color w:val="000000"/>
                                    <w:sz w:val="22"/>
                                    <w:szCs w:val="22"/>
                                    <w:lang w:eastAsia="lt-LT"/>
                                  </w:rPr>
                                  <w:t>Atsinaujinančių energijos išteklių panaudojimas Šiaulių miesto švietimo įstaigose (saulės elektrinių įrengimas)</w:t>
                                </w:r>
                              </w:p>
                            </w:tc>
                            <w:tc>
                              <w:tcPr>
                                <w:tcW w:w="937" w:type="dxa"/>
                                <w:tcBorders>
                                  <w:top w:val="nil"/>
                                  <w:left w:val="nil"/>
                                  <w:bottom w:val="single" w:sz="4" w:space="0" w:color="auto"/>
                                  <w:right w:val="single" w:sz="4" w:space="0" w:color="auto"/>
                                </w:tcBorders>
                                <w:shd w:val="clear" w:color="auto" w:fill="auto"/>
                                <w:vAlign w:val="center"/>
                                <w:hideMark/>
                              </w:tcPr>
                              <w:p w14:paraId="2A59CB2D" w14:textId="77777777">
                                <w:pPr>
                                  <w:jc w:val="both"/>
                                  <w:rPr>
                                    <w:sz w:val="22"/>
                                    <w:szCs w:val="22"/>
                                    <w:lang w:eastAsia="lt-LT"/>
                                  </w:rPr>
                                </w:pPr>
                                <w:r>
                                  <w:rPr>
                                    <w:sz w:val="22"/>
                                    <w:szCs w:val="22"/>
                                    <w:lang w:eastAsia="lt-LT"/>
                                  </w:rPr>
                                  <w:t>SB</w:t>
                                </w:r>
                              </w:p>
                            </w:tc>
                            <w:tc>
                              <w:tcPr>
                                <w:tcW w:w="823" w:type="dxa"/>
                                <w:tcBorders>
                                  <w:top w:val="nil"/>
                                  <w:left w:val="nil"/>
                                  <w:bottom w:val="single" w:sz="4" w:space="0" w:color="auto"/>
                                  <w:right w:val="single" w:sz="4" w:space="0" w:color="auto"/>
                                </w:tcBorders>
                                <w:shd w:val="clear" w:color="000000" w:fill="FFFFFF"/>
                                <w:vAlign w:val="center"/>
                                <w:hideMark/>
                              </w:tcPr>
                              <w:p w14:paraId="51D4449B" w14:textId="77777777">
                                <w:pPr>
                                  <w:jc w:val="center"/>
                                  <w:rPr>
                                    <w:color w:val="000000"/>
                                    <w:sz w:val="22"/>
                                    <w:szCs w:val="22"/>
                                    <w:lang w:eastAsia="lt-LT"/>
                                  </w:rPr>
                                </w:pPr>
                                <w:r>
                                  <w:rPr>
                                    <w:color w:val="000000"/>
                                    <w:sz w:val="22"/>
                                    <w:szCs w:val="22"/>
                                    <w:lang w:eastAsia="lt-LT"/>
                                  </w:rPr>
                                  <w:t>80,8</w:t>
                                </w:r>
                              </w:p>
                            </w:tc>
                            <w:tc>
                              <w:tcPr>
                                <w:tcW w:w="3848" w:type="dxa"/>
                                <w:tcBorders>
                                  <w:top w:val="nil"/>
                                  <w:left w:val="nil"/>
                                  <w:bottom w:val="single" w:sz="4" w:space="0" w:color="auto"/>
                                  <w:right w:val="single" w:sz="4" w:space="0" w:color="auto"/>
                                </w:tcBorders>
                                <w:shd w:val="clear" w:color="auto" w:fill="auto"/>
                                <w:vAlign w:val="center"/>
                                <w:hideMark/>
                              </w:tcPr>
                              <w:p w14:paraId="5758BE2E" w14:textId="49D6FB7E">
                                <w:pPr>
                                  <w:jc w:val="both"/>
                                  <w:rPr>
                                    <w:color w:val="000000"/>
                                    <w:sz w:val="22"/>
                                    <w:szCs w:val="22"/>
                                    <w:lang w:eastAsia="lt-LT"/>
                                  </w:rPr>
                                </w:pPr>
                                <w:r>
                                  <w:rPr>
                                    <w:color w:val="000000"/>
                                    <w:sz w:val="22"/>
                                    <w:szCs w:val="22"/>
                                    <w:lang w:eastAsia="lt-LT"/>
                                  </w:rPr>
                                  <w:t>Paramą saulės el. įrengimui buvo galima gauti tik kompensavimo būdu. Pasikeitus finansavimo galimybėms, rezervuotų lėšų nebereikia, todėl nebėra poreikio.</w:t>
                                </w:r>
                              </w:p>
                            </w:tc>
                          </w:tr>
                          <w:tr w14:paraId="42E1E7B2" w14:textId="77777777">
                            <w:trPr>
                              <w:trHeight w:val="94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3E12BD41" w14:textId="77777777">
                                <w:pPr>
                                  <w:rPr>
                                    <w:sz w:val="22"/>
                                    <w:szCs w:val="22"/>
                                    <w:lang w:eastAsia="lt-LT"/>
                                  </w:rPr>
                                </w:pPr>
                                <w:r>
                                  <w:rPr>
                                    <w:sz w:val="22"/>
                                    <w:szCs w:val="22"/>
                                    <w:lang w:eastAsia="lt-LT"/>
                                  </w:rPr>
                                  <w:t>9</w:t>
                                </w:r>
                              </w:p>
                            </w:tc>
                            <w:tc>
                              <w:tcPr>
                                <w:tcW w:w="1402" w:type="dxa"/>
                                <w:tcBorders>
                                  <w:top w:val="nil"/>
                                  <w:left w:val="nil"/>
                                  <w:bottom w:val="single" w:sz="4" w:space="0" w:color="auto"/>
                                  <w:right w:val="single" w:sz="4" w:space="0" w:color="auto"/>
                                </w:tcBorders>
                                <w:shd w:val="clear" w:color="auto" w:fill="auto"/>
                                <w:vAlign w:val="center"/>
                                <w:hideMark/>
                              </w:tcPr>
                              <w:p w14:paraId="6FF32960" w14:textId="77777777">
                                <w:pPr>
                                  <w:rPr>
                                    <w:sz w:val="22"/>
                                    <w:szCs w:val="22"/>
                                    <w:lang w:eastAsia="lt-LT"/>
                                  </w:rPr>
                                </w:pPr>
                                <w:r>
                                  <w:rPr>
                                    <w:sz w:val="22"/>
                                    <w:szCs w:val="22"/>
                                    <w:lang w:eastAsia="lt-LT"/>
                                  </w:rPr>
                                  <w:t xml:space="preserve">09.01.01.05 </w:t>
                                </w:r>
                              </w:p>
                            </w:tc>
                            <w:tc>
                              <w:tcPr>
                                <w:tcW w:w="2835" w:type="dxa"/>
                                <w:tcBorders>
                                  <w:top w:val="nil"/>
                                  <w:left w:val="nil"/>
                                  <w:bottom w:val="single" w:sz="4" w:space="0" w:color="auto"/>
                                  <w:right w:val="single" w:sz="4" w:space="0" w:color="auto"/>
                                </w:tcBorders>
                                <w:shd w:val="clear" w:color="auto" w:fill="auto"/>
                                <w:vAlign w:val="center"/>
                                <w:hideMark/>
                              </w:tcPr>
                              <w:p w14:paraId="5E8732A5" w14:textId="77777777">
                                <w:pPr>
                                  <w:rPr>
                                    <w:sz w:val="22"/>
                                    <w:szCs w:val="22"/>
                                    <w:lang w:eastAsia="lt-LT"/>
                                  </w:rPr>
                                </w:pPr>
                                <w:r>
                                  <w:rPr>
                                    <w:sz w:val="22"/>
                                    <w:szCs w:val="22"/>
                                    <w:lang w:eastAsia="lt-LT"/>
                                  </w:rPr>
                                  <w:t>Įgyvendinti projektą „Energetinių charakteristikų gerinimas VšĮ Dainų pirminės sveikatos priežiūros centre"</w:t>
                                </w:r>
                              </w:p>
                            </w:tc>
                            <w:tc>
                              <w:tcPr>
                                <w:tcW w:w="937" w:type="dxa"/>
                                <w:tcBorders>
                                  <w:top w:val="nil"/>
                                  <w:left w:val="nil"/>
                                  <w:bottom w:val="single" w:sz="4" w:space="0" w:color="auto"/>
                                  <w:right w:val="single" w:sz="4" w:space="0" w:color="auto"/>
                                </w:tcBorders>
                                <w:shd w:val="clear" w:color="auto" w:fill="auto"/>
                                <w:vAlign w:val="center"/>
                                <w:hideMark/>
                              </w:tcPr>
                              <w:p w14:paraId="03AEDE01" w14:textId="77777777">
                                <w:pPr>
                                  <w:jc w:val="both"/>
                                  <w:rPr>
                                    <w:sz w:val="22"/>
                                    <w:szCs w:val="22"/>
                                    <w:lang w:eastAsia="lt-LT"/>
                                  </w:rPr>
                                </w:pPr>
                                <w:r>
                                  <w:rPr>
                                    <w:sz w:val="22"/>
                                    <w:szCs w:val="22"/>
                                    <w:lang w:eastAsia="lt-LT"/>
                                  </w:rPr>
                                  <w:t>SB</w:t>
                                </w:r>
                              </w:p>
                            </w:tc>
                            <w:tc>
                              <w:tcPr>
                                <w:tcW w:w="823" w:type="dxa"/>
                                <w:tcBorders>
                                  <w:top w:val="nil"/>
                                  <w:left w:val="nil"/>
                                  <w:bottom w:val="single" w:sz="4" w:space="0" w:color="auto"/>
                                  <w:right w:val="single" w:sz="4" w:space="0" w:color="auto"/>
                                </w:tcBorders>
                                <w:shd w:val="clear" w:color="auto" w:fill="auto"/>
                                <w:vAlign w:val="center"/>
                                <w:hideMark/>
                              </w:tcPr>
                              <w:p w14:paraId="66877BB7" w14:textId="77777777">
                                <w:pPr>
                                  <w:jc w:val="center"/>
                                  <w:rPr>
                                    <w:sz w:val="22"/>
                                    <w:szCs w:val="22"/>
                                    <w:lang w:eastAsia="lt-LT"/>
                                  </w:rPr>
                                </w:pPr>
                                <w:r>
                                  <w:rPr>
                                    <w:sz w:val="22"/>
                                    <w:szCs w:val="22"/>
                                    <w:lang w:eastAsia="lt-LT"/>
                                  </w:rPr>
                                  <w:t>27,5</w:t>
                                </w:r>
                              </w:p>
                            </w:tc>
                            <w:tc>
                              <w:tcPr>
                                <w:tcW w:w="3848" w:type="dxa"/>
                                <w:tcBorders>
                                  <w:top w:val="nil"/>
                                  <w:left w:val="nil"/>
                                  <w:bottom w:val="single" w:sz="4" w:space="0" w:color="auto"/>
                                  <w:right w:val="single" w:sz="4" w:space="0" w:color="auto"/>
                                </w:tcBorders>
                                <w:shd w:val="clear" w:color="auto" w:fill="auto"/>
                                <w:vAlign w:val="center"/>
                                <w:hideMark/>
                              </w:tcPr>
                              <w:p w14:paraId="76A213E3" w14:textId="77777777">
                                <w:pPr>
                                  <w:rPr>
                                    <w:color w:val="000000"/>
                                    <w:sz w:val="22"/>
                                    <w:szCs w:val="22"/>
                                    <w:lang w:eastAsia="lt-LT"/>
                                  </w:rPr>
                                </w:pPr>
                                <w:r>
                                  <w:rPr>
                                    <w:color w:val="000000"/>
                                    <w:sz w:val="22"/>
                                    <w:szCs w:val="22"/>
                                    <w:lang w:eastAsia="lt-LT"/>
                                  </w:rPr>
                                  <w:t>Rangos darbų sutartis sudaryta mažesnei sumai nei suplanuota biudžete.</w:t>
                                </w:r>
                              </w:p>
                            </w:tc>
                          </w:tr>
                          <w:tr w14:paraId="432AF9C2" w14:textId="77777777">
                            <w:trPr>
                              <w:trHeight w:val="94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6F8277CB" w14:textId="77777777">
                                <w:pPr>
                                  <w:jc w:val="both"/>
                                  <w:rPr>
                                    <w:sz w:val="22"/>
                                    <w:szCs w:val="22"/>
                                    <w:lang w:eastAsia="lt-LT"/>
                                  </w:rPr>
                                </w:pPr>
                                <w:r>
                                  <w:rPr>
                                    <w:sz w:val="22"/>
                                    <w:szCs w:val="22"/>
                                    <w:lang w:eastAsia="lt-LT"/>
                                  </w:rPr>
                                  <w:t>10</w:t>
                                </w:r>
                              </w:p>
                            </w:tc>
                            <w:tc>
                              <w:tcPr>
                                <w:tcW w:w="1402" w:type="dxa"/>
                                <w:tcBorders>
                                  <w:top w:val="nil"/>
                                  <w:left w:val="nil"/>
                                  <w:bottom w:val="single" w:sz="4" w:space="0" w:color="auto"/>
                                  <w:right w:val="single" w:sz="4" w:space="0" w:color="auto"/>
                                </w:tcBorders>
                                <w:shd w:val="clear" w:color="auto" w:fill="auto"/>
                                <w:vAlign w:val="center"/>
                                <w:hideMark/>
                              </w:tcPr>
                              <w:p w14:paraId="7B3AA8AB" w14:textId="77777777">
                                <w:pPr>
                                  <w:jc w:val="both"/>
                                  <w:rPr>
                                    <w:sz w:val="22"/>
                                    <w:szCs w:val="22"/>
                                    <w:lang w:eastAsia="lt-LT"/>
                                  </w:rPr>
                                </w:pPr>
                                <w:r>
                                  <w:rPr>
                                    <w:sz w:val="22"/>
                                    <w:szCs w:val="22"/>
                                    <w:lang w:eastAsia="lt-LT"/>
                                  </w:rPr>
                                  <w:t xml:space="preserve">10.01.03.10 </w:t>
                                </w:r>
                              </w:p>
                            </w:tc>
                            <w:tc>
                              <w:tcPr>
                                <w:tcW w:w="2835" w:type="dxa"/>
                                <w:tcBorders>
                                  <w:top w:val="nil"/>
                                  <w:left w:val="nil"/>
                                  <w:bottom w:val="single" w:sz="4" w:space="0" w:color="auto"/>
                                  <w:right w:val="single" w:sz="4" w:space="0" w:color="auto"/>
                                </w:tcBorders>
                                <w:shd w:val="clear" w:color="auto" w:fill="auto"/>
                                <w:vAlign w:val="center"/>
                                <w:hideMark/>
                              </w:tcPr>
                              <w:p w14:paraId="1465A721" w14:textId="77777777">
                                <w:pPr>
                                  <w:jc w:val="both"/>
                                  <w:rPr>
                                    <w:sz w:val="22"/>
                                    <w:szCs w:val="22"/>
                                    <w:lang w:eastAsia="lt-LT"/>
                                  </w:rPr>
                                </w:pPr>
                                <w:r>
                                  <w:rPr>
                                    <w:sz w:val="22"/>
                                    <w:szCs w:val="22"/>
                                    <w:lang w:eastAsia="lt-LT"/>
                                  </w:rPr>
                                  <w:t>Rekonstruoti Šiaulių miesto savivaldybės socialinių paslaugų centro Paramos tarnybos pastatą (Stoties g.)</w:t>
                                </w:r>
                              </w:p>
                            </w:tc>
                            <w:tc>
                              <w:tcPr>
                                <w:tcW w:w="937" w:type="dxa"/>
                                <w:tcBorders>
                                  <w:top w:val="nil"/>
                                  <w:left w:val="nil"/>
                                  <w:bottom w:val="single" w:sz="4" w:space="0" w:color="auto"/>
                                  <w:right w:val="single" w:sz="4" w:space="0" w:color="auto"/>
                                </w:tcBorders>
                                <w:shd w:val="clear" w:color="auto" w:fill="auto"/>
                                <w:vAlign w:val="center"/>
                                <w:hideMark/>
                              </w:tcPr>
                              <w:p w14:paraId="1AC94BF9" w14:textId="77777777">
                                <w:pPr>
                                  <w:jc w:val="both"/>
                                  <w:rPr>
                                    <w:sz w:val="22"/>
                                    <w:szCs w:val="22"/>
                                    <w:lang w:eastAsia="lt-LT"/>
                                  </w:rPr>
                                </w:pPr>
                                <w:r>
                                  <w:rPr>
                                    <w:sz w:val="22"/>
                                    <w:szCs w:val="22"/>
                                    <w:lang w:eastAsia="lt-LT"/>
                                  </w:rPr>
                                  <w:t>SB</w:t>
                                </w:r>
                              </w:p>
                            </w:tc>
                            <w:tc>
                              <w:tcPr>
                                <w:tcW w:w="823" w:type="dxa"/>
                                <w:tcBorders>
                                  <w:top w:val="nil"/>
                                  <w:left w:val="nil"/>
                                  <w:bottom w:val="single" w:sz="4" w:space="0" w:color="auto"/>
                                  <w:right w:val="single" w:sz="4" w:space="0" w:color="auto"/>
                                </w:tcBorders>
                                <w:shd w:val="clear" w:color="auto" w:fill="auto"/>
                                <w:vAlign w:val="center"/>
                                <w:hideMark/>
                              </w:tcPr>
                              <w:p w14:paraId="37743EAA" w14:textId="77777777">
                                <w:pPr>
                                  <w:jc w:val="center"/>
                                  <w:rPr>
                                    <w:sz w:val="22"/>
                                    <w:szCs w:val="22"/>
                                    <w:lang w:eastAsia="lt-LT"/>
                                  </w:rPr>
                                </w:pPr>
                                <w:r>
                                  <w:rPr>
                                    <w:sz w:val="22"/>
                                    <w:szCs w:val="22"/>
                                    <w:lang w:eastAsia="lt-LT"/>
                                  </w:rPr>
                                  <w:t>229,4</w:t>
                                </w:r>
                              </w:p>
                            </w:tc>
                            <w:tc>
                              <w:tcPr>
                                <w:tcW w:w="3848" w:type="dxa"/>
                                <w:tcBorders>
                                  <w:top w:val="nil"/>
                                  <w:left w:val="nil"/>
                                  <w:bottom w:val="single" w:sz="4" w:space="0" w:color="auto"/>
                                  <w:right w:val="single" w:sz="4" w:space="0" w:color="auto"/>
                                </w:tcBorders>
                                <w:shd w:val="clear" w:color="auto" w:fill="auto"/>
                                <w:vAlign w:val="center"/>
                                <w:hideMark/>
                              </w:tcPr>
                              <w:p w14:paraId="0194C3DF" w14:textId="77777777">
                                <w:pPr>
                                  <w:jc w:val="both"/>
                                  <w:rPr>
                                    <w:color w:val="000000"/>
                                    <w:sz w:val="22"/>
                                    <w:szCs w:val="22"/>
                                    <w:lang w:eastAsia="lt-LT"/>
                                  </w:rPr>
                                </w:pPr>
                                <w:r>
                                  <w:rPr>
                                    <w:color w:val="000000"/>
                                    <w:sz w:val="22"/>
                                    <w:szCs w:val="22"/>
                                    <w:lang w:eastAsia="lt-LT"/>
                                  </w:rPr>
                                  <w:t xml:space="preserve">Rangos darbų sutartis sudaryta mažesnei sumai nei suplanuota biudžete. </w:t>
                                </w:r>
                              </w:p>
                            </w:tc>
                          </w:tr>
                          <w:tr w14:paraId="63EC015E" w14:textId="77777777">
                            <w:trPr>
                              <w:trHeight w:val="94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62BC66B6" w14:textId="77777777">
                                <w:pPr>
                                  <w:jc w:val="both"/>
                                  <w:rPr>
                                    <w:sz w:val="22"/>
                                    <w:szCs w:val="22"/>
                                    <w:lang w:eastAsia="lt-LT"/>
                                  </w:rPr>
                                </w:pPr>
                                <w:r>
                                  <w:rPr>
                                    <w:sz w:val="22"/>
                                    <w:szCs w:val="22"/>
                                    <w:lang w:eastAsia="lt-LT"/>
                                  </w:rPr>
                                  <w:t>10</w:t>
                                </w:r>
                              </w:p>
                            </w:tc>
                            <w:tc>
                              <w:tcPr>
                                <w:tcW w:w="1402" w:type="dxa"/>
                                <w:tcBorders>
                                  <w:top w:val="nil"/>
                                  <w:left w:val="nil"/>
                                  <w:bottom w:val="single" w:sz="4" w:space="0" w:color="auto"/>
                                  <w:right w:val="single" w:sz="4" w:space="0" w:color="auto"/>
                                </w:tcBorders>
                                <w:shd w:val="clear" w:color="auto" w:fill="auto"/>
                                <w:vAlign w:val="center"/>
                                <w:hideMark/>
                              </w:tcPr>
                              <w:p w14:paraId="70BD343F" w14:textId="77777777">
                                <w:pPr>
                                  <w:jc w:val="both"/>
                                  <w:rPr>
                                    <w:sz w:val="22"/>
                                    <w:szCs w:val="22"/>
                                    <w:lang w:eastAsia="lt-LT"/>
                                  </w:rPr>
                                </w:pPr>
                                <w:r>
                                  <w:rPr>
                                    <w:sz w:val="22"/>
                                    <w:szCs w:val="22"/>
                                    <w:lang w:eastAsia="lt-LT"/>
                                  </w:rPr>
                                  <w:t>10.01.01.18</w:t>
                                </w:r>
                              </w:p>
                            </w:tc>
                            <w:tc>
                              <w:tcPr>
                                <w:tcW w:w="2835" w:type="dxa"/>
                                <w:tcBorders>
                                  <w:top w:val="nil"/>
                                  <w:left w:val="nil"/>
                                  <w:bottom w:val="single" w:sz="4" w:space="0" w:color="auto"/>
                                  <w:right w:val="single" w:sz="4" w:space="0" w:color="auto"/>
                                </w:tcBorders>
                                <w:shd w:val="clear" w:color="auto" w:fill="auto"/>
                                <w:vAlign w:val="center"/>
                                <w:hideMark/>
                              </w:tcPr>
                              <w:p w14:paraId="258A56D0" w14:textId="77777777">
                                <w:pPr>
                                  <w:jc w:val="both"/>
                                  <w:rPr>
                                    <w:sz w:val="22"/>
                                    <w:szCs w:val="22"/>
                                    <w:lang w:eastAsia="lt-LT"/>
                                  </w:rPr>
                                </w:pPr>
                                <w:r>
                                  <w:rPr>
                                    <w:sz w:val="22"/>
                                    <w:szCs w:val="22"/>
                                    <w:lang w:eastAsia="lt-LT"/>
                                  </w:rPr>
                                  <w:t>Įgyvendinti projektą „Vaikų socialinės integracijos skatinimas Jelgavos ir Šiaulių miestuose"</w:t>
                                </w:r>
                              </w:p>
                            </w:tc>
                            <w:tc>
                              <w:tcPr>
                                <w:tcW w:w="937" w:type="dxa"/>
                                <w:tcBorders>
                                  <w:top w:val="nil"/>
                                  <w:left w:val="nil"/>
                                  <w:bottom w:val="single" w:sz="4" w:space="0" w:color="auto"/>
                                  <w:right w:val="single" w:sz="4" w:space="0" w:color="auto"/>
                                </w:tcBorders>
                                <w:shd w:val="clear" w:color="auto" w:fill="auto"/>
                                <w:vAlign w:val="center"/>
                                <w:hideMark/>
                              </w:tcPr>
                              <w:p w14:paraId="47314234" w14:textId="77777777">
                                <w:pPr>
                                  <w:jc w:val="both"/>
                                  <w:rPr>
                                    <w:sz w:val="22"/>
                                    <w:szCs w:val="22"/>
                                    <w:lang w:eastAsia="lt-LT"/>
                                  </w:rPr>
                                </w:pPr>
                                <w:r>
                                  <w:rPr>
                                    <w:sz w:val="22"/>
                                    <w:szCs w:val="22"/>
                                    <w:lang w:eastAsia="lt-LT"/>
                                  </w:rPr>
                                  <w:t>SB (LIK)</w:t>
                                </w:r>
                              </w:p>
                            </w:tc>
                            <w:tc>
                              <w:tcPr>
                                <w:tcW w:w="823" w:type="dxa"/>
                                <w:tcBorders>
                                  <w:top w:val="nil"/>
                                  <w:left w:val="nil"/>
                                  <w:bottom w:val="single" w:sz="4" w:space="0" w:color="auto"/>
                                  <w:right w:val="single" w:sz="4" w:space="0" w:color="auto"/>
                                </w:tcBorders>
                                <w:shd w:val="clear" w:color="auto" w:fill="auto"/>
                                <w:vAlign w:val="center"/>
                                <w:hideMark/>
                              </w:tcPr>
                              <w:p w14:paraId="47C59A29" w14:textId="77777777">
                                <w:pPr>
                                  <w:jc w:val="center"/>
                                  <w:rPr>
                                    <w:sz w:val="22"/>
                                    <w:szCs w:val="22"/>
                                    <w:lang w:eastAsia="lt-LT"/>
                                  </w:rPr>
                                </w:pPr>
                                <w:r>
                                  <w:rPr>
                                    <w:sz w:val="22"/>
                                    <w:szCs w:val="22"/>
                                    <w:lang w:eastAsia="lt-LT"/>
                                  </w:rPr>
                                  <w:t>21,7</w:t>
                                </w:r>
                              </w:p>
                            </w:tc>
                            <w:tc>
                              <w:tcPr>
                                <w:tcW w:w="3848" w:type="dxa"/>
                                <w:tcBorders>
                                  <w:top w:val="nil"/>
                                  <w:left w:val="nil"/>
                                  <w:bottom w:val="single" w:sz="4" w:space="0" w:color="auto"/>
                                  <w:right w:val="single" w:sz="4" w:space="0" w:color="auto"/>
                                </w:tcBorders>
                                <w:shd w:val="clear" w:color="auto" w:fill="auto"/>
                                <w:vAlign w:val="center"/>
                                <w:hideMark/>
                              </w:tcPr>
                              <w:p w14:paraId="02B7E580" w14:textId="77777777">
                                <w:pPr>
                                  <w:jc w:val="both"/>
                                  <w:rPr>
                                    <w:color w:val="000000"/>
                                    <w:sz w:val="22"/>
                                    <w:szCs w:val="22"/>
                                    <w:lang w:eastAsia="lt-LT"/>
                                  </w:rPr>
                                </w:pPr>
                                <w:r>
                                  <w:rPr>
                                    <w:color w:val="000000"/>
                                    <w:sz w:val="22"/>
                                    <w:szCs w:val="22"/>
                                    <w:lang w:eastAsia="lt-LT"/>
                                  </w:rPr>
                                  <w:t>Projektas baigtas, lėšos sutaupytos.</w:t>
                                </w:r>
                              </w:p>
                            </w:tc>
                          </w:tr>
                          <w:tr w14:paraId="5F0838A1" w14:textId="77777777">
                            <w:trPr>
                              <w:trHeight w:val="94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6FFD50E2" w14:textId="77777777">
                                <w:pPr>
                                  <w:jc w:val="both"/>
                                  <w:rPr>
                                    <w:sz w:val="22"/>
                                    <w:szCs w:val="22"/>
                                    <w:lang w:eastAsia="lt-LT"/>
                                  </w:rPr>
                                </w:pPr>
                                <w:r>
                                  <w:rPr>
                                    <w:sz w:val="22"/>
                                    <w:szCs w:val="22"/>
                                    <w:lang w:eastAsia="lt-LT"/>
                                  </w:rPr>
                                  <w:t>11</w:t>
                                </w:r>
                              </w:p>
                            </w:tc>
                            <w:tc>
                              <w:tcPr>
                                <w:tcW w:w="1402" w:type="dxa"/>
                                <w:tcBorders>
                                  <w:top w:val="nil"/>
                                  <w:left w:val="nil"/>
                                  <w:bottom w:val="single" w:sz="4" w:space="0" w:color="auto"/>
                                  <w:right w:val="single" w:sz="4" w:space="0" w:color="auto"/>
                                </w:tcBorders>
                                <w:shd w:val="clear" w:color="auto" w:fill="auto"/>
                                <w:vAlign w:val="center"/>
                                <w:hideMark/>
                              </w:tcPr>
                              <w:p w14:paraId="6414E7DC" w14:textId="77777777">
                                <w:pPr>
                                  <w:jc w:val="both"/>
                                  <w:rPr>
                                    <w:sz w:val="22"/>
                                    <w:szCs w:val="22"/>
                                    <w:lang w:eastAsia="lt-LT"/>
                                  </w:rPr>
                                </w:pPr>
                                <w:r>
                                  <w:rPr>
                                    <w:sz w:val="22"/>
                                    <w:szCs w:val="22"/>
                                    <w:lang w:eastAsia="lt-LT"/>
                                  </w:rPr>
                                  <w:t xml:space="preserve">11.01.04.08 </w:t>
                                </w:r>
                              </w:p>
                            </w:tc>
                            <w:tc>
                              <w:tcPr>
                                <w:tcW w:w="2835" w:type="dxa"/>
                                <w:tcBorders>
                                  <w:top w:val="nil"/>
                                  <w:left w:val="nil"/>
                                  <w:bottom w:val="single" w:sz="4" w:space="0" w:color="auto"/>
                                  <w:right w:val="single" w:sz="4" w:space="0" w:color="auto"/>
                                </w:tcBorders>
                                <w:shd w:val="clear" w:color="auto" w:fill="auto"/>
                                <w:vAlign w:val="center"/>
                                <w:hideMark/>
                              </w:tcPr>
                              <w:p w14:paraId="110FC335" w14:textId="77777777">
                                <w:pPr>
                                  <w:jc w:val="both"/>
                                  <w:rPr>
                                    <w:sz w:val="22"/>
                                    <w:szCs w:val="22"/>
                                    <w:lang w:eastAsia="lt-LT"/>
                                  </w:rPr>
                                </w:pPr>
                                <w:r>
                                  <w:rPr>
                                    <w:sz w:val="22"/>
                                    <w:szCs w:val="22"/>
                                    <w:lang w:eastAsia="lt-LT"/>
                                  </w:rPr>
                                  <w:t>Įgyvendinti projektą „Bendradarbiavimas pasienio regione siekiant užtikrinti saugumą ir viešųjų paslaugų efektyvumą“</w:t>
                                </w:r>
                              </w:p>
                            </w:tc>
                            <w:tc>
                              <w:tcPr>
                                <w:tcW w:w="937" w:type="dxa"/>
                                <w:tcBorders>
                                  <w:top w:val="nil"/>
                                  <w:left w:val="nil"/>
                                  <w:bottom w:val="single" w:sz="4" w:space="0" w:color="auto"/>
                                  <w:right w:val="single" w:sz="4" w:space="0" w:color="auto"/>
                                </w:tcBorders>
                                <w:shd w:val="clear" w:color="auto" w:fill="auto"/>
                                <w:vAlign w:val="center"/>
                                <w:hideMark/>
                              </w:tcPr>
                              <w:p w14:paraId="24C08B64" w14:textId="77777777">
                                <w:pPr>
                                  <w:jc w:val="both"/>
                                  <w:rPr>
                                    <w:sz w:val="22"/>
                                    <w:szCs w:val="22"/>
                                    <w:lang w:eastAsia="lt-LT"/>
                                  </w:rPr>
                                </w:pPr>
                                <w:r>
                                  <w:rPr>
                                    <w:sz w:val="22"/>
                                    <w:szCs w:val="22"/>
                                    <w:lang w:eastAsia="lt-LT"/>
                                  </w:rPr>
                                  <w:t>SB (LIK)</w:t>
                                </w:r>
                              </w:p>
                            </w:tc>
                            <w:tc>
                              <w:tcPr>
                                <w:tcW w:w="823" w:type="dxa"/>
                                <w:tcBorders>
                                  <w:top w:val="nil"/>
                                  <w:left w:val="nil"/>
                                  <w:bottom w:val="single" w:sz="4" w:space="0" w:color="auto"/>
                                  <w:right w:val="single" w:sz="4" w:space="0" w:color="auto"/>
                                </w:tcBorders>
                                <w:shd w:val="clear" w:color="auto" w:fill="auto"/>
                                <w:vAlign w:val="center"/>
                                <w:hideMark/>
                              </w:tcPr>
                              <w:p w14:paraId="09B04B94" w14:textId="77777777">
                                <w:pPr>
                                  <w:jc w:val="center"/>
                                  <w:rPr>
                                    <w:sz w:val="22"/>
                                    <w:szCs w:val="22"/>
                                    <w:lang w:eastAsia="lt-LT"/>
                                  </w:rPr>
                                </w:pPr>
                                <w:r>
                                  <w:rPr>
                                    <w:sz w:val="22"/>
                                    <w:szCs w:val="22"/>
                                    <w:lang w:eastAsia="lt-LT"/>
                                  </w:rPr>
                                  <w:t>0,2</w:t>
                                </w:r>
                              </w:p>
                            </w:tc>
                            <w:tc>
                              <w:tcPr>
                                <w:tcW w:w="3848" w:type="dxa"/>
                                <w:tcBorders>
                                  <w:top w:val="nil"/>
                                  <w:left w:val="nil"/>
                                  <w:bottom w:val="single" w:sz="4" w:space="0" w:color="auto"/>
                                  <w:right w:val="single" w:sz="4" w:space="0" w:color="auto"/>
                                </w:tcBorders>
                                <w:shd w:val="clear" w:color="auto" w:fill="auto"/>
                                <w:vAlign w:val="center"/>
                                <w:hideMark/>
                              </w:tcPr>
                              <w:p w14:paraId="4B5034D9" w14:textId="77777777">
                                <w:pPr>
                                  <w:jc w:val="both"/>
                                  <w:rPr>
                                    <w:color w:val="000000"/>
                                    <w:sz w:val="22"/>
                                    <w:szCs w:val="22"/>
                                    <w:lang w:eastAsia="lt-LT"/>
                                  </w:rPr>
                                </w:pPr>
                                <w:r>
                                  <w:rPr>
                                    <w:color w:val="000000"/>
                                    <w:sz w:val="22"/>
                                    <w:szCs w:val="22"/>
                                    <w:lang w:eastAsia="lt-LT"/>
                                  </w:rPr>
                                  <w:t>Projektas baigtas, lėšos sutaupytos.</w:t>
                                </w:r>
                              </w:p>
                            </w:tc>
                          </w:tr>
                        </w:tbl>
                        <w:p w14:paraId="016E1841" w14:textId="5C15E1F3">
                          <w:pPr>
                            <w:widowControl w:val="0"/>
                            <w:suppressAutoHyphens/>
                            <w:ind w:firstLine="567"/>
                            <w:jc w:val="both"/>
                            <w:rPr>
                              <w:rFonts w:eastAsia="HG Mincho Light J"/>
                              <w:szCs w:val="24"/>
                              <w:lang w:eastAsia="lt-LT"/>
                            </w:rPr>
                          </w:pPr>
                          <w:r>
                            <w:rPr>
                              <w:rFonts w:eastAsia="HG Mincho Light J"/>
                              <w:szCs w:val="24"/>
                              <w:lang w:eastAsia="lt-LT"/>
                            </w:rPr>
                            <w:t>(Projektų valdymo skyriaus 2023-08-04 raštas Nr. GM-82 ir 2023-08-11 raštas Nr. GF-292, Ekonomikos ir investicijų skyriaus 2023-08-10 raštas Nr. SS-31);</w:t>
                          </w:r>
                        </w:p>
                      </w:sdtContent>
                    </w:sdt>
                  </w:sdtContent>
                </w:sdt>
                <w:sdt>
                  <w:sdtPr>
                    <w:alias w:val="1 p."/>
                    <w:tag w:val="part_b330b83d2d334fa3a4feebe111b2d486"/>
                    <w:lock w:val="sdtLocked"/>
                    <w:richText/>
                  </w:sdtPr>
                  <w:sdtContent>
                    <w:p w14:paraId="2F99ECC5" w14:textId="30A35ECA">
                      <w:pPr>
                        <w:ind w:left="927" w:hanging="360"/>
                        <w:jc w:val="both"/>
                        <w:rPr>
                          <w:vanish/>
                        </w:rPr>
                      </w:pPr>
                      <w:sdt>
                        <w:sdtPr>
                          <w:alias w:val="Numeris"/>
                          <w:tag w:val="nr_b330b83d2d334fa3a4feebe111b2d486"/>
                          <w:lock w:val="sdtLocked"/>
                          <w:richText/>
                        </w:sdtPr>
                        <w:sdtContent>
                          <w:r>
                            <w:rPr>
                              <w:rFonts w:eastAsia="HG Mincho Light J"/>
                              <w:vanish/>
                              <w:color w:val="000000"/>
                              <w:szCs w:val="24"/>
                              <w:lang w:eastAsia="lt-LT"/>
                            </w:rPr>
                            <w:t>1</w:t>
                          </w:r>
                        </w:sdtContent>
                      </w:sdt>
                      <w:r>
                        <w:rPr>
                          <w:rFonts w:eastAsia="HG Mincho Light J"/>
                          <w:vanish/>
                          <w:color w:val="000000"/>
                          <w:szCs w:val="24"/>
                          <w:lang w:eastAsia="lt-LT"/>
                        </w:rPr>
                        <w:t>.</w:t>
                        <w:tab/>
                      </w:r>
                    </w:p>
                  </w:sdtContent>
                </w:sdt>
                <w:sdt>
                  <w:sdtPr>
                    <w:alias w:val="2 p."/>
                    <w:tag w:val="part_ed774b97b0c24c77a663740808797ede"/>
                    <w:lock w:val="sdtLocked"/>
                    <w:richText/>
                  </w:sdtPr>
                  <w:sdtContent>
                    <w:p w14:paraId="5780DB2E" w14:textId="2C5F5DA4">
                      <w:pPr>
                        <w:ind w:left="927" w:hanging="360"/>
                        <w:jc w:val="both"/>
                        <w:rPr>
                          <w:vanish/>
                        </w:rPr>
                      </w:pPr>
                      <w:sdt>
                        <w:sdtPr>
                          <w:alias w:val="Numeris"/>
                          <w:tag w:val="nr_ed774b97b0c24c77a663740808797ede"/>
                          <w:lock w:val="sdtLocked"/>
                          <w:richText/>
                        </w:sdtPr>
                        <w:sdtContent>
                          <w:r>
                            <w:rPr>
                              <w:rFonts w:eastAsia="HG Mincho Light J"/>
                              <w:vanish/>
                              <w:color w:val="000000"/>
                              <w:szCs w:val="24"/>
                              <w:lang w:eastAsia="lt-LT"/>
                            </w:rPr>
                            <w:t>2</w:t>
                          </w:r>
                        </w:sdtContent>
                      </w:sdt>
                      <w:r>
                        <w:rPr>
                          <w:rFonts w:eastAsia="HG Mincho Light J"/>
                          <w:vanish/>
                          <w:color w:val="000000"/>
                          <w:szCs w:val="24"/>
                          <w:lang w:eastAsia="lt-LT"/>
                        </w:rPr>
                        <w:t>.</w:t>
                        <w:tab/>
                      </w:r>
                    </w:p>
                    <w:sdt>
                      <w:sdtPr>
                        <w:alias w:val="2.1 pp."/>
                        <w:tag w:val="part_a81df588b8d04be88ce211321a9d4db7"/>
                        <w:lock w:val="sdtLocked"/>
                        <w:richText/>
                      </w:sdtPr>
                      <w:sdtContent>
                        <w:p w14:paraId="1D370B0C" w14:textId="056117EC">
                          <w:pPr>
                            <w:ind w:left="1070" w:hanging="360"/>
                            <w:jc w:val="both"/>
                            <w:rPr>
                              <w:vanish/>
                            </w:rPr>
                          </w:pPr>
                          <w:sdt>
                            <w:sdtPr>
                              <w:alias w:val="Numeris"/>
                              <w:tag w:val="nr_a81df588b8d04be88ce211321a9d4db7"/>
                              <w:lock w:val="sdtLocked"/>
                              <w:richText/>
                            </w:sdtPr>
                            <w:sdtContent>
                              <w:r>
                                <w:rPr>
                                  <w:rFonts w:eastAsia="HG Mincho Light J"/>
                                  <w:vanish/>
                                  <w:color w:val="000000"/>
                                  <w:szCs w:val="24"/>
                                  <w:lang w:eastAsia="lt-LT"/>
                                </w:rPr>
                                <w:t>2.1</w:t>
                              </w:r>
                            </w:sdtContent>
                          </w:sdt>
                          <w:r>
                            <w:rPr>
                              <w:rFonts w:eastAsia="HG Mincho Light J"/>
                              <w:vanish/>
                              <w:color w:val="000000"/>
                              <w:szCs w:val="24"/>
                              <w:lang w:eastAsia="lt-LT"/>
                            </w:rPr>
                            <w:tab/>
                          </w:r>
                        </w:p>
                      </w:sdtContent>
                    </w:sdt>
                    <w:sdt>
                      <w:sdtPr>
                        <w:alias w:val="2.2 pp."/>
                        <w:tag w:val="part_aa59c9964259409abe64c555735bbc4c"/>
                        <w:lock w:val="sdtLocked"/>
                        <w:richText/>
                      </w:sdtPr>
                      <w:sdtContent>
                        <w:p w14:paraId="62AC7ADB" w14:textId="782497AD">
                          <w:pPr>
                            <w:ind w:left="1070" w:hanging="360"/>
                            <w:jc w:val="both"/>
                            <w:rPr>
                              <w:vanish/>
                            </w:rPr>
                          </w:pPr>
                          <w:sdt>
                            <w:sdtPr>
                              <w:alias w:val="Numeris"/>
                              <w:tag w:val="nr_aa59c9964259409abe64c555735bbc4c"/>
                              <w:lock w:val="sdtLocked"/>
                              <w:richText/>
                            </w:sdtPr>
                            <w:sdtContent>
                              <w:r>
                                <w:rPr>
                                  <w:rFonts w:eastAsia="HG Mincho Light J"/>
                                  <w:vanish/>
                                  <w:color w:val="000000"/>
                                  <w:szCs w:val="24"/>
                                  <w:lang w:eastAsia="lt-LT"/>
                                </w:rPr>
                                <w:t>2.2</w:t>
                              </w:r>
                            </w:sdtContent>
                          </w:sdt>
                          <w:r>
                            <w:rPr>
                              <w:rFonts w:eastAsia="HG Mincho Light J"/>
                              <w:vanish/>
                              <w:color w:val="000000"/>
                              <w:szCs w:val="24"/>
                              <w:lang w:eastAsia="lt-LT"/>
                            </w:rPr>
                            <w:tab/>
                          </w:r>
                        </w:p>
                      </w:sdtContent>
                    </w:sdt>
                    <w:sdt>
                      <w:sdtPr>
                        <w:alias w:val="2.3 pp."/>
                        <w:tag w:val="part_e12a394f60ce43c38808df599416bc88"/>
                        <w:lock w:val="sdtLocked"/>
                        <w:richText/>
                      </w:sdtPr>
                      <w:sdtContent>
                        <w:p w14:paraId="2943ABD2" w14:textId="6568237C">
                          <w:pPr>
                            <w:ind w:firstLine="567"/>
                            <w:jc w:val="both"/>
                          </w:pPr>
                          <w:sdt>
                            <w:sdtPr>
                              <w:alias w:val="Numeris"/>
                              <w:tag w:val="nr_e12a394f60ce43c38808df599416bc88"/>
                              <w:lock w:val="sdtLocked"/>
                              <w:richText/>
                            </w:sdtPr>
                            <w:sdtContent>
                              <w:r>
                                <w:rPr>
                                  <w:rFonts w:eastAsia="HG Mincho Light J"/>
                                  <w:color w:val="000000"/>
                                  <w:szCs w:val="24"/>
                                  <w:lang w:eastAsia="lt-LT"/>
                                </w:rPr>
                                <w:t>2.3</w:t>
                              </w:r>
                            </w:sdtContent>
                          </w:sdt>
                          <w:r>
                            <w:rPr>
                              <w:rFonts w:eastAsia="HG Mincho Light J"/>
                              <w:color w:val="000000"/>
                              <w:szCs w:val="24"/>
                              <w:lang w:eastAsia="lt-LT"/>
                            </w:rPr>
                            <w:tab/>
                          </w:r>
                          <w:r>
                            <w:t xml:space="preserve">130,0 tūkst. Eur mažinamos Miesto infrastruktūros objektų priežiūros, modernizavimo ir plėtros programos (04) savivaldybės biudžeto lėšos SB (papildomi darbai aplinkkeliui buvo mažesni nei planuoti) (asignavimų valdytojas – Administracija) ir ta pačia suma didinamos Miesto urbanistinės plėtros programos (01) savivaldybės biudžeto lėšos (SB) techninių projektų parengimui (asignavimų valdytojas – Administracija) (Projektų valdymo skyriaus 2023-08-04 raštas Nr. GM-82, Miesto ūkio ir aplinkos skyriaus 2023-05-15 raštas Nr. GS-114); </w:t>
                          </w:r>
                        </w:p>
                      </w:sdtContent>
                    </w:sdt>
                    <w:sdt>
                      <w:sdtPr>
                        <w:alias w:val="2.4 pp."/>
                        <w:tag w:val="part_eb23d3d276964f93af1424badc26fdc4"/>
                        <w:lock w:val="sdtLocked"/>
                        <w:richText/>
                      </w:sdtPr>
                      <w:sdtContent>
                        <w:p w14:paraId="28495EF7" w14:textId="083B9FFB">
                          <w:pPr>
                            <w:ind w:firstLine="710"/>
                            <w:jc w:val="both"/>
                          </w:pPr>
                          <w:sdt>
                            <w:sdtPr>
                              <w:alias w:val="Numeris"/>
                              <w:tag w:val="nr_eb23d3d276964f93af1424badc26fdc4"/>
                              <w:lock w:val="sdtLocked"/>
                              <w:richText/>
                            </w:sdtPr>
                            <w:sdtContent>
                              <w:r>
                                <w:rPr>
                                  <w:rFonts w:eastAsia="HG Mincho Light J"/>
                                  <w:color w:val="000000"/>
                                  <w:szCs w:val="24"/>
                                  <w:lang w:eastAsia="lt-LT"/>
                                </w:rPr>
                                <w:t>2.4</w:t>
                              </w:r>
                            </w:sdtContent>
                          </w:sdt>
                          <w:r>
                            <w:rPr>
                              <w:rFonts w:eastAsia="HG Mincho Light J"/>
                              <w:color w:val="000000"/>
                              <w:szCs w:val="24"/>
                              <w:lang w:eastAsia="lt-LT"/>
                            </w:rPr>
                            <w:tab/>
                          </w:r>
                          <w:r>
                            <w:t xml:space="preserve">155,1 tūkst. Eur mažinamos Švietimo prieinamumo ir kokybės užtikrinimo programos (08) savivaldybės biudžeto lėšos (SB – 54,9 tūkst. Eur, SB (LIK) – 100,2 tūkst. Eur) dėl sumažėjusio savivaldybės biudžeto lėšų poreikio pasikeitus projekto „Atsinaujinančių energijos išteklių panaudojimas Šiaulių miesto švietimo įstaigose (saulės elektrinių įrengimas)“ išlaidų kompensavimo būdui (asignavimų valdytojas – Administracija) ir 155,0 tūkst. Eur didinamos Kultūros plėtros programos (02) savivaldybės biudžeto lėšos (SB – 54,8 tūkst. Eur, SB(LIK) -100,2 tūkst. Eur) Laiptų galerijos pastato modernizavimo papildomiems darbams (langų ir lauko durų sutvarkymui) ir 0,1 tūkst. Eur didinamos Savivaldybės veiklos programos (11) savivaldybės biudžeto lėšos (SB) projekto „Aplinkos oro kokybės gerinimas Šiaulių mieste“ veikloms įgyvendinti (asignavimų valdytojas – Administracija) (Projektų valdymo skyriaus 2023-06-19 raštas Nr. GM-53); </w:t>
                          </w:r>
                        </w:p>
                      </w:sdtContent>
                    </w:sdt>
                    <w:sdt>
                      <w:sdtPr>
                        <w:alias w:val="2.5 pp."/>
                        <w:tag w:val="part_36f721b8fdf54b19b47742318d4eb0c9"/>
                        <w:lock w:val="sdtLocked"/>
                        <w:richText/>
                      </w:sdtPr>
                      <w:sdtContent>
                        <w:p w14:paraId="0ABDBB71" w14:textId="457E1999">
                          <w:pPr>
                            <w:ind w:firstLine="567"/>
                            <w:jc w:val="both"/>
                          </w:pPr>
                          <w:sdt>
                            <w:sdtPr>
                              <w:alias w:val="Numeris"/>
                              <w:tag w:val="nr_36f721b8fdf54b19b47742318d4eb0c9"/>
                              <w:lock w:val="sdtLocked"/>
                              <w:richText/>
                            </w:sdtPr>
                            <w:sdtContent>
                              <w:r>
                                <w:rPr>
                                  <w:rFonts w:eastAsia="HG Mincho Light J"/>
                                  <w:color w:val="000000"/>
                                  <w:szCs w:val="24"/>
                                  <w:lang w:eastAsia="lt-LT"/>
                                </w:rPr>
                                <w:t>2.5</w:t>
                              </w:r>
                            </w:sdtContent>
                          </w:sdt>
                          <w:r>
                            <w:rPr>
                              <w:rFonts w:eastAsia="HG Mincho Light J"/>
                              <w:color w:val="000000"/>
                              <w:szCs w:val="24"/>
                              <w:lang w:eastAsia="lt-LT"/>
                            </w:rPr>
                            <w:tab/>
                          </w:r>
                          <w:r>
                            <w:t xml:space="preserve">190,0 tūkst. Eur mažinamos Miesto urbanistinės plėtros programos (01) savivaldybės biudžeto lėšos (SB) (paminklo "Tautos laisvė" darbai nebus atlikti 2023 metais) (asignavimų valdytojas – Administracija) ir 150 tūkst. Eur didinamos Sporto plėtros programos (07) savivaldybės biudžeto lėšos (SB) skirtos Futbolo komandai FA „Šiauliai“ pasiruošimui ir dalyvavimui Optibet A lygos varžybose ir 40 tūkst. Eur didinamos Švietimo prieinamumo ir kokybės užtikrinimo programos (08) savivaldybės biudžeto lėšos (SB) sporto salių remontui (asignavimų valdytojas – Administracija) (Sporto skyriaus 2023-07-05 raštas Nr. GM-58, Architektūros, urbanistikos ir paveldosaugos skyriaus 2023-06-14 raštas Nr. GF-227, Švietimo skyriaus raštas 2023-07-13 Nr. GF-257); </w:t>
                          </w:r>
                        </w:p>
                      </w:sdtContent>
                    </w:sdt>
                    <w:sdt>
                      <w:sdtPr>
                        <w:alias w:val="2.6 pp."/>
                        <w:tag w:val="part_2f6fb244e7914d6b85e6a203156befa6"/>
                        <w:lock w:val="sdtLocked"/>
                        <w:richText/>
                      </w:sdtPr>
                      <w:sdtContent>
                        <w:p w14:paraId="7FCD8ED2" w14:textId="4F9F1F55">
                          <w:pPr>
                            <w:ind w:firstLine="567"/>
                            <w:jc w:val="both"/>
                          </w:pPr>
                          <w:sdt>
                            <w:sdtPr>
                              <w:alias w:val="Numeris"/>
                              <w:tag w:val="nr_2f6fb244e7914d6b85e6a203156befa6"/>
                              <w:lock w:val="sdtLocked"/>
                              <w:richText/>
                            </w:sdtPr>
                            <w:sdtContent>
                              <w:r>
                                <w:rPr>
                                  <w:rFonts w:eastAsia="HG Mincho Light J"/>
                                  <w:color w:val="000000"/>
                                  <w:szCs w:val="24"/>
                                  <w:lang w:eastAsia="lt-LT"/>
                                </w:rPr>
                                <w:t>2.6</w:t>
                              </w:r>
                            </w:sdtContent>
                          </w:sdt>
                          <w:r>
                            <w:rPr>
                              <w:rFonts w:eastAsia="HG Mincho Light J"/>
                              <w:color w:val="000000"/>
                              <w:szCs w:val="24"/>
                              <w:lang w:eastAsia="lt-LT"/>
                            </w:rPr>
                            <w:tab/>
                          </w:r>
                          <w:r>
                            <w:t>200,0 tūkst. Eur mažinamos Miesto ekonominės plėtros programos (05) savivaldybės biudžeto lėšos (SB) (Šiaulių oro uostas šiais metais neįsigis planuotos techninės įrangos) (asignavimų valdytojas – Administracija) ir ta pačia suma didinamos Švietimo prieinamumo ir kokybės užtikrinimo programos (08) savivaldybės biudžeto lėšos (SB) sporto salių remontui (asignavimų valdytojas – Administracija) (Ekonomikos ir investicijų skyriaus 2023-08-10 raštas Nr. SS-31, Švietimo skyriaus raštas 2023-07-13 Nr. GF-257);</w:t>
                          </w:r>
                        </w:p>
                      </w:sdtContent>
                    </w:sdt>
                    <w:sdt>
                      <w:sdtPr>
                        <w:alias w:val="2.7 pp."/>
                        <w:tag w:val="part_fa22d9629b63428fbd36c5326e08c32f"/>
                        <w:lock w:val="sdtLocked"/>
                        <w:richText/>
                      </w:sdtPr>
                      <w:sdtContent>
                        <w:p w14:paraId="433FE826" w14:textId="4A92C029">
                          <w:pPr>
                            <w:ind w:firstLine="567"/>
                            <w:jc w:val="both"/>
                          </w:pPr>
                          <w:sdt>
                            <w:sdtPr>
                              <w:alias w:val="Numeris"/>
                              <w:tag w:val="nr_fa22d9629b63428fbd36c5326e08c32f"/>
                              <w:lock w:val="sdtLocked"/>
                              <w:richText/>
                            </w:sdtPr>
                            <w:sdtContent>
                              <w:r>
                                <w:rPr>
                                  <w:rFonts w:eastAsia="HG Mincho Light J"/>
                                  <w:color w:val="000000"/>
                                  <w:szCs w:val="24"/>
                                  <w:lang w:eastAsia="lt-LT"/>
                                </w:rPr>
                                <w:t>2.7</w:t>
                              </w:r>
                            </w:sdtContent>
                          </w:sdt>
                          <w:r>
                            <w:rPr>
                              <w:rFonts w:eastAsia="HG Mincho Light J"/>
                              <w:color w:val="000000"/>
                              <w:szCs w:val="24"/>
                              <w:lang w:eastAsia="lt-LT"/>
                            </w:rPr>
                            <w:tab/>
                          </w:r>
                          <w:r>
                            <w:t xml:space="preserve">73,1 tūkst. Eur mažinamos Socialinės paramos įgyvendinimo programos (10) savivaldybės biudžeto lėšos (SB – 30 tūkst. Eur, SB(LIK) – 43,1 tūkst. Eur) projektui </w:t>
                          </w:r>
                          <w:r>
                            <w:rPr>
                              <w:rFonts w:ascii="Arial" w:hAnsi="Arial" w:cs="Arial"/>
                              <w:sz w:val="22"/>
                              <w:szCs w:val="22"/>
                            </w:rPr>
                            <w:t>„</w:t>
                          </w:r>
                          <w:r>
                            <w:t>Vaikų socialinės integracijos skatinimas Jelgavos ir Šiaulių miestuose" pasibaigus, liko sutaupytų lėšų (asignavimų valdytojas – Administracija) ir 36 tūkst. Eur didinamos Švietimo prieinamumo ir kokybės užtikrinimo programos (08) savivaldybės biudžeto lėšos (SB(LIK)) lopšelio – darželio „Kregždutė“ modernizavimui (asignavimų valdytojas – Administracija) ir 37,1 tūkst. Eur didinamos Savivaldybės veiklos programos (11) savivaldybės biudžeto lėšos (SB – 30 tūkst. Eur, SB(LIK) – 7,1 tūkst. Eur) projekto „GovTech: miesto teritorijų priežiūros kontrolės sprendinys“ veikloms įgyvendinti (asignavimų valdytojas – Administracija) (Projektų valdymo skyriaus 2023-08-04 raštas Nr. GM-82);</w:t>
                          </w:r>
                        </w:p>
                      </w:sdtContent>
                    </w:sdt>
                    <w:sdt>
                      <w:sdtPr>
                        <w:alias w:val="2.8 pp."/>
                        <w:tag w:val="part_3a3d1737237d43a6bd4b472d34a77a62"/>
                        <w:lock w:val="sdtLocked"/>
                        <w:richText/>
                      </w:sdtPr>
                      <w:sdtContent>
                        <w:p w14:paraId="59F8A839" w14:textId="3B3FB248">
                          <w:pPr>
                            <w:ind w:firstLine="567"/>
                            <w:jc w:val="both"/>
                          </w:pPr>
                          <w:sdt>
                            <w:sdtPr>
                              <w:alias w:val="Numeris"/>
                              <w:tag w:val="nr_3a3d1737237d43a6bd4b472d34a77a62"/>
                              <w:lock w:val="sdtLocked"/>
                              <w:richText/>
                            </w:sdtPr>
                            <w:sdtContent>
                              <w:r>
                                <w:rPr>
                                  <w:rFonts w:eastAsia="HG Mincho Light J"/>
                                  <w:color w:val="000000"/>
                                  <w:szCs w:val="24"/>
                                  <w:lang w:eastAsia="lt-LT"/>
                                </w:rPr>
                                <w:t>2.8</w:t>
                              </w:r>
                            </w:sdtContent>
                          </w:sdt>
                          <w:r>
                            <w:rPr>
                              <w:rFonts w:eastAsia="HG Mincho Light J"/>
                              <w:color w:val="000000"/>
                              <w:szCs w:val="24"/>
                              <w:lang w:eastAsia="lt-LT"/>
                            </w:rPr>
                            <w:tab/>
                          </w:r>
                          <w:r>
                            <w:t>101,6 tūkst. Eur mažinamos Bendruomenės sveikatinimo programos (09) savivaldybės biudžeto lėšos (SB) skirtos projektui „Energetinių charakteristikų gerinimas VšĮ Dainų pirminės sveikatos priežiūros centre" (rangos darbų sutartis sudaryta mažesnei sumai nei suplanuota biudžete) (asignavimų valdytojas – Administracija) ir ta pačia suma didinamos Švietimo prieinamumo ir kokybės užtikrinimo programos (08) savivaldybės biudžeto lėšos (SB) ikimokyklinio ugdymo įstaigoms pasikeitus mokytojų (auklėtojų), dirbančių pagal ikimokyklinio ir priešmokyklinio ugdymo programas, darbo laiko sandarai: 1 valanda trumpinamas tiesioginis darbas su mokiniais ir 1 valanda ilginamas netiesioginis darbas, todėl papildomai reikalinga 0,05 pareigybės dalies tiesioginiam darbui su viena grupe (asignavimų valdytojas – ikimokyklinio ugdymo įstaigos nurodytos 4 lentelėje) (Švietimo skyriaus raštas 2023-06-27 Nr. GF-241);</w:t>
                          </w:r>
                        </w:p>
                      </w:sdtContent>
                    </w:sdt>
                    <w:sdt>
                      <w:sdtPr>
                        <w:alias w:val="2.9 pp."/>
                        <w:tag w:val="part_e2479dc0db74435aae5bc2b803df5fe6"/>
                        <w:lock w:val="sdtLocked"/>
                        <w:richText/>
                      </w:sdtPr>
                      <w:sdtContent>
                        <w:p w14:paraId="5F35332F" w14:textId="067A8E00">
                          <w:pPr>
                            <w:ind w:firstLine="567"/>
                            <w:jc w:val="both"/>
                          </w:pPr>
                          <w:sdt>
                            <w:sdtPr>
                              <w:alias w:val="Numeris"/>
                              <w:tag w:val="nr_e2479dc0db74435aae5bc2b803df5fe6"/>
                              <w:lock w:val="sdtLocked"/>
                              <w:richText/>
                            </w:sdtPr>
                            <w:sdtContent>
                              <w:r>
                                <w:rPr>
                                  <w:rFonts w:eastAsia="HG Mincho Light J"/>
                                  <w:color w:val="000000"/>
                                  <w:szCs w:val="24"/>
                                  <w:lang w:eastAsia="lt-LT"/>
                                </w:rPr>
                                <w:t>2.9</w:t>
                              </w:r>
                            </w:sdtContent>
                          </w:sdt>
                          <w:r>
                            <w:rPr>
                              <w:rFonts w:eastAsia="HG Mincho Light J"/>
                              <w:color w:val="000000"/>
                              <w:szCs w:val="24"/>
                              <w:lang w:eastAsia="lt-LT"/>
                            </w:rPr>
                            <w:tab/>
                          </w:r>
                          <w:r>
                            <w:t>475,0 tūkst. Eur mažinamos Miesto ekonominės plėtros programos (05) savivaldybės biudžeto lėšos (SB) (asignavimų valdytojas – Administracija) ir ta pačia suma didinamos Miesto infrastruktūros objektų priežiūros, modernizavimo ir plėtros programos (04) savivaldybės biudžeto lėšos (SB), nes pirminiame 2023 m. biudžete lėšos buvo suplanuotos priemonių, į kurias prašoma perkelti lėšas, įgyvendinimui, tačiau buvo laikinai paskolintos kitos priemonės įgyvendinimui kol bus paimta paskola. Kadangi paskolos sutartis jau sudaryta, lėšos grąžinamos. Asignavimų valdytojas – Administracija (Miesto ūkio ir aplinkos skyriaus 2023-08-14 raštas Nr. GF-294).</w:t>
                          </w:r>
                        </w:p>
                      </w:sdtContent>
                    </w:sdt>
                    <w:sdt>
                      <w:sdtPr>
                        <w:alias w:val="2.10 pp."/>
                        <w:tag w:val="part_765cb36baf814ecfa2dc2f236128cf49"/>
                        <w:lock w:val="sdtLocked"/>
                        <w:richText/>
                      </w:sdtPr>
                      <w:sdtContent>
                        <w:p w14:paraId="0788830B" w14:textId="54570C72">
                          <w:pPr>
                            <w:tabs>
                              <w:tab w:val="left" w:pos="567"/>
                            </w:tabs>
                            <w:ind w:firstLine="567"/>
                            <w:jc w:val="both"/>
                            <w:rPr>
                              <w:bCs/>
                            </w:rPr>
                          </w:pPr>
                          <w:sdt>
                            <w:sdtPr>
                              <w:alias w:val="Numeris"/>
                              <w:tag w:val="nr_765cb36baf814ecfa2dc2f236128cf49"/>
                              <w:lock w:val="sdtLocked"/>
                              <w:richText/>
                            </w:sdtPr>
                            <w:sdtContent>
                              <w:r>
                                <w:rPr>
                                  <w:rFonts w:eastAsia="HG Mincho Light J"/>
                                  <w:bCs/>
                                  <w:szCs w:val="24"/>
                                  <w:lang w:eastAsia="lt-LT"/>
                                </w:rPr>
                                <w:t>2.10</w:t>
                              </w:r>
                            </w:sdtContent>
                          </w:sdt>
                          <w:r>
                            <w:rPr>
                              <w:rFonts w:eastAsia="HG Mincho Light J"/>
                              <w:bCs/>
                              <w:szCs w:val="24"/>
                              <w:lang w:eastAsia="lt-LT"/>
                            </w:rPr>
                            <w:tab/>
                          </w:r>
                          <w:r>
                            <w:t>30,0 tūkst. Eur savivaldybės biudžeto lėšų (SB) perskirstomos tarp Švietimo prieinamumo ir kokybės užtikrinimo programos (08) asignavimų valdytojų. Administracijos savivaldybės biudžeto lėšos (SB) skirtos renginių organizavimui (20 tūkst. Eur) ir švietimo elektroninės apskaitos ir registracijos sistemų funkcionavimui užtikrinimui (10,0 tūkst. Eur) skiriama 20 tūkst. Eur Sandoros progimnazijai sporto aikštelės dangos sutvarkymui ir 10 tūkst. Eur lopšeliui – darželiui „Salduvė“ dėl pradedamo remonto baldų, įrangos ir kitų daiktų perkraustymui į kitas patalpas (Švietimo skyriaus 2023-08-04 raštas Nr. GM-85, ir GM-85);</w:t>
                          </w:r>
                        </w:p>
                      </w:sdtContent>
                    </w:sdt>
                    <w:sdt>
                      <w:sdtPr>
                        <w:alias w:val="2.11 pp."/>
                        <w:tag w:val="part_f10ef8611a7f4412bacc31100cec7c73"/>
                        <w:lock w:val="sdtLocked"/>
                        <w:richText/>
                      </w:sdtPr>
                      <w:sdtContent>
                        <w:p w14:paraId="3BD1650D" w14:textId="20909A1A">
                          <w:pPr>
                            <w:tabs>
                              <w:tab w:val="left" w:pos="567"/>
                            </w:tabs>
                            <w:ind w:firstLine="567"/>
                            <w:jc w:val="both"/>
                            <w:rPr>
                              <w:bCs/>
                            </w:rPr>
                          </w:pPr>
                          <w:sdt>
                            <w:sdtPr>
                              <w:alias w:val="Numeris"/>
                              <w:tag w:val="nr_f10ef8611a7f4412bacc31100cec7c73"/>
                              <w:lock w:val="sdtLocked"/>
                              <w:richText/>
                            </w:sdtPr>
                            <w:sdtContent>
                              <w:r>
                                <w:rPr>
                                  <w:rFonts w:eastAsia="HG Mincho Light J"/>
                                  <w:bCs/>
                                  <w:szCs w:val="24"/>
                                  <w:lang w:eastAsia="lt-LT"/>
                                </w:rPr>
                                <w:t>2.11</w:t>
                              </w:r>
                            </w:sdtContent>
                          </w:sdt>
                          <w:r>
                            <w:rPr>
                              <w:rFonts w:eastAsia="HG Mincho Light J"/>
                              <w:bCs/>
                              <w:szCs w:val="24"/>
                              <w:lang w:eastAsia="lt-LT"/>
                            </w:rPr>
                            <w:tab/>
                          </w:r>
                          <w:r>
                            <w:t>60,0 tūkst. Eur savivaldybės biudžeto lėšų (SB) perskirstomos tarp Socialinės paramos įgyvendinimo programos (10) asignavimų valdytojų. Administracijos savivaldybės biudžeto lėšos (SB) skirtos pavėžėjimo paslaugai asmenims turintiems negalią skiriama Socialinių paslaugų centrui įsigyti transporto priemonę, pritaikytą asmenims turintiems negalią (Socialinių paslaugų skyriaus 2023-08-07 raštas Nr. GM-89).</w:t>
                          </w:r>
                        </w:p>
                      </w:sdtContent>
                    </w:sdt>
                  </w:sdtContent>
                </w:sdt>
                <w:sdt>
                  <w:sdtPr>
                    <w:alias w:val="3 p."/>
                    <w:tag w:val="part_57950f43ef454c2eb38f9c566321e8c2"/>
                    <w:lock w:val="sdtLocked"/>
                    <w:richText/>
                  </w:sdtPr>
                  <w:sdtContent>
                    <w:p w14:paraId="7D37231D" w14:textId="6D056FAC">
                      <w:pPr>
                        <w:ind w:firstLine="567"/>
                        <w:jc w:val="both"/>
                      </w:pPr>
                      <w:sdt>
                        <w:sdtPr>
                          <w:alias w:val="Numeris"/>
                          <w:tag w:val="nr_57950f43ef454c2eb38f9c566321e8c2"/>
                          <w:lock w:val="sdtLocked"/>
                          <w:richText/>
                        </w:sdtPr>
                        <w:sdtContent>
                          <w:r>
                            <w:rPr>
                              <w:rFonts w:eastAsia="HG Mincho Light J"/>
                              <w:color w:val="000000"/>
                              <w:szCs w:val="24"/>
                              <w:lang w:eastAsia="lt-LT"/>
                            </w:rPr>
                            <w:t>3</w:t>
                          </w:r>
                        </w:sdtContent>
                      </w:sdt>
                      <w:r>
                        <w:rPr>
                          <w:rFonts w:eastAsia="HG Mincho Light J"/>
                          <w:color w:val="000000"/>
                          <w:szCs w:val="24"/>
                          <w:lang w:eastAsia="lt-LT"/>
                        </w:rPr>
                        <w:t>.</w:t>
                        <w:tab/>
                      </w:r>
                      <w:r>
                        <w:rPr>
                          <w:b/>
                        </w:rPr>
                        <w:t>Tikslinamos lėšos pagal ekonominę klasifikaciją pagal asignavimų valdytojų prašymus.</w:t>
                      </w:r>
                      <w:r>
                        <w:t xml:space="preserve"> </w:t>
                      </w:r>
                    </w:p>
                    <w:p w14:paraId="2E8A5C62" w14:textId="509CEAD0">
                      <w:pPr>
                        <w:widowControl w:val="0"/>
                        <w:tabs>
                          <w:tab w:val="left" w:pos="567"/>
                        </w:tabs>
                        <w:suppressAutoHyphens/>
                        <w:ind w:firstLine="567"/>
                        <w:jc w:val="both"/>
                        <w:rPr>
                          <w:rFonts w:eastAsia="HG Mincho Light J"/>
                          <w:color w:val="000000"/>
                          <w:szCs w:val="24"/>
                          <w:lang w:eastAsia="lt-LT"/>
                        </w:rPr>
                      </w:pPr>
                      <w:r>
                        <w:rPr>
                          <w:rFonts w:eastAsia="HG Mincho Light J"/>
                          <w:b/>
                          <w:color w:val="000000"/>
                          <w:szCs w:val="24"/>
                          <w:shd w:val="clear" w:color="auto" w:fill="FFFFFF"/>
                          <w:lang w:eastAsia="lt-LT"/>
                        </w:rPr>
                        <w:t xml:space="preserve">Priėmus sprendimą, galimos pasekmės. </w:t>
                      </w:r>
                      <w:r>
                        <w:rPr>
                          <w:rFonts w:eastAsia="HG Mincho Light J"/>
                          <w:color w:val="000000"/>
                          <w:szCs w:val="24"/>
                          <w:lang w:eastAsia="lt-LT"/>
                        </w:rPr>
                        <w:t xml:space="preserve">Teigiamos – paskirstomi asignavimai programoms, numatytoms Šiaulių miesto savivaldybės 2023–2025 metų strateginiame veiklos plane, Neigiamos – nenumatoma. </w:t>
                      </w:r>
                    </w:p>
                    <w:p w14:paraId="0D06E197" w14:textId="78E2EDF1">
                      <w:pPr>
                        <w:tabs>
                          <w:tab w:val="left" w:pos="567"/>
                        </w:tabs>
                        <w:ind w:firstLine="567"/>
                        <w:jc w:val="both"/>
                      </w:pPr>
                      <w:r>
                        <w:rPr>
                          <w:b/>
                        </w:rPr>
                        <w:t>Sprendimui įgyvendinti reikalingos lėšos.</w:t>
                      </w:r>
                      <w:r>
                        <w:t xml:space="preserve"> Papildomų lėšų poreikis nereikalingas. </w:t>
                      </w:r>
                    </w:p>
                    <w:p w14:paraId="5C0903FE" w14:textId="76AF9F46">
                      <w:pPr>
                        <w:tabs>
                          <w:tab w:val="left" w:pos="567"/>
                        </w:tabs>
                        <w:ind w:firstLine="567"/>
                        <w:jc w:val="both"/>
                      </w:pPr>
                      <w:r>
                        <w:rPr>
                          <w:b/>
                          <w:shd w:val="clear" w:color="auto" w:fill="FFFFFF"/>
                        </w:rPr>
                        <w:t>Priėmus sprendimą, keičiami ar pripažįstami negaliojančiais teisės aktai</w:t>
                      </w:r>
                      <w:r>
                        <w:rPr>
                          <w:b/>
                        </w:rPr>
                        <w:t xml:space="preserve">. </w:t>
                      </w:r>
                      <w:r>
                        <w:t>Nėra.</w:t>
                      </w:r>
                    </w:p>
                    <w:p w14:paraId="60EB1292" w14:textId="0C8B724D">
                      <w:pPr>
                        <w:widowControl w:val="0"/>
                        <w:tabs>
                          <w:tab w:val="left" w:pos="567"/>
                        </w:tabs>
                        <w:suppressAutoHyphens/>
                        <w:ind w:left="-142" w:firstLine="709"/>
                        <w:jc w:val="both"/>
                        <w:rPr>
                          <w:rFonts w:eastAsia="HG Mincho Light J"/>
                          <w:color w:val="000000"/>
                          <w:szCs w:val="24"/>
                          <w:lang w:eastAsia="ar-SA"/>
                        </w:rPr>
                      </w:pPr>
                      <w:r>
                        <w:rPr>
                          <w:rFonts w:eastAsia="HG Mincho Light J"/>
                          <w:b/>
                          <w:bCs/>
                          <w:color w:val="000000"/>
                          <w:szCs w:val="24"/>
                          <w:lang w:eastAsia="lt-LT"/>
                        </w:rPr>
                        <w:t>Sprendimui įgyvendinti reikalingi priimti papildomi teisės aktai:</w:t>
                      </w:r>
                      <w:r>
                        <w:rPr>
                          <w:rFonts w:eastAsia="HG Mincho Light J"/>
                          <w:color w:val="000000"/>
                          <w:szCs w:val="24"/>
                          <w:lang w:eastAsia="lt-LT"/>
                        </w:rPr>
                        <w:t xml:space="preserve"> Savivaldybės mero potvarkiu patvirtintas savivaldybės biudžeto pajamų ir programų finansavimo planas bei Savivaldybės administracijos direktoriaus patvirtintas programų vykdytojų veiklos planas. </w:t>
                      </w:r>
                    </w:p>
                    <w:p w14:paraId="72C1BCFC" w14:textId="68F7F7E6">
                      <w:pPr>
                        <w:widowControl w:val="0"/>
                        <w:tabs>
                          <w:tab w:val="left" w:pos="1296"/>
                        </w:tabs>
                        <w:suppressAutoHyphens/>
                        <w:ind w:left="927" w:hanging="360"/>
                        <w:jc w:val="both"/>
                        <w:rPr>
                          <w:rFonts w:eastAsia="HG Mincho Light J"/>
                          <w:color w:val="000000"/>
                          <w:szCs w:val="24"/>
                          <w:shd w:val="clear" w:color="auto" w:fill="FFFFFF"/>
                          <w:lang w:eastAsia="lt-LT"/>
                        </w:rPr>
                      </w:pPr>
                      <w:r>
                        <w:rPr>
                          <w:rFonts w:eastAsia="HG Mincho Light J"/>
                          <w:b/>
                          <w:color w:val="000000"/>
                          <w:szCs w:val="24"/>
                          <w:shd w:val="clear" w:color="auto" w:fill="FFFFFF"/>
                          <w:lang w:eastAsia="lt-LT"/>
                        </w:rPr>
                        <w:t xml:space="preserve">Sprendimo projekto antikorupcinis vertinimas. </w:t>
                      </w:r>
                      <w:r>
                        <w:rPr>
                          <w:rFonts w:eastAsia="Calibri"/>
                          <w:color w:val="000000"/>
                          <w:szCs w:val="24"/>
                          <w:lang w:eastAsia="lt-LT"/>
                        </w:rPr>
                        <w:t>Vertinimas neatliekamas.</w:t>
                      </w:r>
                    </w:p>
                    <w:p w14:paraId="42A5F6B3" w14:textId="158D74BA">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szCs w:val="24"/>
                          <w:lang w:eastAsia="ar-SA"/>
                        </w:rPr>
                        <w:t>Strateginio planavimo ir finansų skyrius.</w:t>
                      </w:r>
                      <w:r>
                        <w:rPr>
                          <w:szCs w:val="24"/>
                          <w:shd w:val="clear" w:color="auto" w:fill="FFFFFF"/>
                        </w:rPr>
                        <w:t xml:space="preserve"> Tiesioginis rengėjas - </w:t>
                      </w:r>
                      <w:r>
                        <w:rPr>
                          <w:lang w:eastAsia="ar-SA"/>
                        </w:rPr>
                        <w:t xml:space="preserve">patarėja Vaida Kalasevičienė, tel. 38 34 27, vyr. specialistė Janina Rusteikienė, tel. 59 62 93, </w:t>
                      </w:r>
                      <w:r>
                        <w:t>vyr. specialistė Dovilė Jozonienė, tel. 59 62 73, vyr. specialistė Asta Ibėnienė, tel. 59 62 75.</w:t>
                      </w:r>
                    </w:p>
                    <w:p w14:paraId="42A5F6B4"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6FB4A9DD" w14:textId="6DC73D97">
                      <w:pPr>
                        <w:tabs>
                          <w:tab w:val="left" w:pos="855"/>
                        </w:tabs>
                        <w:ind w:firstLine="567"/>
                        <w:jc w:val="both"/>
                        <w:rPr>
                          <w:rFonts w:eastAsia="Calibri"/>
                          <w:szCs w:val="24"/>
                        </w:rPr>
                      </w:pPr>
                    </w:p>
                    <w:p w14:paraId="0F92AE6A" w14:textId="2596120F">
                      <w:pPr>
                        <w:tabs>
                          <w:tab w:val="left" w:pos="855"/>
                        </w:tabs>
                        <w:ind w:firstLine="567"/>
                        <w:jc w:val="both"/>
                        <w:rPr>
                          <w:rFonts w:eastAsia="Calibri"/>
                          <w:szCs w:val="24"/>
                        </w:rPr>
                      </w:pPr>
                    </w:p>
                    <w:p w14:paraId="093F974E" w14:textId="679C343F">
                      <w:pPr>
                        <w:tabs>
                          <w:tab w:val="left" w:pos="855"/>
                        </w:tabs>
                        <w:ind w:firstLine="567"/>
                        <w:jc w:val="both"/>
                        <w:rPr>
                          <w:rFonts w:eastAsia="Calibri"/>
                          <w:szCs w:val="24"/>
                        </w:rPr>
                      </w:pPr>
                    </w:p>
                    <w:p w14:paraId="6E8D3577" w14:textId="3A491B9A">
                      <w:pPr>
                        <w:tabs>
                          <w:tab w:val="left" w:pos="855"/>
                        </w:tabs>
                        <w:ind w:firstLine="567"/>
                        <w:jc w:val="both"/>
                        <w:rPr>
                          <w:rFonts w:eastAsia="Calibri"/>
                          <w:szCs w:val="24"/>
                        </w:rPr>
                      </w:pPr>
                    </w:p>
                    <w:p w14:paraId="21B4C913" w14:textId="77777777">
                      <w:pPr>
                        <w:tabs>
                          <w:tab w:val="left" w:pos="855"/>
                        </w:tabs>
                        <w:ind w:firstLine="567"/>
                        <w:jc w:val="both"/>
                        <w:rPr>
                          <w:rFonts w:eastAsia="Calibri"/>
                          <w:szCs w:val="24"/>
                        </w:rPr>
                      </w:pPr>
                    </w:p>
                    <w:p w14:paraId="5244D1FA" w14:textId="35384F91">
                      <w:pPr>
                        <w:tabs>
                          <w:tab w:val="left" w:pos="855"/>
                        </w:tabs>
                        <w:ind w:firstLine="567"/>
                        <w:jc w:val="both"/>
                        <w:rPr>
                          <w:rFonts w:eastAsia="Calibri"/>
                          <w:szCs w:val="24"/>
                        </w:rPr>
                      </w:pPr>
                    </w:p>
                  </w:sdtContent>
                </w:sdt>
              </w:sdtContent>
            </w:sdt>
          </w:sdtContent>
        </w:sdt>
        <w:sdt>
          <w:sdtPr>
            <w:alias w:val="signatura"/>
            <w:tag w:val="part_5238436b022e4a10a35c44549ca15b2b"/>
            <w:lock w:val="sdtLocked"/>
            <w:richText/>
          </w:sdtPr>
          <w:sdtContent>
            <w:p w14:paraId="42A5F6BE" w14:textId="019124BD">
              <w:pPr>
                <w:tabs>
                  <w:tab w:val="left" w:pos="855"/>
                </w:tabs>
                <w:jc w:val="both"/>
                <w:rPr>
                  <w:szCs w:val="24"/>
                  <w:lang w:eastAsia="ar-SA"/>
                </w:rPr>
              </w:pPr>
              <w:r>
                <w:rPr>
                  <w:szCs w:val="24"/>
                  <w:lang w:eastAsia="ar-SA"/>
                </w:rPr>
                <w:t xml:space="preserve">Strateginio planavimo ir finansų skyriaus vedėja                                             Vaida Kalasevičienė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526CE" w14:textId="77777777">
      <w:r>
        <w:separator/>
      </w:r>
    </w:p>
  </w:endnote>
  <w:endnote w:type="continuationSeparator" w:id="0">
    <w:p w14:paraId="32A6F05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244FC"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C39E2"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9AFE2"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17863B" w14:textId="77777777">
      <w:r>
        <w:separator/>
      </w:r>
    </w:p>
  </w:footnote>
  <w:footnote w:type="continuationSeparator" w:id="0">
    <w:p w14:paraId="663CD43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3"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2A5F6C4"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5"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2</w:t>
    </w:r>
    <w:r>
      <w:rPr>
        <w:lang w:val="x-none"/>
      </w:rPr>
      <w:fldChar w:fldCharType="end"/>
    </w:r>
  </w:p>
  <w:p w14:paraId="42A5F6C6"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5F6C8"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5F667"/>
  <w15:docId w15:val="{020C457A-56BC-4543-AE23-0B58F8FFE50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9270">
      <w:bodyDiv w:val="1"/>
      <w:marLeft w:val="0"/>
      <w:marRight w:val="0"/>
      <w:marTop w:val="0"/>
      <w:marBottom w:val="0"/>
      <w:divBdr>
        <w:top w:val="none" w:sz="0" w:space="0" w:color="auto"/>
        <w:left w:val="none" w:sz="0" w:space="0" w:color="auto"/>
        <w:bottom w:val="none" w:sz="0" w:space="0" w:color="auto"/>
        <w:right w:val="none" w:sz="0" w:space="0" w:color="auto"/>
      </w:divBdr>
    </w:div>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44648425">
      <w:bodyDiv w:val="1"/>
      <w:marLeft w:val="0"/>
      <w:marRight w:val="0"/>
      <w:marTop w:val="0"/>
      <w:marBottom w:val="0"/>
      <w:divBdr>
        <w:top w:val="none" w:sz="0" w:space="0" w:color="auto"/>
        <w:left w:val="none" w:sz="0" w:space="0" w:color="auto"/>
        <w:bottom w:val="none" w:sz="0" w:space="0" w:color="auto"/>
        <w:right w:val="none" w:sz="0" w:space="0" w:color="auto"/>
      </w:divBdr>
    </w:div>
    <w:div w:id="160048115">
      <w:bodyDiv w:val="1"/>
      <w:marLeft w:val="0"/>
      <w:marRight w:val="0"/>
      <w:marTop w:val="0"/>
      <w:marBottom w:val="0"/>
      <w:divBdr>
        <w:top w:val="none" w:sz="0" w:space="0" w:color="auto"/>
        <w:left w:val="none" w:sz="0" w:space="0" w:color="auto"/>
        <w:bottom w:val="none" w:sz="0" w:space="0" w:color="auto"/>
        <w:right w:val="none" w:sz="0" w:space="0" w:color="auto"/>
      </w:divBdr>
    </w:div>
    <w:div w:id="254632148">
      <w:bodyDiv w:val="1"/>
      <w:marLeft w:val="0"/>
      <w:marRight w:val="0"/>
      <w:marTop w:val="0"/>
      <w:marBottom w:val="0"/>
      <w:divBdr>
        <w:top w:val="none" w:sz="0" w:space="0" w:color="auto"/>
        <w:left w:val="none" w:sz="0" w:space="0" w:color="auto"/>
        <w:bottom w:val="none" w:sz="0" w:space="0" w:color="auto"/>
        <w:right w:val="none" w:sz="0" w:space="0" w:color="auto"/>
      </w:divBdr>
    </w:div>
    <w:div w:id="264076947">
      <w:bodyDiv w:val="1"/>
      <w:marLeft w:val="0"/>
      <w:marRight w:val="0"/>
      <w:marTop w:val="0"/>
      <w:marBottom w:val="0"/>
      <w:divBdr>
        <w:top w:val="none" w:sz="0" w:space="0" w:color="auto"/>
        <w:left w:val="none" w:sz="0" w:space="0" w:color="auto"/>
        <w:bottom w:val="none" w:sz="0" w:space="0" w:color="auto"/>
        <w:right w:val="none" w:sz="0" w:space="0" w:color="auto"/>
      </w:divBdr>
    </w:div>
    <w:div w:id="265818972">
      <w:bodyDiv w:val="1"/>
      <w:marLeft w:val="0"/>
      <w:marRight w:val="0"/>
      <w:marTop w:val="0"/>
      <w:marBottom w:val="0"/>
      <w:divBdr>
        <w:top w:val="none" w:sz="0" w:space="0" w:color="auto"/>
        <w:left w:val="none" w:sz="0" w:space="0" w:color="auto"/>
        <w:bottom w:val="none" w:sz="0" w:space="0" w:color="auto"/>
        <w:right w:val="none" w:sz="0" w:space="0" w:color="auto"/>
      </w:divBdr>
    </w:div>
    <w:div w:id="318314344">
      <w:bodyDiv w:val="1"/>
      <w:marLeft w:val="0"/>
      <w:marRight w:val="0"/>
      <w:marTop w:val="0"/>
      <w:marBottom w:val="0"/>
      <w:divBdr>
        <w:top w:val="none" w:sz="0" w:space="0" w:color="auto"/>
        <w:left w:val="none" w:sz="0" w:space="0" w:color="auto"/>
        <w:bottom w:val="none" w:sz="0" w:space="0" w:color="auto"/>
        <w:right w:val="none" w:sz="0" w:space="0" w:color="auto"/>
      </w:divBdr>
    </w:div>
    <w:div w:id="333340031">
      <w:bodyDiv w:val="1"/>
      <w:marLeft w:val="0"/>
      <w:marRight w:val="0"/>
      <w:marTop w:val="0"/>
      <w:marBottom w:val="0"/>
      <w:divBdr>
        <w:top w:val="none" w:sz="0" w:space="0" w:color="auto"/>
        <w:left w:val="none" w:sz="0" w:space="0" w:color="auto"/>
        <w:bottom w:val="none" w:sz="0" w:space="0" w:color="auto"/>
        <w:right w:val="none" w:sz="0" w:space="0" w:color="auto"/>
      </w:divBdr>
    </w:div>
    <w:div w:id="365832558">
      <w:bodyDiv w:val="1"/>
      <w:marLeft w:val="0"/>
      <w:marRight w:val="0"/>
      <w:marTop w:val="0"/>
      <w:marBottom w:val="0"/>
      <w:divBdr>
        <w:top w:val="none" w:sz="0" w:space="0" w:color="auto"/>
        <w:left w:val="none" w:sz="0" w:space="0" w:color="auto"/>
        <w:bottom w:val="none" w:sz="0" w:space="0" w:color="auto"/>
        <w:right w:val="none" w:sz="0" w:space="0" w:color="auto"/>
      </w:divBdr>
    </w:div>
    <w:div w:id="366874206">
      <w:bodyDiv w:val="1"/>
      <w:marLeft w:val="0"/>
      <w:marRight w:val="0"/>
      <w:marTop w:val="0"/>
      <w:marBottom w:val="0"/>
      <w:divBdr>
        <w:top w:val="none" w:sz="0" w:space="0" w:color="auto"/>
        <w:left w:val="none" w:sz="0" w:space="0" w:color="auto"/>
        <w:bottom w:val="none" w:sz="0" w:space="0" w:color="auto"/>
        <w:right w:val="none" w:sz="0" w:space="0" w:color="auto"/>
      </w:divBdr>
    </w:div>
    <w:div w:id="395251326">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538903886">
      <w:bodyDiv w:val="1"/>
      <w:marLeft w:val="0"/>
      <w:marRight w:val="0"/>
      <w:marTop w:val="0"/>
      <w:marBottom w:val="0"/>
      <w:divBdr>
        <w:top w:val="none" w:sz="0" w:space="0" w:color="auto"/>
        <w:left w:val="none" w:sz="0" w:space="0" w:color="auto"/>
        <w:bottom w:val="none" w:sz="0" w:space="0" w:color="auto"/>
        <w:right w:val="none" w:sz="0" w:space="0" w:color="auto"/>
      </w:divBdr>
    </w:div>
    <w:div w:id="544215147">
      <w:bodyDiv w:val="1"/>
      <w:marLeft w:val="0"/>
      <w:marRight w:val="0"/>
      <w:marTop w:val="0"/>
      <w:marBottom w:val="0"/>
      <w:divBdr>
        <w:top w:val="none" w:sz="0" w:space="0" w:color="auto"/>
        <w:left w:val="none" w:sz="0" w:space="0" w:color="auto"/>
        <w:bottom w:val="none" w:sz="0" w:space="0" w:color="auto"/>
        <w:right w:val="none" w:sz="0" w:space="0" w:color="auto"/>
      </w:divBdr>
    </w:div>
    <w:div w:id="556667571">
      <w:bodyDiv w:val="1"/>
      <w:marLeft w:val="0"/>
      <w:marRight w:val="0"/>
      <w:marTop w:val="0"/>
      <w:marBottom w:val="0"/>
      <w:divBdr>
        <w:top w:val="none" w:sz="0" w:space="0" w:color="auto"/>
        <w:left w:val="none" w:sz="0" w:space="0" w:color="auto"/>
        <w:bottom w:val="none" w:sz="0" w:space="0" w:color="auto"/>
        <w:right w:val="none" w:sz="0" w:space="0" w:color="auto"/>
      </w:divBdr>
    </w:div>
    <w:div w:id="566262992">
      <w:bodyDiv w:val="1"/>
      <w:marLeft w:val="0"/>
      <w:marRight w:val="0"/>
      <w:marTop w:val="0"/>
      <w:marBottom w:val="0"/>
      <w:divBdr>
        <w:top w:val="none" w:sz="0" w:space="0" w:color="auto"/>
        <w:left w:val="none" w:sz="0" w:space="0" w:color="auto"/>
        <w:bottom w:val="none" w:sz="0" w:space="0" w:color="auto"/>
        <w:right w:val="none" w:sz="0" w:space="0" w:color="auto"/>
      </w:divBdr>
    </w:div>
    <w:div w:id="585000816">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616912833">
      <w:bodyDiv w:val="1"/>
      <w:marLeft w:val="0"/>
      <w:marRight w:val="0"/>
      <w:marTop w:val="0"/>
      <w:marBottom w:val="0"/>
      <w:divBdr>
        <w:top w:val="none" w:sz="0" w:space="0" w:color="auto"/>
        <w:left w:val="none" w:sz="0" w:space="0" w:color="auto"/>
        <w:bottom w:val="none" w:sz="0" w:space="0" w:color="auto"/>
        <w:right w:val="none" w:sz="0" w:space="0" w:color="auto"/>
      </w:divBdr>
    </w:div>
    <w:div w:id="618950285">
      <w:bodyDiv w:val="1"/>
      <w:marLeft w:val="0"/>
      <w:marRight w:val="0"/>
      <w:marTop w:val="0"/>
      <w:marBottom w:val="0"/>
      <w:divBdr>
        <w:top w:val="none" w:sz="0" w:space="0" w:color="auto"/>
        <w:left w:val="none" w:sz="0" w:space="0" w:color="auto"/>
        <w:bottom w:val="none" w:sz="0" w:space="0" w:color="auto"/>
        <w:right w:val="none" w:sz="0" w:space="0" w:color="auto"/>
      </w:divBdr>
    </w:div>
    <w:div w:id="679892268">
      <w:bodyDiv w:val="1"/>
      <w:marLeft w:val="0"/>
      <w:marRight w:val="0"/>
      <w:marTop w:val="0"/>
      <w:marBottom w:val="0"/>
      <w:divBdr>
        <w:top w:val="none" w:sz="0" w:space="0" w:color="auto"/>
        <w:left w:val="none" w:sz="0" w:space="0" w:color="auto"/>
        <w:bottom w:val="none" w:sz="0" w:space="0" w:color="auto"/>
        <w:right w:val="none" w:sz="0" w:space="0" w:color="auto"/>
      </w:divBdr>
    </w:div>
    <w:div w:id="698555029">
      <w:bodyDiv w:val="1"/>
      <w:marLeft w:val="0"/>
      <w:marRight w:val="0"/>
      <w:marTop w:val="0"/>
      <w:marBottom w:val="0"/>
      <w:divBdr>
        <w:top w:val="none" w:sz="0" w:space="0" w:color="auto"/>
        <w:left w:val="none" w:sz="0" w:space="0" w:color="auto"/>
        <w:bottom w:val="none" w:sz="0" w:space="0" w:color="auto"/>
        <w:right w:val="none" w:sz="0" w:space="0" w:color="auto"/>
      </w:divBdr>
    </w:div>
    <w:div w:id="823593878">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848717876">
      <w:bodyDiv w:val="1"/>
      <w:marLeft w:val="0"/>
      <w:marRight w:val="0"/>
      <w:marTop w:val="0"/>
      <w:marBottom w:val="0"/>
      <w:divBdr>
        <w:top w:val="none" w:sz="0" w:space="0" w:color="auto"/>
        <w:left w:val="none" w:sz="0" w:space="0" w:color="auto"/>
        <w:bottom w:val="none" w:sz="0" w:space="0" w:color="auto"/>
        <w:right w:val="none" w:sz="0" w:space="0" w:color="auto"/>
      </w:divBdr>
    </w:div>
    <w:div w:id="861406647">
      <w:bodyDiv w:val="1"/>
      <w:marLeft w:val="0"/>
      <w:marRight w:val="0"/>
      <w:marTop w:val="0"/>
      <w:marBottom w:val="0"/>
      <w:divBdr>
        <w:top w:val="none" w:sz="0" w:space="0" w:color="auto"/>
        <w:left w:val="none" w:sz="0" w:space="0" w:color="auto"/>
        <w:bottom w:val="none" w:sz="0" w:space="0" w:color="auto"/>
        <w:right w:val="none" w:sz="0" w:space="0" w:color="auto"/>
      </w:divBdr>
    </w:div>
    <w:div w:id="867067888">
      <w:bodyDiv w:val="1"/>
      <w:marLeft w:val="0"/>
      <w:marRight w:val="0"/>
      <w:marTop w:val="0"/>
      <w:marBottom w:val="0"/>
      <w:divBdr>
        <w:top w:val="none" w:sz="0" w:space="0" w:color="auto"/>
        <w:left w:val="none" w:sz="0" w:space="0" w:color="auto"/>
        <w:bottom w:val="none" w:sz="0" w:space="0" w:color="auto"/>
        <w:right w:val="none" w:sz="0" w:space="0" w:color="auto"/>
      </w:divBdr>
    </w:div>
    <w:div w:id="956565867">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101872831">
      <w:bodyDiv w:val="1"/>
      <w:marLeft w:val="0"/>
      <w:marRight w:val="0"/>
      <w:marTop w:val="0"/>
      <w:marBottom w:val="0"/>
      <w:divBdr>
        <w:top w:val="none" w:sz="0" w:space="0" w:color="auto"/>
        <w:left w:val="none" w:sz="0" w:space="0" w:color="auto"/>
        <w:bottom w:val="none" w:sz="0" w:space="0" w:color="auto"/>
        <w:right w:val="none" w:sz="0" w:space="0" w:color="auto"/>
      </w:divBdr>
    </w:div>
    <w:div w:id="1143039185">
      <w:bodyDiv w:val="1"/>
      <w:marLeft w:val="0"/>
      <w:marRight w:val="0"/>
      <w:marTop w:val="0"/>
      <w:marBottom w:val="0"/>
      <w:divBdr>
        <w:top w:val="none" w:sz="0" w:space="0" w:color="auto"/>
        <w:left w:val="none" w:sz="0" w:space="0" w:color="auto"/>
        <w:bottom w:val="none" w:sz="0" w:space="0" w:color="auto"/>
        <w:right w:val="none" w:sz="0" w:space="0" w:color="auto"/>
      </w:divBdr>
    </w:div>
    <w:div w:id="1146161429">
      <w:bodyDiv w:val="1"/>
      <w:marLeft w:val="0"/>
      <w:marRight w:val="0"/>
      <w:marTop w:val="0"/>
      <w:marBottom w:val="0"/>
      <w:divBdr>
        <w:top w:val="none" w:sz="0" w:space="0" w:color="auto"/>
        <w:left w:val="none" w:sz="0" w:space="0" w:color="auto"/>
        <w:bottom w:val="none" w:sz="0" w:space="0" w:color="auto"/>
        <w:right w:val="none" w:sz="0" w:space="0" w:color="auto"/>
      </w:divBdr>
    </w:div>
    <w:div w:id="1148593771">
      <w:bodyDiv w:val="1"/>
      <w:marLeft w:val="0"/>
      <w:marRight w:val="0"/>
      <w:marTop w:val="0"/>
      <w:marBottom w:val="0"/>
      <w:divBdr>
        <w:top w:val="none" w:sz="0" w:space="0" w:color="auto"/>
        <w:left w:val="none" w:sz="0" w:space="0" w:color="auto"/>
        <w:bottom w:val="none" w:sz="0" w:space="0" w:color="auto"/>
        <w:right w:val="none" w:sz="0" w:space="0" w:color="auto"/>
      </w:divBdr>
    </w:div>
    <w:div w:id="1290159707">
      <w:bodyDiv w:val="1"/>
      <w:marLeft w:val="0"/>
      <w:marRight w:val="0"/>
      <w:marTop w:val="0"/>
      <w:marBottom w:val="0"/>
      <w:divBdr>
        <w:top w:val="none" w:sz="0" w:space="0" w:color="auto"/>
        <w:left w:val="none" w:sz="0" w:space="0" w:color="auto"/>
        <w:bottom w:val="none" w:sz="0" w:space="0" w:color="auto"/>
        <w:right w:val="none" w:sz="0" w:space="0" w:color="auto"/>
      </w:divBdr>
    </w:div>
    <w:div w:id="1303584423">
      <w:bodyDiv w:val="1"/>
      <w:marLeft w:val="0"/>
      <w:marRight w:val="0"/>
      <w:marTop w:val="0"/>
      <w:marBottom w:val="0"/>
      <w:divBdr>
        <w:top w:val="none" w:sz="0" w:space="0" w:color="auto"/>
        <w:left w:val="none" w:sz="0" w:space="0" w:color="auto"/>
        <w:bottom w:val="none" w:sz="0" w:space="0" w:color="auto"/>
        <w:right w:val="none" w:sz="0" w:space="0" w:color="auto"/>
      </w:divBdr>
    </w:div>
    <w:div w:id="1430855208">
      <w:bodyDiv w:val="1"/>
      <w:marLeft w:val="0"/>
      <w:marRight w:val="0"/>
      <w:marTop w:val="0"/>
      <w:marBottom w:val="0"/>
      <w:divBdr>
        <w:top w:val="none" w:sz="0" w:space="0" w:color="auto"/>
        <w:left w:val="none" w:sz="0" w:space="0" w:color="auto"/>
        <w:bottom w:val="none" w:sz="0" w:space="0" w:color="auto"/>
        <w:right w:val="none" w:sz="0" w:space="0" w:color="auto"/>
      </w:divBdr>
    </w:div>
    <w:div w:id="1462268598">
      <w:bodyDiv w:val="1"/>
      <w:marLeft w:val="0"/>
      <w:marRight w:val="0"/>
      <w:marTop w:val="0"/>
      <w:marBottom w:val="0"/>
      <w:divBdr>
        <w:top w:val="none" w:sz="0" w:space="0" w:color="auto"/>
        <w:left w:val="none" w:sz="0" w:space="0" w:color="auto"/>
        <w:bottom w:val="none" w:sz="0" w:space="0" w:color="auto"/>
        <w:right w:val="none" w:sz="0" w:space="0" w:color="auto"/>
      </w:divBdr>
    </w:div>
    <w:div w:id="1473712688">
      <w:bodyDiv w:val="1"/>
      <w:marLeft w:val="0"/>
      <w:marRight w:val="0"/>
      <w:marTop w:val="0"/>
      <w:marBottom w:val="0"/>
      <w:divBdr>
        <w:top w:val="none" w:sz="0" w:space="0" w:color="auto"/>
        <w:left w:val="none" w:sz="0" w:space="0" w:color="auto"/>
        <w:bottom w:val="none" w:sz="0" w:space="0" w:color="auto"/>
        <w:right w:val="none" w:sz="0" w:space="0" w:color="auto"/>
      </w:divBdr>
    </w:div>
    <w:div w:id="1521048424">
      <w:bodyDiv w:val="1"/>
      <w:marLeft w:val="0"/>
      <w:marRight w:val="0"/>
      <w:marTop w:val="0"/>
      <w:marBottom w:val="0"/>
      <w:divBdr>
        <w:top w:val="none" w:sz="0" w:space="0" w:color="auto"/>
        <w:left w:val="none" w:sz="0" w:space="0" w:color="auto"/>
        <w:bottom w:val="none" w:sz="0" w:space="0" w:color="auto"/>
        <w:right w:val="none" w:sz="0" w:space="0" w:color="auto"/>
      </w:divBdr>
    </w:div>
    <w:div w:id="1592005920">
      <w:bodyDiv w:val="1"/>
      <w:marLeft w:val="0"/>
      <w:marRight w:val="0"/>
      <w:marTop w:val="0"/>
      <w:marBottom w:val="0"/>
      <w:divBdr>
        <w:top w:val="none" w:sz="0" w:space="0" w:color="auto"/>
        <w:left w:val="none" w:sz="0" w:space="0" w:color="auto"/>
        <w:bottom w:val="none" w:sz="0" w:space="0" w:color="auto"/>
        <w:right w:val="none" w:sz="0" w:space="0" w:color="auto"/>
      </w:divBdr>
    </w:div>
    <w:div w:id="1599100213">
      <w:bodyDiv w:val="1"/>
      <w:marLeft w:val="0"/>
      <w:marRight w:val="0"/>
      <w:marTop w:val="0"/>
      <w:marBottom w:val="0"/>
      <w:divBdr>
        <w:top w:val="none" w:sz="0" w:space="0" w:color="auto"/>
        <w:left w:val="none" w:sz="0" w:space="0" w:color="auto"/>
        <w:bottom w:val="none" w:sz="0" w:space="0" w:color="auto"/>
        <w:right w:val="none" w:sz="0" w:space="0" w:color="auto"/>
      </w:divBdr>
    </w:div>
    <w:div w:id="1620187129">
      <w:bodyDiv w:val="1"/>
      <w:marLeft w:val="0"/>
      <w:marRight w:val="0"/>
      <w:marTop w:val="0"/>
      <w:marBottom w:val="0"/>
      <w:divBdr>
        <w:top w:val="none" w:sz="0" w:space="0" w:color="auto"/>
        <w:left w:val="none" w:sz="0" w:space="0" w:color="auto"/>
        <w:bottom w:val="none" w:sz="0" w:space="0" w:color="auto"/>
        <w:right w:val="none" w:sz="0" w:space="0" w:color="auto"/>
      </w:divBdr>
    </w:div>
    <w:div w:id="1652827485">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693915915">
      <w:bodyDiv w:val="1"/>
      <w:marLeft w:val="0"/>
      <w:marRight w:val="0"/>
      <w:marTop w:val="0"/>
      <w:marBottom w:val="0"/>
      <w:divBdr>
        <w:top w:val="none" w:sz="0" w:space="0" w:color="auto"/>
        <w:left w:val="none" w:sz="0" w:space="0" w:color="auto"/>
        <w:bottom w:val="none" w:sz="0" w:space="0" w:color="auto"/>
        <w:right w:val="none" w:sz="0" w:space="0" w:color="auto"/>
      </w:divBdr>
    </w:div>
    <w:div w:id="1695303190">
      <w:bodyDiv w:val="1"/>
      <w:marLeft w:val="0"/>
      <w:marRight w:val="0"/>
      <w:marTop w:val="0"/>
      <w:marBottom w:val="0"/>
      <w:divBdr>
        <w:top w:val="none" w:sz="0" w:space="0" w:color="auto"/>
        <w:left w:val="none" w:sz="0" w:space="0" w:color="auto"/>
        <w:bottom w:val="none" w:sz="0" w:space="0" w:color="auto"/>
        <w:right w:val="none" w:sz="0" w:space="0" w:color="auto"/>
      </w:divBdr>
    </w:div>
    <w:div w:id="1766998657">
      <w:bodyDiv w:val="1"/>
      <w:marLeft w:val="0"/>
      <w:marRight w:val="0"/>
      <w:marTop w:val="0"/>
      <w:marBottom w:val="0"/>
      <w:divBdr>
        <w:top w:val="none" w:sz="0" w:space="0" w:color="auto"/>
        <w:left w:val="none" w:sz="0" w:space="0" w:color="auto"/>
        <w:bottom w:val="none" w:sz="0" w:space="0" w:color="auto"/>
        <w:right w:val="none" w:sz="0" w:space="0" w:color="auto"/>
      </w:divBdr>
    </w:div>
    <w:div w:id="1788620795">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842309953">
      <w:bodyDiv w:val="1"/>
      <w:marLeft w:val="0"/>
      <w:marRight w:val="0"/>
      <w:marTop w:val="0"/>
      <w:marBottom w:val="0"/>
      <w:divBdr>
        <w:top w:val="none" w:sz="0" w:space="0" w:color="auto"/>
        <w:left w:val="none" w:sz="0" w:space="0" w:color="auto"/>
        <w:bottom w:val="none" w:sz="0" w:space="0" w:color="auto"/>
        <w:right w:val="none" w:sz="0" w:space="0" w:color="auto"/>
      </w:divBdr>
    </w:div>
    <w:div w:id="1889603894">
      <w:bodyDiv w:val="1"/>
      <w:marLeft w:val="0"/>
      <w:marRight w:val="0"/>
      <w:marTop w:val="0"/>
      <w:marBottom w:val="0"/>
      <w:divBdr>
        <w:top w:val="none" w:sz="0" w:space="0" w:color="auto"/>
        <w:left w:val="none" w:sz="0" w:space="0" w:color="auto"/>
        <w:bottom w:val="none" w:sz="0" w:space="0" w:color="auto"/>
        <w:right w:val="none" w:sz="0" w:space="0" w:color="auto"/>
      </w:divBdr>
    </w:div>
    <w:div w:id="196851164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06395243">
      <w:bodyDiv w:val="1"/>
      <w:marLeft w:val="0"/>
      <w:marRight w:val="0"/>
      <w:marTop w:val="0"/>
      <w:marBottom w:val="0"/>
      <w:divBdr>
        <w:top w:val="none" w:sz="0" w:space="0" w:color="auto"/>
        <w:left w:val="none" w:sz="0" w:space="0" w:color="auto"/>
        <w:bottom w:val="none" w:sz="0" w:space="0" w:color="auto"/>
        <w:right w:val="none" w:sz="0" w:space="0" w:color="auto"/>
      </w:divBdr>
    </w:div>
    <w:div w:id="2031829947">
      <w:bodyDiv w:val="1"/>
      <w:marLeft w:val="0"/>
      <w:marRight w:val="0"/>
      <w:marTop w:val="0"/>
      <w:marBottom w:val="0"/>
      <w:divBdr>
        <w:top w:val="none" w:sz="0" w:space="0" w:color="auto"/>
        <w:left w:val="none" w:sz="0" w:space="0" w:color="auto"/>
        <w:bottom w:val="none" w:sz="0" w:space="0" w:color="auto"/>
        <w:right w:val="none" w:sz="0" w:space="0" w:color="auto"/>
      </w:divBdr>
    </w:div>
    <w:div w:id="2044818495">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 w:id="2133093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e9f5629168a48f9904bbab02d41f294" PartId="9b7e12e0d21146b68280562b7f702314">
    <Part Type="skyrius" Nr="999" Title="SPRENDIMO „DĖL ŠIAULIŲ MIESTO SAVIVALDYBĖS TARYBOS 2023 M. VASARIO 2 D. SPRENDIMO NR. T-2 „DĖL ŠIAULIŲ MIESTO SAVIVALDYBĖS 2023 METŲ BIUDŽETO PATVIRTINIMO“ PAKEITIMO“ PROJEKTO AIŠKINAMASIS RAŠTAS" DocPartId="0467ee18e3ba4980b5d674fc9a765cee" PartId="f78468b5799643219d9a0e7f50b88d23">
      <Part Type="poskyris" Title="Parengto sprendimo projekto tikslas ir uždaviniai." DocPartId="08e07728fb3348ba8134fb86a2d6e0f8" PartId="9f523931a1974695850e6d05a80de70c"/>
      <Part Type="poskyris" Title="Dabartinis sprendimo projekte aptariamų klausimų reguliavimas." DocPartId="b58114013d2049329552dbc3e54d296f" PartId="60b1c779b2764b7dafbf11dc09424d88"/>
      <Part Type="poskyris" Title="Sprendimo projekte numatytos naujos teisinio reglamentavimo nuostatos." DocPartId="5829ca0deb3f4fc7ad0152c70eca152e" PartId="92a646ba155c428eb88436aea492e5dc">
        <Part Type="punktas" Nr="1" Abbr="1 p." DocPartId="e04d0aaf4163401d9c6039650911e4ae" PartId="3a72276b745040eb98964337e6406b23">
          <Part Type="papunktis" Nr="1.1" Abbr="1.1 pp." DocPartId="d18a504a06c54d59ad87d3ad8537913a" PartId="dffcc5f8478e40f2ada3e9044bdf45f2"/>
          <Part Type="papunktis" Nr="1.2" Abbr="1.2 pp." DocPartId="276d955f89fb431d8092e301388ed5c4" PartId="87467e440ca8476dae05c4fe4e65a482"/>
          <Part Type="papunktis" Nr="1.3" Abbr="1.3 pp." DocPartId="1a8a3dd5ca874300b6562bcbf00ffaac" PartId="b1ae8c8d235940b39794e9e73fb33cc5"/>
          <Part Type="papunktis" Nr="1.4" Abbr="1.4 pp." DocPartId="a0d9319f69dc42ae9946251cc3801319" PartId="277d9e4e3b904eb0b34cece4d0596f3b"/>
          <Part Type="papunktis" Nr="1.5" Abbr="1.5 pp." DocPartId="4833e89a89b54674a0b7cdbc70dc74d1" PartId="9a294423318c45b496e2db96050723aa"/>
          <Part Type="papunktis" Nr="1.6" Abbr="1.6 pp." DocPartId="a727fa47d94a48fe80a412ceb3c1b088" PartId="c8ca3cf9da854e519a762d6f147d1c79"/>
          <Part Type="papunktis" Nr="1.7" Abbr="1.7 pp." DocPartId="9beb971fcfb0488d821f308e1ea7a415" PartId="d1cfcd2c9f844e99a205c5ee3c2b528d"/>
          <Part Type="papunktis" Nr="1.8" Abbr="1.8 pp." DocPartId="97bbb94797d849658fef02c56b8b977d" PartId="49b9fcf9777c4a59939f93d76d7f753c"/>
          <Part Type="papunktis" Nr="1.9" Abbr="1.9 pp." DocPartId="8f286ffaf2b94f8aaf56b2e1683090cf" PartId="34ece6c862844fdaae04d85843fcdc54"/>
          <Part Type="papunktis" Nr="1.10" Abbr="1.10 pp." DocPartId="aade74471da94451b3029db381fd8d0a" PartId="354b560b54174aa3aabf0a5b5ca229a6"/>
          <Part Type="papunktis" Nr="1.11" Abbr="1.11 pp." DocPartId="4111d01468184c1e94cad61e364afd1d" PartId="235a9170aada4cceb20f45a1d9aeee5e"/>
        </Part>
        <Part Type="punktas" Nr="2" Abbr="2 p." DocPartId="68374711f142448fb6237e36a705b577" PartId="967908fdf0664218a20f8e5122ddbd81">
          <Part Type="papunktis" Nr="2.1" Abbr="2.1 pp." DocPartId="07aaf69484054ab2a05bfa99e1b23950" PartId="b8250738d63d4c21a417b497d9c7c734"/>
          <Part Type="papunktis" Nr="2.2" Abbr="2.2 pp." DocPartId="bd0ed517e98441f18122b3873de79f7e" PartId="1668ef5addde46efabd6ab5e3cf99fe0"/>
        </Part>
        <Part Type="punktas" Nr="1" Abbr="1 p." Notes="Numeris ne iš eilės. Trūksta dalių? [DocDalys]" DocPartId="1e0d9f5de0924ea190ad01c57be68163" PartId="b330b83d2d334fa3a4feebe111b2d486"/>
        <Part Type="punktas" Nr="2" Abbr="2 p." DocPartId="853e76e8c1674e78a91188a131e21ed4" PartId="ed774b97b0c24c77a663740808797ede">
          <Part Type="papunktis" Nr="2.1" Abbr="2.1 pp." Notes="Numeris ne iš eilės. Trūksta dalių? [DocDalys]" DocPartId="1612ff66aa8c4cbca09cf81226ef7a14" PartId="a81df588b8d04be88ce211321a9d4db7"/>
          <Part Type="papunktis" Nr="2.2" Abbr="2.2 pp." DocPartId="bea2c7b27be94b79957f30d81cd43219" PartId="aa59c9964259409abe64c555735bbc4c"/>
          <Part Type="papunktis" Nr="2.3" Abbr="2.3 pp." DocPartId="6c53d7dd3566405aa00921d8e832817d" PartId="e12a394f60ce43c38808df599416bc88"/>
          <Part Type="papunktis" Nr="2.4" Abbr="2.4 pp." DocPartId="51fe8626c8bc447ebd7e225513b3e1b0" PartId="eb23d3d276964f93af1424badc26fdc4"/>
          <Part Type="papunktis" Nr="2.5" Abbr="2.5 pp." DocPartId="7bcb549183cd4f279d520d9e1e599736" PartId="36f721b8fdf54b19b47742318d4eb0c9"/>
          <Part Type="papunktis" Nr="2.6" Abbr="2.6 pp." DocPartId="3be57bd14cbb4be28bd86bdddc1cd650" PartId="2f6fb244e7914d6b85e6a203156befa6"/>
          <Part Type="papunktis" Nr="2.7" Abbr="2.7 pp." DocPartId="4c87f557ad234894860abc5ea2d7f16d" PartId="fa22d9629b63428fbd36c5326e08c32f"/>
          <Part Type="papunktis" Nr="2.8" Abbr="2.8 pp." DocPartId="131cb2144cc442d789f3bfebc20f8033" PartId="3a3d1737237d43a6bd4b472d34a77a62"/>
          <Part Type="papunktis" Nr="2.9" Abbr="2.9 pp." DocPartId="b59fc3b99d734c9fbeb8d604ea67d416" PartId="e2479dc0db74435aae5bc2b803df5fe6"/>
          <Part Type="papunktis" Nr="2.10" Abbr="2.10 pp." DocPartId="3d685cebe71c43908d3517fa4d0878a9" PartId="765cb36baf814ecfa2dc2f236128cf49"/>
          <Part Type="papunktis" Nr="2.11" Abbr="2.11 pp." DocPartId="cbeab4e980574b0ba27fdd14ca98c640" PartId="f10ef8611a7f4412bacc31100cec7c73"/>
        </Part>
        <Part Type="punktas" Nr="3" Abbr="3 p." DocPartId="0a6b0109150b4b29b1b7a6673e7f7eea" PartId="57950f43ef454c2eb38f9c566321e8c2"/>
      </Part>
    </Part>
    <Part Type="signatura" DocPartId="cc0fe9aaf93249b3a848173fb578b979" PartId="5238436b022e4a10a35c44549ca15b2b"/>
  </Part>
</Parts>
</file>

<file path=customXml/itemProps1.xml><?xml version="1.0" encoding="utf-8"?>
<ds:datastoreItem xmlns:ds="http://schemas.openxmlformats.org/officeDocument/2006/customXml" ds:itemID="{CB2B3DF1-7BA1-4DB8-892B-66C06E67BB93}">
  <ds:schemaRefs>
    <ds:schemaRef ds:uri="http://schemas.openxmlformats.org/officeDocument/2006/bibliography"/>
  </ds:schemaRefs>
</ds:datastoreItem>
</file>

<file path=customXml/itemProps2.xml><?xml version="1.0" encoding="utf-8"?>
<ds:datastoreItem xmlns:ds="http://schemas.openxmlformats.org/officeDocument/2006/customXml" ds:itemID="{DBA75D63-B6CC-460B-80BF-6FE5FDEC8B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2211</Words>
  <Characters>15946</Characters>
  <Application>Microsoft Office Word</Application>
  <DocSecurity>4</DocSecurity>
  <Lines>346</Lines>
  <Paragraphs>148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18009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2023-08-23T10:33:00Z</dcterms:created>
  <dc:creator>Irmina Volskienė</dc:creator>
  <lastModifiedBy>adlibuser</lastModifiedBy>
  <lastPrinted>2023-08-17T13:02:00Z</lastPrinted>
  <dcterms:modified xsi:type="dcterms:W3CDTF">2023-08-23T10:33:00Z</dcterms:modified>
  <revision>2</revision>
</coreProperties>
</file>